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BE5" w:rsidP="00B74BE5">
      <w:pPr>
        <w:pStyle w:val="Title"/>
      </w:pPr>
      <w:r>
        <w:fldChar w:fldCharType="begin"/>
      </w:r>
      <w:r>
        <w:instrText xml:space="preserve"> TITLE   \* MERGEFORMAT </w:instrText>
      </w:r>
      <w:r>
        <w:fldChar w:fldCharType="separate"/>
      </w:r>
      <w:r>
        <w:t>UEENEEK121A Manage renewable energy (RE) projects</w:t>
      </w:r>
      <w:r>
        <w:fldChar w:fldCharType="end"/>
      </w:r>
    </w:p>
    <w:p w:rsidR="00B74BE5" w:rsidP="00B74BE5">
      <w:pPr>
        <w:pStyle w:val="Version"/>
        <w:sectPr w:rsidSect="003E7A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7A63" w:rsidP="003E7A63">
      <w:pPr>
        <w:pStyle w:val="SuperHeading"/>
      </w:pPr>
      <w:r w:rsidRPr="003E7A63">
        <w:t>UEENEEK121A Manage renewable energy (RE) projects</w:t>
      </w:r>
    </w:p>
    <w:p w:rsidR="00000000" w:rsidRPr="003E7A63" w:rsidP="003E7A63">
      <w:pPr>
        <w:pStyle w:val="Heading1"/>
      </w:pPr>
      <w:bookmarkStart w:id="1" w:name="O_418880"/>
      <w:bookmarkEnd w:id="1"/>
      <w:r w:rsidRPr="003E7A63">
        <w:t>Modification History</w:t>
      </w:r>
    </w:p>
    <w:p w:rsidR="00000000" w:rsidRPr="003E7A63" w:rsidP="003E7A63">
      <w:pPr>
        <w:pStyle w:val="BodyText"/>
      </w:pPr>
      <w:r w:rsidRPr="003E7A63">
        <w:t>Not applicable.</w:t>
      </w:r>
    </w:p>
    <w:p w:rsidR="00000000" w:rsidRPr="003E7A63" w:rsidP="003E7A63">
      <w:pPr>
        <w:pStyle w:val="AllowPageBreak"/>
      </w:pPr>
    </w:p>
    <w:p w:rsidR="00000000" w:rsidRPr="003E7A63" w:rsidP="003E7A63">
      <w:pPr>
        <w:pStyle w:val="Heading1"/>
      </w:pPr>
      <w:bookmarkStart w:id="2" w:name="O_418878"/>
      <w:bookmarkEnd w:id="2"/>
      <w:r w:rsidRPr="003E7A63">
        <w:t>Unit Descriptor</w:t>
      </w:r>
    </w:p>
    <w:tbl>
      <w:tblPr>
        <w:tblW w:w="0" w:type="auto"/>
        <w:tblLayout w:type="fixed"/>
        <w:tblCellMar>
          <w:left w:w="62" w:type="dxa"/>
          <w:right w:w="62" w:type="dxa"/>
        </w:tblCellMar>
        <w:tblLook w:val="0000"/>
      </w:tblPr>
      <w:tblGrid>
        <w:gridCol w:w="2700"/>
        <w:gridCol w:w="5760"/>
      </w:tblGrid>
      <w:tr w:rsidTr="00B74B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rPr>
                <w:rStyle w:val="SpecialBold"/>
              </w:rPr>
              <w:t>1)</w:t>
            </w:r>
            <w:r w:rsidRPr="003E7A63">
              <w:t xml:space="preserve"> </w:t>
            </w:r>
            <w:r w:rsidRPr="003E7A63">
              <w:rPr>
                <w:rStyle w:val="SpecialBold"/>
              </w:rPr>
              <w:t>Scope:</w:t>
            </w:r>
          </w:p>
        </w:tc>
      </w:tr>
      <w:tr w:rsidTr="00B74B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E7A6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rPr>
                <w:rStyle w:val="SpecialBold"/>
              </w:rPr>
              <w:t>1.1) Descriptor</w:t>
            </w:r>
          </w:p>
        </w:tc>
      </w:tr>
      <w:tr w:rsidTr="00B74B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t>This unit covers the management of renewable energy projects involving design, modifications, installation, and/or maintenance of systems and equipment. The unit encompasses covers management of safety, budget, variation, personnel, resources, and critical</w:t>
            </w:r>
            <w:r w:rsidRPr="003E7A63">
              <w:t xml:space="preserve"> path timelines all necessary progress and completion documentation.</w:t>
            </w:r>
          </w:p>
        </w:tc>
      </w:tr>
    </w:tbl>
    <w:p w:rsidR="00000000" w:rsidRPr="003E7A63" w:rsidP="003E7A63">
      <w:pPr>
        <w:pStyle w:val="BodyText"/>
      </w:pPr>
    </w:p>
    <w:p w:rsidR="00000000" w:rsidRPr="003E7A63" w:rsidP="003E7A63">
      <w:pPr>
        <w:pStyle w:val="AllowPageBreak"/>
      </w:pPr>
    </w:p>
    <w:p w:rsidR="00000000" w:rsidRPr="003E7A63" w:rsidP="003E7A63">
      <w:pPr>
        <w:pStyle w:val="Heading1"/>
      </w:pPr>
      <w:bookmarkStart w:id="3" w:name="O_418867"/>
      <w:bookmarkEnd w:id="3"/>
      <w:r w:rsidRPr="003E7A63">
        <w:t>Application of the Unit</w:t>
      </w:r>
    </w:p>
    <w:tbl>
      <w:tblPr>
        <w:tblW w:w="0" w:type="auto"/>
        <w:tblLayout w:type="fixed"/>
        <w:tblCellMar>
          <w:left w:w="62" w:type="dxa"/>
          <w:right w:w="62" w:type="dxa"/>
        </w:tblCellMar>
        <w:tblLook w:val="0000"/>
      </w:tblPr>
      <w:tblGrid>
        <w:gridCol w:w="2672"/>
        <w:gridCol w:w="5699"/>
      </w:tblGrid>
      <w:tr w:rsidTr="00B74BE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rPr>
                <w:rStyle w:val="SpecialBold"/>
              </w:rPr>
              <w:t>2)</w:t>
            </w:r>
          </w:p>
        </w:tc>
      </w:tr>
      <w:tr w:rsidTr="00B74BE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t>This unit is intended for competency development entry-level employment-based programs incorporated in approved contracts of training. It applies to any formal recognition for this standard at the aligned AQF 6 level.</w:t>
            </w:r>
          </w:p>
        </w:tc>
      </w:tr>
    </w:tbl>
    <w:p w:rsidR="00000000" w:rsidRPr="003E7A63" w:rsidP="003E7A63">
      <w:pPr>
        <w:pStyle w:val="BodyText"/>
      </w:pPr>
    </w:p>
    <w:p w:rsidR="00000000" w:rsidRPr="003E7A63" w:rsidP="003E7A63">
      <w:pPr>
        <w:pStyle w:val="AllowPageBreak"/>
      </w:pPr>
    </w:p>
    <w:p w:rsidR="00000000" w:rsidRPr="003E7A63" w:rsidP="003E7A63">
      <w:pPr>
        <w:pStyle w:val="Heading1"/>
      </w:pPr>
      <w:bookmarkStart w:id="4" w:name="O_418874"/>
      <w:bookmarkEnd w:id="4"/>
      <w:r w:rsidRPr="003E7A63">
        <w:t>Licensing/Regulator</w:t>
      </w:r>
      <w:r w:rsidRPr="003E7A63">
        <w:t>y Information</w:t>
      </w:r>
    </w:p>
    <w:tbl>
      <w:tblPr>
        <w:tblW w:w="0" w:type="auto"/>
        <w:tblLayout w:type="fixed"/>
        <w:tblCellMar>
          <w:left w:w="62" w:type="dxa"/>
          <w:right w:w="62" w:type="dxa"/>
        </w:tblCellMar>
        <w:tblLook w:val="0000"/>
      </w:tblPr>
      <w:tblGrid>
        <w:gridCol w:w="2700"/>
        <w:gridCol w:w="5760"/>
      </w:tblGrid>
      <w:tr w:rsidTr="00B74B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rPr>
                <w:rStyle w:val="SpecialBold"/>
              </w:rPr>
              <w:t xml:space="preserve">3) </w:t>
            </w:r>
          </w:p>
        </w:tc>
      </w:tr>
      <w:tr w:rsidTr="00B74B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t>The skills and knowledge described in this unit do not require a license to practice in the workplace. However, practice in this unit is subject to regulations directly related to occupational health and safety and w</w:t>
            </w:r>
            <w:r w:rsidRPr="003E7A63">
              <w:t>here applicable contracts of training such as apprenticeships.</w:t>
            </w:r>
          </w:p>
        </w:tc>
      </w:tr>
    </w:tbl>
    <w:p w:rsidR="00000000" w:rsidRPr="003E7A63" w:rsidP="003E7A63">
      <w:pPr>
        <w:pStyle w:val="BodyText"/>
      </w:pPr>
    </w:p>
    <w:p w:rsidR="00000000" w:rsidRPr="003E7A63" w:rsidP="003E7A63">
      <w:pPr>
        <w:pStyle w:val="AllowPageBreak"/>
      </w:pPr>
    </w:p>
    <w:p w:rsidR="00000000" w:rsidRPr="003E7A63" w:rsidP="003E7A63">
      <w:pPr>
        <w:pStyle w:val="Heading1"/>
      </w:pPr>
      <w:bookmarkStart w:id="5" w:name="O_418875"/>
      <w:bookmarkEnd w:id="5"/>
      <w:r w:rsidRPr="003E7A63">
        <w:t>Pre-Requisites</w:t>
      </w:r>
    </w:p>
    <w:tbl>
      <w:tblPr>
        <w:tblW w:w="0" w:type="auto"/>
        <w:tblLayout w:type="fixed"/>
        <w:tblCellMar>
          <w:left w:w="62" w:type="dxa"/>
          <w:right w:w="62" w:type="dxa"/>
        </w:tblCellMar>
        <w:tblLook w:val="0000"/>
      </w:tblPr>
      <w:tblGrid>
        <w:gridCol w:w="2700"/>
        <w:gridCol w:w="5760"/>
      </w:tblGrid>
      <w:tr w:rsidTr="00B74B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rPr>
                <w:rStyle w:val="SpecialBold"/>
              </w:rPr>
              <w:t xml:space="preserve">4) </w:t>
            </w:r>
          </w:p>
        </w:tc>
      </w:tr>
      <w:tr w:rsidTr="00B74B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rPr>
                <w:rStyle w:val="SpecialBold"/>
              </w:rPr>
              <w:t>4.1)</w:t>
            </w:r>
          </w:p>
        </w:tc>
      </w:tr>
      <w:tr w:rsidTr="00B74B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t>There are no prerequisite competencies for this unit.</w:t>
            </w:r>
          </w:p>
        </w:tc>
      </w:tr>
    </w:tbl>
    <w:p w:rsidR="00000000" w:rsidRPr="003E7A63" w:rsidP="003E7A6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74BE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rPr>
                <w:rStyle w:val="SpecialBold"/>
              </w:rPr>
              <w:t xml:space="preserve">4.2) </w:t>
            </w:r>
          </w:p>
        </w:tc>
      </w:tr>
      <w:tr w:rsidTr="00B74B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Participants are best equipped to achieve competency in this unit if they have reading, writing and numeracy skills indicated by the following scales. Description of each scale is given in Volume 2, Part 3 ‘Literacy and Numeracy’</w:t>
            </w:r>
          </w:p>
        </w:tc>
      </w:tr>
      <w:tr w:rsidTr="00B74B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Reading</w:t>
            </w:r>
          </w:p>
        </w:tc>
        <w:tc>
          <w:tcPr>
            <w:tcW w:w="81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5</w:t>
            </w:r>
          </w:p>
        </w:tc>
        <w:tc>
          <w:tcPr>
            <w:tcW w:w="99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Writing</w:t>
            </w:r>
          </w:p>
        </w:tc>
        <w:tc>
          <w:tcPr>
            <w:tcW w:w="90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5</w:t>
            </w:r>
          </w:p>
        </w:tc>
        <w:tc>
          <w:tcPr>
            <w:tcW w:w="12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Numeracy</w:t>
            </w:r>
          </w:p>
        </w:tc>
        <w:tc>
          <w:tcPr>
            <w:tcW w:w="72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t>5</w:t>
            </w:r>
          </w:p>
        </w:tc>
      </w:tr>
    </w:tbl>
    <w:p w:rsidR="00000000" w:rsidRPr="003E7A63" w:rsidP="003E7A63">
      <w:pPr>
        <w:pStyle w:val="BodyText"/>
      </w:pPr>
    </w:p>
    <w:p w:rsidR="00000000" w:rsidRPr="003E7A63" w:rsidP="003E7A63">
      <w:pPr>
        <w:pStyle w:val="AllowPageBreak"/>
      </w:pPr>
    </w:p>
    <w:p w:rsidR="00000000" w:rsidRPr="003E7A63" w:rsidP="003E7A63">
      <w:pPr>
        <w:pStyle w:val="Heading1"/>
      </w:pPr>
      <w:bookmarkStart w:id="6" w:name="O_418871"/>
      <w:bookmarkEnd w:id="6"/>
      <w:r w:rsidRPr="003E7A63">
        <w:t>Employability Skills Information</w:t>
      </w:r>
    </w:p>
    <w:tbl>
      <w:tblPr>
        <w:tblW w:w="0" w:type="auto"/>
        <w:tblLayout w:type="fixed"/>
        <w:tblCellMar>
          <w:left w:w="62" w:type="dxa"/>
          <w:right w:w="62" w:type="dxa"/>
        </w:tblCellMar>
        <w:tblLook w:val="0000"/>
      </w:tblPr>
      <w:tblGrid>
        <w:gridCol w:w="2700"/>
        <w:gridCol w:w="5760"/>
      </w:tblGrid>
      <w:tr w:rsidTr="00B74B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rPr>
                <w:rStyle w:val="SpecialBold"/>
              </w:rPr>
              <w:t xml:space="preserve">5) </w:t>
            </w:r>
          </w:p>
        </w:tc>
      </w:tr>
      <w:tr w:rsidTr="00B74B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t>The required outcomes described in this unit of competency contain applicable facets of Employability Skills. The Employability Skills Summary of the qualification i</w:t>
            </w:r>
            <w:r w:rsidRPr="003E7A63">
              <w:t>n which this unit of competency is packaged will assist in identifying Employability Skill requirements.</w:t>
            </w:r>
          </w:p>
        </w:tc>
      </w:tr>
    </w:tbl>
    <w:p w:rsidR="00000000" w:rsidRPr="003E7A63" w:rsidP="003E7A63">
      <w:pPr>
        <w:pStyle w:val="BodyText"/>
      </w:pPr>
    </w:p>
    <w:p w:rsidR="00000000" w:rsidRPr="003E7A63" w:rsidP="003E7A63">
      <w:pPr>
        <w:pStyle w:val="AllowPageBreak"/>
      </w:pPr>
    </w:p>
    <w:p w:rsidR="00000000" w:rsidRPr="003E7A63" w:rsidP="003E7A63">
      <w:pPr>
        <w:pStyle w:val="Heading1"/>
      </w:pPr>
      <w:bookmarkStart w:id="7" w:name="O_418870"/>
      <w:bookmarkEnd w:id="7"/>
      <w:r w:rsidRPr="003E7A63">
        <w:t>Elements and Performance Criteria Pre-Content</w:t>
      </w:r>
    </w:p>
    <w:tbl>
      <w:tblPr>
        <w:tblW w:w="0" w:type="auto"/>
        <w:tblLayout w:type="fixed"/>
        <w:tblCellMar>
          <w:left w:w="62" w:type="dxa"/>
          <w:right w:w="62" w:type="dxa"/>
        </w:tblCellMar>
        <w:tblLook w:val="0000"/>
      </w:tblPr>
      <w:tblGrid>
        <w:gridCol w:w="2700"/>
        <w:gridCol w:w="5760"/>
      </w:tblGrid>
      <w:tr w:rsidTr="00B74B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rPr>
                <w:rStyle w:val="SpecialBold"/>
              </w:rPr>
              <w:t>6)</w:t>
            </w:r>
            <w:r w:rsidRPr="003E7A6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t>Performance Criteria describe the required performance needed to demonstrate achievement of the element. Assessment of performance is to be consistent with the Evidence Guide.</w:t>
            </w:r>
          </w:p>
        </w:tc>
      </w:tr>
    </w:tbl>
    <w:p w:rsidR="00000000" w:rsidRPr="003E7A63" w:rsidP="003E7A63">
      <w:pPr>
        <w:pStyle w:val="BodyText"/>
      </w:pPr>
    </w:p>
    <w:p w:rsidR="00000000" w:rsidRPr="003E7A63" w:rsidP="003E7A63">
      <w:pPr>
        <w:pStyle w:val="AllowPageBreak"/>
      </w:pPr>
    </w:p>
    <w:p w:rsidR="00000000" w:rsidRPr="003E7A63" w:rsidP="003E7A63">
      <w:pPr>
        <w:pStyle w:val="Heading1"/>
      </w:pPr>
      <w:bookmarkStart w:id="8" w:name="O_418869"/>
      <w:bookmarkEnd w:id="8"/>
      <w:r w:rsidRPr="003E7A6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74BE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rPr>
                <w:rStyle w:val="SpecialBold"/>
              </w:rPr>
              <w:t>PERFORMANCE CRITER</w:t>
            </w:r>
            <w:r w:rsidRPr="003E7A63">
              <w:rPr>
                <w:rStyle w:val="SpecialBold"/>
              </w:rPr>
              <w:t>IA</w:t>
            </w:r>
          </w:p>
        </w:tc>
      </w:tr>
      <w:tr w:rsidTr="00B74B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1</w:t>
            </w:r>
          </w:p>
        </w:tc>
        <w:tc>
          <w:tcPr>
            <w:tcW w:w="2296" w:type="dxa"/>
            <w:vMerge w:val="restart"/>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 xml:space="preserve">Establish the scope of the project. </w:t>
            </w:r>
          </w:p>
        </w:tc>
        <w:tc>
          <w:tcPr>
            <w:tcW w:w="90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1.1</w:t>
            </w:r>
          </w:p>
        </w:tc>
        <w:tc>
          <w:tcPr>
            <w:tcW w:w="48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 xml:space="preserve">OHS processes and procedures for a given work area are identified, obtained and understood </w:t>
            </w:r>
          </w:p>
        </w:tc>
      </w:tr>
      <w:tr w:rsidTr="00B74B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1.2</w:t>
            </w:r>
          </w:p>
        </w:tc>
        <w:tc>
          <w:tcPr>
            <w:tcW w:w="48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Project deliverables and budget are identified from project planning and other relevant documentation and from discussions with appropriate person(s)</w:t>
            </w:r>
          </w:p>
        </w:tc>
      </w:tr>
      <w:tr w:rsidTr="00B74B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1.3</w:t>
            </w:r>
          </w:p>
        </w:tc>
        <w:tc>
          <w:tcPr>
            <w:tcW w:w="48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Measurable outcomes are identified to evaluate the project on completion from project planning and other relevant documentation</w:t>
            </w:r>
          </w:p>
        </w:tc>
      </w:tr>
      <w:tr w:rsidTr="00B74B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1.4</w:t>
            </w:r>
          </w:p>
        </w:tc>
        <w:tc>
          <w:tcPr>
            <w:tcW w:w="48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Plant, materials and skills needed to meet project outcome are identified from project planning and other relevant docume</w:t>
            </w:r>
            <w:r w:rsidRPr="003E7A63">
              <w:t>ntation</w:t>
            </w:r>
          </w:p>
        </w:tc>
      </w:tr>
      <w:tr w:rsidTr="00B74B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1.5</w:t>
            </w:r>
          </w:p>
        </w:tc>
        <w:tc>
          <w:tcPr>
            <w:tcW w:w="48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Processes and procedures are developed for managing contract variations from discussions with appropriate person(s) and in accordance with contractual agreement</w:t>
            </w:r>
          </w:p>
        </w:tc>
      </w:tr>
      <w:tr w:rsidTr="00B74B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2</w:t>
            </w:r>
          </w:p>
        </w:tc>
        <w:tc>
          <w:tcPr>
            <w:tcW w:w="2296" w:type="dxa"/>
            <w:vMerge w:val="restart"/>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Manage project.</w:t>
            </w:r>
          </w:p>
        </w:tc>
        <w:tc>
          <w:tcPr>
            <w:tcW w:w="90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2.1</w:t>
            </w:r>
          </w:p>
        </w:tc>
        <w:tc>
          <w:tcPr>
            <w:tcW w:w="48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OHS policies, procedures an</w:t>
            </w:r>
            <w:r w:rsidRPr="003E7A63">
              <w:t xml:space="preserve">d programs are implemented and monitored </w:t>
            </w:r>
          </w:p>
        </w:tc>
      </w:tr>
      <w:tr w:rsidTr="00B74B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2.2</w:t>
            </w:r>
          </w:p>
        </w:tc>
        <w:tc>
          <w:tcPr>
            <w:tcW w:w="48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Achievement of project outcomes is delegated to appropriately competent persons involved in the project</w:t>
            </w:r>
          </w:p>
        </w:tc>
      </w:tr>
      <w:tr w:rsidTr="00B74B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2.3</w:t>
            </w:r>
          </w:p>
        </w:tc>
        <w:tc>
          <w:tcPr>
            <w:tcW w:w="48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Risk events are identified and project plan strategies implemented to ensure that outcomes are achieved to the required standard of quality specified in the contract and safety required by organisation policy</w:t>
            </w:r>
          </w:p>
        </w:tc>
      </w:tr>
      <w:tr w:rsidTr="00B74B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2.4</w:t>
            </w:r>
          </w:p>
        </w:tc>
        <w:tc>
          <w:tcPr>
            <w:tcW w:w="48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Procurement processes and procedures are</w:t>
            </w:r>
            <w:r w:rsidRPr="003E7A63">
              <w:t xml:space="preserve"> monitored to ensure on-time supply of plant and materials and in accordance with organisation policy</w:t>
            </w:r>
          </w:p>
        </w:tc>
      </w:tr>
      <w:tr w:rsidTr="00B74B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2.5</w:t>
            </w:r>
          </w:p>
        </w:tc>
        <w:tc>
          <w:tcPr>
            <w:tcW w:w="48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Project is progress is monitored against schedule, quality requirements and budget</w:t>
            </w:r>
          </w:p>
        </w:tc>
      </w:tr>
      <w:tr w:rsidTr="00B74B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2.6</w:t>
            </w:r>
          </w:p>
        </w:tc>
        <w:tc>
          <w:tcPr>
            <w:tcW w:w="48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Conflict issues at the work site and between stakeholders, clients and regulators are identified and managed in accordance with organisation policy</w:t>
            </w:r>
          </w:p>
        </w:tc>
      </w:tr>
      <w:tr w:rsidTr="00B74B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2.7</w:t>
            </w:r>
          </w:p>
        </w:tc>
        <w:tc>
          <w:tcPr>
            <w:tcW w:w="48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Variations are managed in accordance with agreed processes and in accordance with the contract</w:t>
            </w:r>
          </w:p>
        </w:tc>
      </w:tr>
      <w:tr w:rsidTr="00B74B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2.8</w:t>
            </w:r>
          </w:p>
        </w:tc>
        <w:tc>
          <w:tcPr>
            <w:tcW w:w="48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 xml:space="preserve">Project records are maintained and progress reports written and forwarded to all appropriate person(s) </w:t>
            </w:r>
          </w:p>
        </w:tc>
      </w:tr>
      <w:tr w:rsidTr="00B74B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3</w:t>
            </w:r>
          </w:p>
        </w:tc>
        <w:tc>
          <w:tcPr>
            <w:tcW w:w="2296"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Complete project.</w:t>
            </w:r>
          </w:p>
        </w:tc>
        <w:tc>
          <w:tcPr>
            <w:tcW w:w="90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3.1</w:t>
            </w:r>
          </w:p>
        </w:tc>
        <w:tc>
          <w:tcPr>
            <w:tcW w:w="48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Project outcomes are reviewed against original plan, implemented risk strategies, contract variations, safety record and budge</w:t>
            </w:r>
            <w:r w:rsidRPr="003E7A63">
              <w:t>t</w:t>
            </w:r>
          </w:p>
        </w:tc>
      </w:tr>
      <w:tr w:rsidTr="00B74B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3.2</w:t>
            </w:r>
          </w:p>
        </w:tc>
        <w:tc>
          <w:tcPr>
            <w:tcW w:w="486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t>Project completion acceptance is sought from appropriate person(s) and handover documented in accordance with organisation policy</w:t>
            </w:r>
          </w:p>
        </w:tc>
      </w:tr>
    </w:tbl>
    <w:p w:rsidR="00000000" w:rsidRPr="003E7A63" w:rsidP="003E7A63">
      <w:pPr>
        <w:pStyle w:val="BodyText"/>
      </w:pPr>
    </w:p>
    <w:p w:rsidR="00000000" w:rsidRPr="003E7A63" w:rsidP="003E7A63">
      <w:pPr>
        <w:pStyle w:val="AllowPageBreak"/>
      </w:pPr>
    </w:p>
    <w:p w:rsidR="00000000" w:rsidRPr="003E7A63" w:rsidP="003E7A63">
      <w:pPr>
        <w:pStyle w:val="Heading1"/>
      </w:pPr>
      <w:bookmarkStart w:id="9" w:name="O_418877"/>
      <w:bookmarkEnd w:id="9"/>
      <w:r w:rsidRPr="003E7A63">
        <w:t>Required Skills and Knowledge</w:t>
      </w:r>
    </w:p>
    <w:tbl>
      <w:tblPr>
        <w:tblW w:w="0" w:type="auto"/>
        <w:tblLayout w:type="fixed"/>
        <w:tblCellMar>
          <w:left w:w="62" w:type="dxa"/>
          <w:right w:w="62" w:type="dxa"/>
        </w:tblCellMar>
        <w:tblLook w:val="0000"/>
      </w:tblPr>
      <w:tblGrid>
        <w:gridCol w:w="1530"/>
        <w:gridCol w:w="6930"/>
      </w:tblGrid>
      <w:tr w:rsidTr="00B74BE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rPr>
                <w:rStyle w:val="SpecialBold"/>
              </w:rPr>
              <w:t>REQUIRED SKILLS AND KNOWLEDGE</w:t>
            </w:r>
          </w:p>
        </w:tc>
      </w:tr>
      <w:tr w:rsidTr="00B74BE5">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rPr>
                <w:rStyle w:val="SpecialBold"/>
              </w:rPr>
              <w:t>8)</w:t>
            </w:r>
            <w:r w:rsidRPr="003E7A63">
              <w:t xml:space="preserve"> This describes the essential skills and knowledge and their level, required for this unit.</w:t>
            </w:r>
          </w:p>
          <w:p w:rsidR="00000000" w:rsidRPr="003E7A63" w:rsidP="003E7A63">
            <w:pPr>
              <w:pStyle w:val="BodyText"/>
            </w:pPr>
            <w:r w:rsidRPr="003E7A63">
              <w:t>Evidence must show that knowledge has been acquired of safe working practices and managing renewable energy projects.</w:t>
            </w:r>
          </w:p>
          <w:p w:rsidR="00000000" w:rsidP="003E7A63">
            <w:pPr>
              <w:pStyle w:val="BodyText"/>
              <w:rPr>
                <w:lang w:val="en-NZ"/>
              </w:rPr>
            </w:pPr>
            <w:r w:rsidRPr="003E7A63">
              <w:t>All knowledge and skills detailed in this unit</w:t>
            </w:r>
            <w:r w:rsidRPr="003E7A63">
              <w:t xml:space="preserve"> should be contextualised to current industry practices and technologies.</w:t>
            </w:r>
          </w:p>
        </w:tc>
      </w:tr>
      <w:tr w:rsidTr="00B74BE5">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rPr>
                <w:rStyle w:val="SpecialBold"/>
              </w:rPr>
              <w:t>KS01-EK121A</w:t>
            </w:r>
          </w:p>
        </w:tc>
        <w:tc>
          <w:tcPr>
            <w:tcW w:w="693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rPr>
                <w:rStyle w:val="SpecialBold"/>
              </w:rPr>
              <w:t xml:space="preserve">Renewable energy project management </w:t>
            </w:r>
          </w:p>
        </w:tc>
      </w:tr>
      <w:tr w:rsidTr="00B74BE5">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Evidence shall show an understanding of project management to an extent indicated by the following aspects:</w:t>
            </w:r>
          </w:p>
        </w:tc>
      </w:tr>
      <w:tr w:rsidTr="00B74BE5">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t>T1 - Project management encompassing:</w:t>
            </w:r>
          </w:p>
          <w:p w:rsidR="00000000" w:rsidRPr="003E7A63" w:rsidP="003E7A63">
            <w:pPr>
              <w:pStyle w:val="ListBullet2"/>
            </w:pPr>
            <w:r w:rsidRPr="003E7A63">
              <w:t>Defining project parameters: Project scope; Project stakeholders and clients; Project phases and the relationship between phases; Time requirements and limitations; Resource requirements and limitations; Quality requi</w:t>
            </w:r>
            <w:r w:rsidRPr="003E7A63">
              <w:t>rements and limitations.</w:t>
            </w:r>
          </w:p>
          <w:p w:rsidR="00000000" w:rsidRPr="003E7A63" w:rsidP="003E7A63">
            <w:pPr>
              <w:pStyle w:val="ListBullet2"/>
            </w:pPr>
            <w:r w:rsidRPr="003E7A63">
              <w:t>Time management: time management concepts; standard practices for ensuring a project runs to time and the like.</w:t>
            </w:r>
          </w:p>
          <w:p w:rsidR="00000000" w:rsidRPr="003E7A63" w:rsidP="003E7A63">
            <w:pPr>
              <w:pStyle w:val="ListBullet2"/>
            </w:pPr>
            <w:r w:rsidRPr="003E7A63">
              <w:t>Financial management: Financial management concepts; Standard practices for managing project finances; Project budgets; Costs, variations and estimations; Invoicing against project phases/deliverables; Acquittals and the like.</w:t>
            </w:r>
          </w:p>
          <w:p w:rsidR="00000000" w:rsidRPr="003E7A63" w:rsidP="003E7A63">
            <w:pPr>
              <w:pStyle w:val="ListBullet2"/>
            </w:pPr>
            <w:r w:rsidRPr="003E7A63">
              <w:t>Quality management: Quality m</w:t>
            </w:r>
            <w:r w:rsidRPr="003E7A63">
              <w:t>anagement concepts; Standard practices for managing quality within a project.</w:t>
            </w:r>
          </w:p>
          <w:p w:rsidR="00000000" w:rsidRPr="003E7A63" w:rsidP="003E7A63">
            <w:pPr>
              <w:pStyle w:val="ListBullet2"/>
            </w:pPr>
            <w:r w:rsidRPr="003E7A63">
              <w:t>Human Resource management: human resource management concepts; standard practices for managing personnel within a project</w:t>
            </w:r>
          </w:p>
          <w:p w:rsidR="00000000" w:rsidRPr="003E7A63" w:rsidP="003E7A63">
            <w:pPr>
              <w:pStyle w:val="ListBullet2"/>
            </w:pPr>
            <w:r w:rsidRPr="003E7A63">
              <w:t>Communication management: Communication management conce</w:t>
            </w:r>
            <w:r w:rsidRPr="003E7A63">
              <w:t>pts; Standard practices for managing communication within a project and the like.</w:t>
            </w:r>
          </w:p>
          <w:p w:rsidR="00000000" w:rsidRPr="003E7A63" w:rsidP="003E7A63">
            <w:pPr>
              <w:pStyle w:val="ListBullet2"/>
            </w:pPr>
            <w:r w:rsidRPr="003E7A63">
              <w:t>Risk management and contingencies: risk management concepts; standard practices for managing risk within a project; Internal risks; External risks; Risk minimisation; Risk re</w:t>
            </w:r>
            <w:r w:rsidRPr="003E7A63">
              <w:t>moval; Contingencies and the like.</w:t>
            </w:r>
          </w:p>
          <w:p w:rsidR="00000000" w:rsidRPr="003E7A63" w:rsidP="003E7A63">
            <w:pPr>
              <w:pStyle w:val="ListBullet2"/>
            </w:pPr>
            <w:r w:rsidRPr="003E7A63">
              <w:t>Procurement management: procurement management concepts; standard practices for managing procurement and the like.</w:t>
            </w:r>
          </w:p>
          <w:p w:rsidR="00000000" w:rsidRPr="003E7A63" w:rsidP="003E7A63">
            <w:pPr>
              <w:pStyle w:val="ListBullet2"/>
            </w:pPr>
            <w:r w:rsidRPr="003E7A63">
              <w:t>Physical Resource management: Types of physical resource, including; Equipment, Technology, Information, F</w:t>
            </w:r>
            <w:r w:rsidRPr="003E7A63">
              <w:t>acilities; Physical resource management concepts; Standard practices for managing physical resources</w:t>
            </w:r>
          </w:p>
          <w:p w:rsidR="00000000" w:rsidRPr="003E7A63" w:rsidP="003E7A63">
            <w:pPr>
              <w:pStyle w:val="ListBullet2"/>
            </w:pPr>
            <w:r w:rsidRPr="003E7A63">
              <w:t>Contracts: Understanding project contracts; Standard practices for working to contract specifications; Contract format; Contract content; Legal obligations</w:t>
            </w:r>
            <w:r w:rsidRPr="003E7A63">
              <w:t xml:space="preserve"> of contract parties; Accompanying documentation including; Contract Schedules and the like.</w:t>
            </w:r>
          </w:p>
          <w:p w:rsidR="00000000" w:rsidRPr="003E7A63" w:rsidP="003E7A63">
            <w:pPr>
              <w:pStyle w:val="ListBullet2"/>
            </w:pPr>
            <w:r w:rsidRPr="003E7A63">
              <w:t>Performance assessment and continuous improvement: standard performance assessment practices; standard continuous improvement practices and the like</w:t>
            </w:r>
          </w:p>
          <w:p w:rsidR="00000000" w:rsidP="003E7A63">
            <w:pPr>
              <w:pStyle w:val="ListBullet2"/>
              <w:rPr>
                <w:lang w:val="en-NZ"/>
              </w:rPr>
            </w:pPr>
            <w:r w:rsidRPr="003E7A63">
              <w:t>Engineering et</w:t>
            </w:r>
            <w:r w:rsidRPr="003E7A63">
              <w:t>hics principles</w:t>
            </w:r>
          </w:p>
        </w:tc>
      </w:tr>
      <w:tr w:rsidTr="00B74BE5">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t>T2 - Customer/Client relations encompassing:</w:t>
            </w:r>
          </w:p>
          <w:p w:rsidR="00000000" w:rsidRPr="003E7A63" w:rsidP="003E7A63">
            <w:pPr>
              <w:pStyle w:val="ListBullet2"/>
            </w:pPr>
            <w:r w:rsidRPr="003E7A63">
              <w:t>Importance of customer/client relations</w:t>
            </w:r>
          </w:p>
          <w:p w:rsidR="00000000" w:rsidRPr="003E7A63" w:rsidP="003E7A63">
            <w:pPr>
              <w:pStyle w:val="ListBullet2"/>
            </w:pPr>
            <w:r w:rsidRPr="003E7A63">
              <w:t>interpersonal skills that enhance customer/client</w:t>
            </w:r>
          </w:p>
          <w:p w:rsidR="00000000" w:rsidRPr="003E7A63" w:rsidP="003E7A63">
            <w:pPr>
              <w:pStyle w:val="ListBullet2"/>
            </w:pPr>
            <w:r w:rsidRPr="003E7A63">
              <w:t>Dispute resolution</w:t>
            </w:r>
          </w:p>
          <w:p w:rsidR="00000000" w:rsidP="003E7A63">
            <w:pPr>
              <w:pStyle w:val="ListBullet2"/>
              <w:rPr>
                <w:lang w:val="en-NZ"/>
              </w:rPr>
            </w:pPr>
            <w:r w:rsidRPr="003E7A63">
              <w:t>Customer/client relations strategies</w:t>
            </w:r>
          </w:p>
        </w:tc>
      </w:tr>
      <w:tr w:rsidTr="00B74BE5">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t>T3 - Renewable energy industry sector customs and practices encompassing:</w:t>
            </w:r>
          </w:p>
          <w:p w:rsidR="00000000" w:rsidRPr="003E7A63" w:rsidP="003E7A63">
            <w:pPr>
              <w:pStyle w:val="ListBullet2"/>
            </w:pPr>
            <w:r w:rsidRPr="003E7A63">
              <w:t>Technical aspects of project planning and management encompassing:</w:t>
            </w:r>
          </w:p>
          <w:p w:rsidR="00000000" w:rsidRPr="003E7A63" w:rsidP="003E7A63">
            <w:pPr>
              <w:pStyle w:val="ListBullet2"/>
            </w:pPr>
            <w:r w:rsidRPr="003E7A63">
              <w:t>Method of ensuring equipment meets specified performance requirements</w:t>
            </w:r>
          </w:p>
          <w:p w:rsidR="00000000" w:rsidRPr="003E7A63" w:rsidP="003E7A63">
            <w:pPr>
              <w:pStyle w:val="ListBullet2"/>
            </w:pPr>
            <w:r w:rsidRPr="003E7A63">
              <w:t>Performance/cost benefit analysis</w:t>
            </w:r>
          </w:p>
          <w:p w:rsidR="00000000" w:rsidRPr="003E7A63" w:rsidP="003E7A63">
            <w:pPr>
              <w:pStyle w:val="ListBullet2"/>
            </w:pPr>
            <w:r w:rsidRPr="003E7A63">
              <w:t xml:space="preserve">Equipment </w:t>
            </w:r>
            <w:r w:rsidRPr="003E7A63">
              <w:t>procurement\</w:t>
            </w:r>
          </w:p>
          <w:p w:rsidR="00000000" w:rsidRPr="003E7A63" w:rsidP="003E7A63">
            <w:pPr>
              <w:pStyle w:val="ListBullet2"/>
            </w:pPr>
            <w:r w:rsidRPr="003E7A63">
              <w:t xml:space="preserve">Typical approaches to planning and management </w:t>
            </w:r>
          </w:p>
          <w:p w:rsidR="00000000" w:rsidRPr="003E7A63" w:rsidP="003E7A63">
            <w:pPr>
              <w:pStyle w:val="ListBullet2"/>
            </w:pPr>
            <w:r w:rsidRPr="003E7A63">
              <w:t>Successful planning techniques</w:t>
            </w:r>
          </w:p>
          <w:p w:rsidR="00000000" w:rsidP="003E7A63">
            <w:pPr>
              <w:pStyle w:val="ListBullet2"/>
              <w:rPr>
                <w:lang w:val="en-NZ"/>
              </w:rPr>
            </w:pPr>
            <w:r w:rsidRPr="003E7A63">
              <w:t>Best practice management methods and styles</w:t>
            </w:r>
          </w:p>
        </w:tc>
      </w:tr>
      <w:tr w:rsidTr="00B74BE5">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t>T4 - Occupational Health and Safety, enterprise responsibilities encompassing:</w:t>
            </w:r>
          </w:p>
          <w:p w:rsidR="00000000" w:rsidRPr="003E7A63" w:rsidP="003E7A63">
            <w:pPr>
              <w:pStyle w:val="ListBullet2"/>
            </w:pPr>
            <w:r w:rsidRPr="003E7A63">
              <w:t>Provisions of relevant health and safety legislation</w:t>
            </w:r>
          </w:p>
          <w:p w:rsidR="00000000" w:rsidRPr="003E7A63" w:rsidP="003E7A63">
            <w:pPr>
              <w:pStyle w:val="ListBullet2"/>
            </w:pPr>
            <w:r w:rsidRPr="003E7A63">
              <w:t>Principles and practice of effective occupational health and safety management</w:t>
            </w:r>
          </w:p>
          <w:p w:rsidR="00000000" w:rsidRPr="003E7A63" w:rsidP="003E7A63">
            <w:pPr>
              <w:pStyle w:val="ListBullet2"/>
            </w:pPr>
            <w:r w:rsidRPr="003E7A63">
              <w:t>Management arrangements relating to regulatory compliance</w:t>
            </w:r>
          </w:p>
          <w:p w:rsidR="00000000" w:rsidRPr="003E7A63" w:rsidP="003E7A63">
            <w:pPr>
              <w:pStyle w:val="ListBullet2"/>
            </w:pPr>
            <w:r w:rsidRPr="003E7A63">
              <w:t>Enterprise hazards and risks, control measures and relevant expert</w:t>
            </w:r>
            <w:r w:rsidRPr="003E7A63">
              <w:t>ise required</w:t>
            </w:r>
          </w:p>
          <w:p w:rsidR="00000000" w:rsidRPr="003E7A63" w:rsidP="003E7A63">
            <w:pPr>
              <w:pStyle w:val="ListBullet2"/>
            </w:pPr>
            <w:r w:rsidRPr="003E7A63">
              <w:t>Characteristics and composition of workforce and their impact on occupational health and safety management</w:t>
            </w:r>
          </w:p>
          <w:p w:rsidR="00000000" w:rsidRPr="003E7A63" w:rsidP="003E7A63">
            <w:pPr>
              <w:pStyle w:val="ListBullet2"/>
            </w:pPr>
            <w:r w:rsidRPr="003E7A63">
              <w:t>Relevance of enterprise management systems to occupational health and safety management</w:t>
            </w:r>
          </w:p>
          <w:p w:rsidR="00000000" w:rsidRPr="003E7A63" w:rsidP="003E7A63">
            <w:pPr>
              <w:pStyle w:val="ListBullet2"/>
            </w:pPr>
            <w:r w:rsidRPr="003E7A63">
              <w:t>Analysis of working environment and design of ap</w:t>
            </w:r>
            <w:r w:rsidRPr="003E7A63">
              <w:t>propriate occupational health and safety management systems</w:t>
            </w:r>
          </w:p>
          <w:p w:rsidR="00000000" w:rsidRPr="003E7A63" w:rsidP="003E7A63">
            <w:pPr>
              <w:pStyle w:val="ListBullet2"/>
            </w:pPr>
            <w:r w:rsidRPr="003E7A63">
              <w:t>Analysis of relevant data and evaluation of occupational health and safety system effectiveness</w:t>
            </w:r>
          </w:p>
          <w:p w:rsidR="00000000" w:rsidRPr="003E7A63" w:rsidP="003E7A63">
            <w:pPr>
              <w:pStyle w:val="ListBullet2"/>
            </w:pPr>
            <w:r w:rsidRPr="003E7A63">
              <w:t>Assess resources to establish and maintain occupational health and safety management systems.</w:t>
            </w:r>
          </w:p>
        </w:tc>
      </w:tr>
    </w:tbl>
    <w:p w:rsidR="00000000" w:rsidRPr="003E7A63" w:rsidP="003E7A63">
      <w:pPr>
        <w:pStyle w:val="BodyText"/>
      </w:pPr>
    </w:p>
    <w:p w:rsidR="00000000" w:rsidRPr="003E7A63" w:rsidP="003E7A63">
      <w:pPr>
        <w:pStyle w:val="AllowPageBreak"/>
      </w:pPr>
    </w:p>
    <w:p w:rsidR="00000000" w:rsidRPr="003E7A63" w:rsidP="003E7A63">
      <w:pPr>
        <w:pStyle w:val="Heading1"/>
      </w:pPr>
      <w:bookmarkStart w:id="10" w:name="O_418872"/>
      <w:bookmarkEnd w:id="10"/>
      <w:r w:rsidRPr="003E7A63">
        <w:t>Evidence Guide</w:t>
      </w:r>
    </w:p>
    <w:tbl>
      <w:tblPr>
        <w:tblW w:w="0" w:type="auto"/>
        <w:tblLayout w:type="fixed"/>
        <w:tblCellMar>
          <w:left w:w="62" w:type="dxa"/>
          <w:right w:w="62" w:type="dxa"/>
        </w:tblCellMar>
        <w:tblLook w:val="0000"/>
      </w:tblPr>
      <w:tblGrid>
        <w:gridCol w:w="8460"/>
      </w:tblGrid>
      <w:tr w:rsidTr="00B74B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rPr>
                <w:rStyle w:val="SpecialBold"/>
              </w:rPr>
              <w:t>EVIDENCE GUIDE</w:t>
            </w:r>
          </w:p>
        </w:tc>
      </w:tr>
      <w:tr w:rsidTr="00B74BE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rPr>
                <w:rStyle w:val="SpecialBold"/>
              </w:rPr>
              <w:t>9)</w:t>
            </w:r>
            <w:r w:rsidRPr="003E7A63">
              <w:t xml:space="preserve"> This provides essential advice for assessment of the unit and must be read in conjunction with the performance criteria and the range statement of the unit and the Training Package Assessment Guidelines.</w:t>
            </w:r>
          </w:p>
          <w:p w:rsidR="00000000" w:rsidRPr="003E7A63" w:rsidP="003E7A63">
            <w:pPr>
              <w:pStyle w:val="BodyText"/>
            </w:pPr>
            <w:r w:rsidRPr="003E7A63">
              <w:t>Th</w:t>
            </w:r>
            <w:r w:rsidRPr="003E7A63">
              <w:t>e Evidence Guide forms an integral part of this unit. It must be used in conjunction with all parts of this unit and performed in accordance with the Assessment Guidelines of this Training Package.</w:t>
            </w:r>
          </w:p>
        </w:tc>
      </w:tr>
    </w:tbl>
    <w:p w:rsidR="00000000" w:rsidRPr="003E7A63" w:rsidP="003E7A63">
      <w:pPr>
        <w:pStyle w:val="BodyText"/>
      </w:pPr>
    </w:p>
    <w:tbl>
      <w:tblPr>
        <w:tblW w:w="0" w:type="auto"/>
        <w:tblLayout w:type="fixed"/>
        <w:tblCellMar>
          <w:left w:w="62" w:type="dxa"/>
          <w:right w:w="62" w:type="dxa"/>
        </w:tblCellMar>
        <w:tblLook w:val="0000"/>
      </w:tblPr>
      <w:tblGrid>
        <w:gridCol w:w="1890"/>
        <w:gridCol w:w="6570"/>
      </w:tblGrid>
      <w:tr w:rsidTr="00B74B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rPr>
                <w:rStyle w:val="SpecialBold"/>
              </w:rPr>
              <w:t>9.1)</w:t>
            </w:r>
          </w:p>
        </w:tc>
      </w:tr>
      <w:tr w:rsidTr="00B74B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t>Longitudinal competency development approaches to assessment, such as Profiling, require data to be reliably gathered in a form that can be consistently interpreted over time. This approach is best utilised in Apprenticeship programs and reduces assessment</w:t>
            </w:r>
            <w:r w:rsidRPr="003E7A63">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3E7A63">
              <w:t>ncy in a realistically simulated work environment. In some circumstances, assessment in part or full can occur outside the workplace. However, it must be in accordance with industry and regulatory policy.</w:t>
            </w:r>
          </w:p>
          <w:p w:rsidR="00000000" w:rsidRPr="003E7A63" w:rsidP="003E7A63">
            <w:pPr>
              <w:pStyle w:val="BodyText"/>
            </w:pPr>
            <w:r w:rsidRPr="003E7A63">
              <w:t xml:space="preserve">Methods chosen for a particular assessment will be </w:t>
            </w:r>
            <w:r w:rsidRPr="003E7A63">
              <w:t>influenced by various factors. These include the extent of the assessment, the most effective locations for the assessment activities to take place, access to physical resources, additional safety measures that may be required and the critical nature of th</w:t>
            </w:r>
            <w:r w:rsidRPr="003E7A63">
              <w:t>e competencies being assessed.</w:t>
            </w:r>
          </w:p>
          <w:p w:rsidR="00000000" w:rsidRPr="003E7A63" w:rsidP="003E7A63">
            <w:pPr>
              <w:pStyle w:val="BodyText"/>
            </w:pPr>
            <w:r w:rsidRPr="003E7A63">
              <w:t xml:space="preserve">The critical safety issues inherent in working with electricity, electrical equipment, gas or any other hazardous substance/material present a challenge for those determining competence. Sources of evidence need to be ‘rich’ </w:t>
            </w:r>
            <w:r w:rsidRPr="003E7A63">
              <w:t>in nature to minimise error in judgment.</w:t>
            </w:r>
          </w:p>
          <w:p w:rsidR="00000000" w:rsidRPr="003E7A63" w:rsidP="003E7A63">
            <w:pPr>
              <w:pStyle w:val="BodyText"/>
            </w:pPr>
            <w:r w:rsidRPr="003E7A63">
              <w:t>Activities associated with normal everyday work have a bearing on the decision as to how much and how detailed the data gathered will contribute to its ‘richness’. Some skills are more critical to safety and operati</w:t>
            </w:r>
            <w:r w:rsidRPr="003E7A63">
              <w:t>onal requirements while the same skills may be more or less frequently practised. These points are raised for the assessors to consider when choosing an assessment method and developing assessment instruments. Sample assessment instruments are included for</w:t>
            </w:r>
            <w:r w:rsidRPr="003E7A63">
              <w:t xml:space="preserve"> Assessors in the Assessment Guidelines of this Training Package.</w:t>
            </w:r>
          </w:p>
        </w:tc>
      </w:tr>
    </w:tbl>
    <w:p w:rsidR="00000000" w:rsidRPr="003E7A63" w:rsidP="003E7A63">
      <w:pPr>
        <w:pStyle w:val="BodyText"/>
      </w:pPr>
    </w:p>
    <w:tbl>
      <w:tblPr>
        <w:tblW w:w="0" w:type="auto"/>
        <w:tblLayout w:type="fixed"/>
        <w:tblCellMar>
          <w:left w:w="62" w:type="dxa"/>
          <w:right w:w="62" w:type="dxa"/>
        </w:tblCellMar>
        <w:tblLook w:val="0000"/>
      </w:tblPr>
      <w:tblGrid>
        <w:gridCol w:w="1890"/>
        <w:gridCol w:w="1530"/>
        <w:gridCol w:w="5040"/>
      </w:tblGrid>
      <w:tr w:rsidTr="00B74B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rPr>
                <w:rStyle w:val="SpecialBold"/>
              </w:rPr>
              <w:t>9.2)</w:t>
            </w:r>
          </w:p>
        </w:tc>
      </w:tr>
      <w:tr w:rsidTr="00B74B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t>Before the critical aspects of evidence are considered all prerequisites must be met.</w:t>
            </w:r>
          </w:p>
          <w:p w:rsidR="00000000" w:rsidRPr="003E7A63" w:rsidP="003E7A63">
            <w:pPr>
              <w:pStyle w:val="BodyText"/>
            </w:pPr>
            <w:r w:rsidRPr="003E7A63">
              <w:t>Evidence for competence in this unit must be considered holistically.  Each element and associated performance criteria must be demonstrated on at least two occasions in accordance with the ‘Assessment Guidelines – UEE11’.  Evidence must  also comprise:</w:t>
            </w:r>
          </w:p>
          <w:p w:rsidR="00000000" w:rsidRPr="003E7A63" w:rsidP="003E7A63">
            <w:pPr>
              <w:pStyle w:val="ListBullet"/>
            </w:pPr>
            <w:r w:rsidRPr="003E7A63">
              <w:t>A</w:t>
            </w:r>
            <w:r w:rsidRPr="003E7A63">
              <w:t xml:space="preserve"> representative body of work performance demonstrated within the timeframes typically expected of the discipline, work function and industrial environment. In particular this must  incorporate evidence that shows a candidate is able to:</w:t>
            </w:r>
          </w:p>
          <w:p w:rsidR="00000000" w:rsidRPr="003E7A63" w:rsidP="003E7A63">
            <w:pPr>
              <w:pStyle w:val="ListBullet2"/>
            </w:pPr>
            <w:r w:rsidRPr="003E7A63">
              <w:t>Implement Occupational Health and Safety workplace procedures and practices including the use of risk control measures as specified in the performance criteria and range statement</w:t>
            </w:r>
          </w:p>
          <w:p w:rsidR="00000000" w:rsidRPr="003E7A63" w:rsidP="003E7A63">
            <w:pPr>
              <w:pStyle w:val="ListBullet2"/>
            </w:pPr>
            <w:r w:rsidRPr="003E7A63">
              <w:t>Apply sustainable energy principles and practices as specified in the perfor</w:t>
            </w:r>
            <w:r w:rsidRPr="003E7A63">
              <w:t>mance criteria and range statement</w:t>
            </w:r>
          </w:p>
          <w:p w:rsidR="00000000" w:rsidRPr="003E7A63" w:rsidP="003E7A63">
            <w:pPr>
              <w:pStyle w:val="ListBullet2"/>
            </w:pPr>
            <w:r w:rsidRPr="003E7A63">
              <w:t>Demonstrate an understanding of the essential knowledge and associated skills as described in this unit.  It may be required by some jurisdictions that RTOs provide a percentile graded result for the purpose of regulatory</w:t>
            </w:r>
            <w:r w:rsidRPr="003E7A63">
              <w:t xml:space="preserve"> or licensing requirements.</w:t>
            </w:r>
          </w:p>
          <w:p w:rsidR="00000000" w:rsidRPr="003E7A63" w:rsidP="003E7A63">
            <w:pPr>
              <w:pStyle w:val="ListBullet2"/>
            </w:pPr>
            <w:r w:rsidRPr="003E7A63">
              <w:t>Demonstrate an appropriate level of skills enabling employment</w:t>
            </w:r>
          </w:p>
          <w:p w:rsidR="00000000" w:rsidRPr="003E7A63" w:rsidP="003E7A63">
            <w:pPr>
              <w:pStyle w:val="ListBullet2"/>
            </w:pPr>
            <w:r w:rsidRPr="003E7A63">
              <w:t>Conduct work observing the relevant Anti Discrimination legislation, regulations, polices and workplace procedures</w:t>
            </w:r>
          </w:p>
          <w:p w:rsidR="00000000" w:rsidRPr="003E7A63" w:rsidP="003E7A63">
            <w:pPr>
              <w:pStyle w:val="ListBullet"/>
            </w:pPr>
            <w:r w:rsidRPr="003E7A63">
              <w:t>Demonstrated consistent performance across a repr</w:t>
            </w:r>
            <w:r w:rsidRPr="003E7A63">
              <w:t>esentative range of contexts from the prescribed items below:</w:t>
            </w:r>
          </w:p>
          <w:p w:rsidR="00000000" w:rsidP="003E7A63">
            <w:pPr>
              <w:pStyle w:val="ListBullet2"/>
              <w:rPr>
                <w:lang w:val="en-NZ"/>
              </w:rPr>
            </w:pPr>
            <w:r w:rsidRPr="003E7A63">
              <w:t>Manage renewable energy projects as described in 8) and including:</w:t>
            </w:r>
          </w:p>
        </w:tc>
      </w:tr>
      <w:tr w:rsidTr="00B74BE5">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A</w:t>
            </w:r>
          </w:p>
        </w:tc>
        <w:tc>
          <w:tcPr>
            <w:tcW w:w="504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Establishing the scope of the project accurately,</w:t>
            </w:r>
          </w:p>
        </w:tc>
      </w:tr>
      <w:tr w:rsidTr="00B74B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B</w:t>
            </w:r>
          </w:p>
        </w:tc>
        <w:tc>
          <w:tcPr>
            <w:tcW w:w="504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Ascertaining the input a project</w:t>
            </w:r>
          </w:p>
        </w:tc>
      </w:tr>
      <w:tr w:rsidTr="00B74B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C</w:t>
            </w:r>
          </w:p>
        </w:tc>
        <w:tc>
          <w:tcPr>
            <w:tcW w:w="504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Developing effective management processes,</w:t>
            </w:r>
          </w:p>
        </w:tc>
      </w:tr>
      <w:tr w:rsidTr="00B74B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D</w:t>
            </w:r>
          </w:p>
        </w:tc>
        <w:tc>
          <w:tcPr>
            <w:tcW w:w="504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Managing resources and variations effectively</w:t>
            </w:r>
          </w:p>
        </w:tc>
      </w:tr>
      <w:tr w:rsidTr="00B74B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E</w:t>
            </w:r>
          </w:p>
        </w:tc>
        <w:tc>
          <w:tcPr>
            <w:tcW w:w="504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Resolving conflicts</w:t>
            </w:r>
          </w:p>
        </w:tc>
      </w:tr>
      <w:tr w:rsidTr="00B74BE5">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F</w:t>
            </w:r>
          </w:p>
        </w:tc>
        <w:tc>
          <w:tcPr>
            <w:tcW w:w="504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Adopting risk management strategies</w:t>
            </w:r>
          </w:p>
        </w:tc>
      </w:tr>
      <w:tr w:rsidTr="00B74B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G</w:t>
            </w:r>
          </w:p>
        </w:tc>
        <w:tc>
          <w:tcPr>
            <w:tcW w:w="504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Maintaining records and submitting progress reports</w:t>
            </w:r>
          </w:p>
        </w:tc>
      </w:tr>
      <w:tr w:rsidTr="00B74B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H</w:t>
            </w:r>
          </w:p>
        </w:tc>
        <w:tc>
          <w:tcPr>
            <w:tcW w:w="504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Meeting project outcomes</w:t>
            </w:r>
          </w:p>
        </w:tc>
      </w:tr>
      <w:tr w:rsidTr="00B74B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I</w:t>
            </w:r>
          </w:p>
        </w:tc>
        <w:tc>
          <w:tcPr>
            <w:tcW w:w="504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t>Dealing with unplanned events by drawing on essential knowledge and skills to provide appropriate solutions incorporated in a holistic assessment with the above listed items</w:t>
            </w:r>
          </w:p>
        </w:tc>
      </w:tr>
      <w:tr w:rsidTr="00B74B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t xml:space="preserve">Note: </w:t>
            </w:r>
          </w:p>
          <w:p w:rsidR="00000000" w:rsidRPr="003E7A63" w:rsidP="003E7A63">
            <w:pPr>
              <w:pStyle w:val="BodyText"/>
            </w:pPr>
            <w:r w:rsidRPr="003E7A63">
              <w:t>Successful completion of relevant vendor training may be used to contrib</w:t>
            </w:r>
            <w:r w:rsidRPr="003E7A63">
              <w:t>ute to evidence on which competency is deemed. In these cases the alignment of outcomes of vendor training with performance criteria and critical aspects of evidence must be clearly identified</w:t>
            </w:r>
          </w:p>
        </w:tc>
      </w:tr>
    </w:tbl>
    <w:p w:rsidR="00000000" w:rsidRPr="003E7A63" w:rsidP="003E7A63">
      <w:pPr>
        <w:pStyle w:val="BodyText"/>
      </w:pPr>
    </w:p>
    <w:tbl>
      <w:tblPr>
        <w:tblW w:w="0" w:type="auto"/>
        <w:tblLayout w:type="fixed"/>
        <w:tblCellMar>
          <w:left w:w="62" w:type="dxa"/>
          <w:right w:w="62" w:type="dxa"/>
        </w:tblCellMar>
        <w:tblLook w:val="0000"/>
      </w:tblPr>
      <w:tblGrid>
        <w:gridCol w:w="1890"/>
        <w:gridCol w:w="6570"/>
      </w:tblGrid>
      <w:tr w:rsidTr="00B74BE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rPr>
                <w:rStyle w:val="SpecialBold"/>
              </w:rPr>
              <w:t>9.3)</w:t>
            </w:r>
          </w:p>
        </w:tc>
      </w:tr>
      <w:tr w:rsidTr="00B74BE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t>This unit should be assessed as it relates to normal work practice using procedures, information and resources typical of a workplace. This should include:</w:t>
            </w:r>
          </w:p>
          <w:p w:rsidR="00000000" w:rsidRPr="003E7A63" w:rsidP="003E7A63">
            <w:pPr>
              <w:pStyle w:val="ListBullet2"/>
            </w:pPr>
            <w:r w:rsidRPr="003E7A63">
              <w:t>OHS policy and work procedures and instructions.</w:t>
            </w:r>
          </w:p>
          <w:p w:rsidR="00000000" w:rsidRPr="003E7A63" w:rsidP="003E7A63">
            <w:pPr>
              <w:pStyle w:val="ListBullet2"/>
            </w:pPr>
            <w:r w:rsidRPr="003E7A63">
              <w:t>Suitable work environment, facilities, equipment a</w:t>
            </w:r>
            <w:r w:rsidRPr="003E7A63">
              <w:t>nd materials to undertake actual work as prescribed by this unit.</w:t>
            </w:r>
          </w:p>
          <w:p w:rsidR="00000000" w:rsidRPr="003E7A63" w:rsidP="003E7A63">
            <w:pPr>
              <w:pStyle w:val="BodyText"/>
            </w:pPr>
            <w:r w:rsidRPr="003E7A63">
              <w:t>These should be part of the formal learning/assessment environment.</w:t>
            </w:r>
          </w:p>
          <w:p w:rsidR="00000000" w:rsidRPr="003E7A63" w:rsidP="003E7A63">
            <w:pPr>
              <w:pStyle w:val="BodyText"/>
            </w:pPr>
            <w:r w:rsidRPr="003E7A63">
              <w:t>Note:</w:t>
            </w:r>
          </w:p>
          <w:p w:rsidR="00000000" w:rsidRPr="003E7A63" w:rsidP="003E7A63">
            <w:pPr>
              <w:pStyle w:val="BodyText"/>
            </w:pPr>
            <w:r w:rsidRPr="003E7A63">
              <w:t>Where simulation is considered a suitable strategy for assessment, conditions must be authentic and as far as possib</w:t>
            </w:r>
            <w:r w:rsidRPr="003E7A63">
              <w:t>le reproduce and replicate the workplace and be consistent with the approved industry simulation policy.</w:t>
            </w:r>
          </w:p>
          <w:p w:rsidR="00000000" w:rsidRPr="003E7A63" w:rsidP="003E7A63">
            <w:pPr>
              <w:pStyle w:val="BodyText"/>
            </w:pPr>
            <w:r w:rsidRPr="003E7A63">
              <w:t>The resources used for assessment should reflect current industry practices in relation to managing renewable energy projects.</w:t>
            </w:r>
          </w:p>
        </w:tc>
      </w:tr>
    </w:tbl>
    <w:p w:rsidR="00000000" w:rsidRPr="003E7A63" w:rsidP="003E7A63">
      <w:pPr>
        <w:pStyle w:val="BodyText"/>
      </w:pPr>
    </w:p>
    <w:tbl>
      <w:tblPr>
        <w:tblW w:w="0" w:type="auto"/>
        <w:tblLayout w:type="fixed"/>
        <w:tblCellMar>
          <w:left w:w="62" w:type="dxa"/>
          <w:right w:w="62" w:type="dxa"/>
        </w:tblCellMar>
        <w:tblLook w:val="0000"/>
      </w:tblPr>
      <w:tblGrid>
        <w:gridCol w:w="1890"/>
        <w:gridCol w:w="6570"/>
      </w:tblGrid>
      <w:tr w:rsidTr="00B74B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rPr>
                <w:rStyle w:val="SpecialBold"/>
              </w:rPr>
              <w:t>9.4)</w:t>
            </w:r>
          </w:p>
        </w:tc>
      </w:tr>
      <w:tr w:rsidTr="00B74B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t>This unit shall be assessed by methods given in Volume 1, Part 3 ‘Assessment Guidelines’.</w:t>
            </w:r>
          </w:p>
          <w:p w:rsidR="00000000" w:rsidRPr="003E7A63" w:rsidP="003E7A63">
            <w:pPr>
              <w:pStyle w:val="BodyText"/>
            </w:pPr>
            <w:r w:rsidRPr="003E7A63">
              <w:t xml:space="preserve">Note: </w:t>
            </w:r>
          </w:p>
          <w:p w:rsidR="00000000" w:rsidRPr="003E7A63" w:rsidP="003E7A63">
            <w:pPr>
              <w:pStyle w:val="BodyText"/>
            </w:pPr>
            <w:r w:rsidRPr="003E7A63">
              <w:t>Competent performance with inherent safe working practices is expected in the Industry to which this unit applies. This requires assessment in a structu</w:t>
            </w:r>
            <w:r w:rsidRPr="003E7A63">
              <w:t>red environment which is intended primarily for learning/assessment and incorporates all necessary equipment and facilities for learners to develop and demonstrate the essential knowledge and skills described in this unit.</w:t>
            </w:r>
          </w:p>
        </w:tc>
      </w:tr>
    </w:tbl>
    <w:p w:rsidR="00000000" w:rsidRPr="003E7A63" w:rsidP="003E7A63">
      <w:pPr>
        <w:pStyle w:val="BodyText"/>
      </w:pPr>
    </w:p>
    <w:tbl>
      <w:tblPr>
        <w:tblW w:w="0" w:type="auto"/>
        <w:tblLayout w:type="fixed"/>
        <w:tblCellMar>
          <w:left w:w="62" w:type="dxa"/>
          <w:right w:w="62" w:type="dxa"/>
        </w:tblCellMar>
        <w:tblLook w:val="0000"/>
      </w:tblPr>
      <w:tblGrid>
        <w:gridCol w:w="1890"/>
        <w:gridCol w:w="6570"/>
      </w:tblGrid>
      <w:tr w:rsidTr="00B74B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rPr>
                <w:rStyle w:val="SpecialBold"/>
              </w:rPr>
              <w:t>Concurrent assessment and relat</w:t>
            </w:r>
            <w:r w:rsidRPr="003E7A63">
              <w:rPr>
                <w:rStyle w:val="SpecialBold"/>
              </w:rPr>
              <w:t>ionship with other units</w:t>
            </w:r>
          </w:p>
        </w:tc>
        <w:tc>
          <w:tcPr>
            <w:tcW w:w="657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rPr>
                <w:rStyle w:val="SpecialBold"/>
              </w:rPr>
              <w:t>9.5)</w:t>
            </w:r>
          </w:p>
        </w:tc>
      </w:tr>
      <w:tr w:rsidTr="00B74B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t>There are no concurrent assessment recommendations for this unit.</w:t>
            </w:r>
          </w:p>
        </w:tc>
      </w:tr>
    </w:tbl>
    <w:p w:rsidR="00000000" w:rsidRPr="003E7A63" w:rsidP="003E7A63">
      <w:pPr>
        <w:pStyle w:val="BodyText"/>
      </w:pPr>
    </w:p>
    <w:p w:rsidR="00000000" w:rsidRPr="003E7A63" w:rsidP="003E7A63">
      <w:pPr>
        <w:pStyle w:val="AllowPageBreak"/>
      </w:pPr>
    </w:p>
    <w:p w:rsidR="00000000" w:rsidRPr="003E7A63" w:rsidP="003E7A63">
      <w:pPr>
        <w:pStyle w:val="Heading1"/>
      </w:pPr>
      <w:bookmarkStart w:id="11" w:name="O_418876"/>
      <w:bookmarkEnd w:id="11"/>
      <w:r w:rsidRPr="003E7A63">
        <w:t>Range Statement</w:t>
      </w:r>
    </w:p>
    <w:tbl>
      <w:tblPr>
        <w:tblW w:w="0" w:type="auto"/>
        <w:tblLayout w:type="fixed"/>
        <w:tblCellMar>
          <w:left w:w="62" w:type="dxa"/>
          <w:right w:w="62" w:type="dxa"/>
        </w:tblCellMar>
        <w:tblLook w:val="0000"/>
      </w:tblPr>
      <w:tblGrid>
        <w:gridCol w:w="8460"/>
      </w:tblGrid>
      <w:tr w:rsidTr="00B74B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rPr>
                <w:rStyle w:val="SpecialBold"/>
              </w:rPr>
              <w:t>RANGE STATEMENT</w:t>
            </w:r>
          </w:p>
        </w:tc>
      </w:tr>
      <w:tr w:rsidTr="00B74BE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rPr>
                <w:rStyle w:val="SpecialBold"/>
              </w:rPr>
              <w:t>10)</w:t>
            </w:r>
            <w:r w:rsidRPr="003E7A63">
              <w:t xml:space="preserve"> This relates to the unit as a whole providing the range of contexts and conditions to which </w:t>
            </w:r>
            <w:r w:rsidRPr="003E7A63">
              <w:t>the performance criteria apply. It allows for different work environments and situations that will affect performance.</w:t>
            </w:r>
          </w:p>
          <w:p w:rsidR="00000000" w:rsidRPr="003E7A63" w:rsidP="003E7A63">
            <w:pPr>
              <w:pStyle w:val="BodyText"/>
            </w:pPr>
            <w:r w:rsidRPr="003E7A63">
              <w:t>This unit must be demonstrated in relation to managing an industry accepted medium sized renewable energy project.</w:t>
            </w:r>
          </w:p>
          <w:p w:rsidR="00000000" w:rsidRPr="003E7A63" w:rsidP="003E7A63">
            <w:pPr>
              <w:pStyle w:val="BodyText"/>
            </w:pPr>
            <w:r w:rsidRPr="003E7A63">
              <w:t>Generic terms used thr</w:t>
            </w:r>
            <w:r w:rsidRPr="003E7A63">
              <w:t>oughout this Vocational Standard shall be regarded as part of the Range Statement in which competency is demonstrated. The definition of these and other terms that apply are given in Volume 2, Part 2.1.</w:t>
            </w:r>
          </w:p>
        </w:tc>
      </w:tr>
    </w:tbl>
    <w:p w:rsidR="00000000" w:rsidRPr="003E7A63" w:rsidP="003E7A63">
      <w:pPr>
        <w:pStyle w:val="BodyText"/>
      </w:pPr>
    </w:p>
    <w:p w:rsidR="00000000" w:rsidRPr="003E7A63" w:rsidP="003E7A63">
      <w:pPr>
        <w:pStyle w:val="AllowPageBreak"/>
      </w:pPr>
    </w:p>
    <w:p w:rsidR="00000000" w:rsidRPr="003E7A63" w:rsidP="003E7A63">
      <w:pPr>
        <w:pStyle w:val="Heading1"/>
      </w:pPr>
      <w:bookmarkStart w:id="12" w:name="O_418879"/>
      <w:bookmarkEnd w:id="12"/>
      <w:r w:rsidRPr="003E7A63">
        <w:t>Unit Sector(s)</w:t>
      </w:r>
    </w:p>
    <w:p w:rsidR="00000000" w:rsidRPr="003E7A63" w:rsidP="003E7A63">
      <w:pPr>
        <w:pStyle w:val="BodyText"/>
      </w:pPr>
      <w:r w:rsidRPr="003E7A63">
        <w:t>Not applicable.</w:t>
      </w:r>
    </w:p>
    <w:p w:rsidR="00000000" w:rsidRPr="003E7A63" w:rsidP="003E7A63">
      <w:pPr>
        <w:pStyle w:val="AllowPageBreak"/>
      </w:pPr>
    </w:p>
    <w:p w:rsidR="00000000" w:rsidRPr="003E7A63" w:rsidP="003E7A63">
      <w:pPr>
        <w:pStyle w:val="Heading1"/>
      </w:pPr>
      <w:bookmarkStart w:id="13" w:name="O_418868"/>
      <w:bookmarkEnd w:id="13"/>
      <w:r w:rsidRPr="003E7A63">
        <w:t>Competency Field</w:t>
      </w:r>
    </w:p>
    <w:tbl>
      <w:tblPr>
        <w:tblW w:w="0" w:type="auto"/>
        <w:tblLayout w:type="fixed"/>
        <w:tblCellMar>
          <w:left w:w="62" w:type="dxa"/>
          <w:right w:w="62" w:type="dxa"/>
        </w:tblCellMar>
        <w:tblLook w:val="0000"/>
      </w:tblPr>
      <w:tblGrid>
        <w:gridCol w:w="2700"/>
        <w:gridCol w:w="5760"/>
      </w:tblGrid>
      <w:tr w:rsidTr="00B74B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E7A63">
            <w:pPr>
              <w:pStyle w:val="BodyText"/>
              <w:rPr>
                <w:lang w:val="en-NZ"/>
              </w:rPr>
            </w:pPr>
            <w:r w:rsidRPr="003E7A63">
              <w:rPr>
                <w:rStyle w:val="SpecialBold"/>
              </w:rPr>
              <w:t xml:space="preserve">11) </w:t>
            </w:r>
          </w:p>
        </w:tc>
      </w:tr>
      <w:tr w:rsidTr="00B74B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E7A63" w:rsidP="003E7A63">
            <w:pPr>
              <w:pStyle w:val="BodyText"/>
            </w:pPr>
            <w:r w:rsidRPr="003E7A63">
              <w:t>Renewable and Sustainable Energy</w:t>
            </w:r>
          </w:p>
        </w:tc>
      </w:tr>
    </w:tbl>
    <w:p w:rsidR="00000000" w:rsidRPr="003E7A63" w:rsidP="003E7A63">
      <w:pPr>
        <w:pStyle w:val="BodyText"/>
      </w:pPr>
    </w:p>
    <w:p w:rsidR="00000000" w:rsidRPr="003E7A63" w:rsidP="003E7A63"/>
    <w:sectPr w:rsidSect="003E7A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A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BE5" w:rsidP="00B74B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A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BE5" w:rsidP="003E7A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74BE5" w:rsidP="003E7A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74BE5" w:rsidP="003E7A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A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BE5" w:rsidP="00B74B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A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BE5" w:rsidP="003E7A63">
    <w:pPr>
      <w:pStyle w:val="Header"/>
      <w:framePr w:wrap="around"/>
    </w:pPr>
    <w:r>
      <w:fldChar w:fldCharType="begin"/>
    </w:r>
    <w:r>
      <w:instrText xml:space="preserve"> TITLE   \* MERGEFORMAT </w:instrText>
    </w:r>
    <w:r>
      <w:fldChar w:fldCharType="separate"/>
    </w:r>
    <w:r>
      <w:t>UEENEEK121A Manage renewable energy (RE)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4BE5" w:rsidP="003E7A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1481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C46B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0631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A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7A63"/>
    <w:pPr>
      <w:spacing w:before="360" w:after="60"/>
      <w:outlineLvl w:val="0"/>
    </w:pPr>
    <w:rPr>
      <w:sz w:val="32"/>
    </w:rPr>
  </w:style>
  <w:style w:type="paragraph" w:styleId="Heading2">
    <w:name w:val="heading 2"/>
    <w:basedOn w:val="HeadingBase"/>
    <w:next w:val="BodyText"/>
    <w:link w:val="Heading2Char"/>
    <w:qFormat/>
    <w:rsid w:val="003E7A63"/>
    <w:pPr>
      <w:keepLines/>
      <w:spacing w:before="240" w:after="120"/>
      <w:outlineLvl w:val="1"/>
    </w:pPr>
    <w:rPr>
      <w:sz w:val="28"/>
      <w:szCs w:val="40"/>
    </w:rPr>
  </w:style>
  <w:style w:type="paragraph" w:styleId="Heading3">
    <w:name w:val="heading 3"/>
    <w:basedOn w:val="HeadingBase"/>
    <w:next w:val="BodyText"/>
    <w:link w:val="Heading3Char"/>
    <w:qFormat/>
    <w:rsid w:val="003E7A63"/>
    <w:pPr>
      <w:spacing w:before="180" w:after="120"/>
      <w:outlineLvl w:val="2"/>
    </w:pPr>
    <w:rPr>
      <w:spacing w:val="-10"/>
      <w:kern w:val="32"/>
    </w:rPr>
  </w:style>
  <w:style w:type="paragraph" w:styleId="Heading4">
    <w:name w:val="heading 4"/>
    <w:basedOn w:val="HeadingBase"/>
    <w:next w:val="BodyText"/>
    <w:link w:val="Heading4Char"/>
    <w:qFormat/>
    <w:rsid w:val="003E7A63"/>
    <w:pPr>
      <w:spacing w:before="160" w:after="120"/>
      <w:outlineLvl w:val="3"/>
    </w:pPr>
    <w:rPr>
      <w:sz w:val="22"/>
    </w:rPr>
  </w:style>
  <w:style w:type="paragraph" w:styleId="Heading5">
    <w:name w:val="heading 5"/>
    <w:basedOn w:val="HeadingBase"/>
    <w:next w:val="Normal"/>
    <w:link w:val="Heading5Char"/>
    <w:qFormat/>
    <w:rsid w:val="003E7A63"/>
    <w:pPr>
      <w:spacing w:before="80"/>
      <w:outlineLvl w:val="4"/>
    </w:pPr>
    <w:rPr>
      <w:color w:val="918585"/>
      <w:sz w:val="20"/>
    </w:rPr>
  </w:style>
  <w:style w:type="paragraph" w:styleId="Heading6">
    <w:name w:val="heading 6"/>
    <w:basedOn w:val="HeadingBase"/>
    <w:next w:val="Normal"/>
    <w:link w:val="Heading6Char"/>
    <w:qFormat/>
    <w:rsid w:val="003E7A63"/>
    <w:pPr>
      <w:spacing w:before="60"/>
      <w:outlineLvl w:val="5"/>
    </w:pPr>
    <w:rPr>
      <w:color w:val="918585"/>
      <w:sz w:val="20"/>
    </w:rPr>
  </w:style>
  <w:style w:type="paragraph" w:styleId="Heading7">
    <w:name w:val="heading 7"/>
    <w:basedOn w:val="Normal"/>
    <w:next w:val="Normal"/>
    <w:link w:val="Heading7Char"/>
    <w:qFormat/>
    <w:rsid w:val="003E7A63"/>
    <w:pPr>
      <w:ind w:left="720"/>
      <w:outlineLvl w:val="6"/>
    </w:pPr>
    <w:rPr>
      <w:i/>
    </w:rPr>
  </w:style>
  <w:style w:type="paragraph" w:styleId="Heading8">
    <w:name w:val="heading 8"/>
    <w:basedOn w:val="Normal"/>
    <w:next w:val="Normal"/>
    <w:link w:val="Heading8Char"/>
    <w:qFormat/>
    <w:rsid w:val="003E7A63"/>
    <w:pPr>
      <w:ind w:left="720"/>
      <w:outlineLvl w:val="7"/>
    </w:pPr>
    <w:rPr>
      <w:i/>
    </w:rPr>
  </w:style>
  <w:style w:type="paragraph" w:styleId="Heading9">
    <w:name w:val="heading 9"/>
    <w:basedOn w:val="Normal"/>
    <w:next w:val="Normal"/>
    <w:link w:val="Heading9Char"/>
    <w:qFormat/>
    <w:rsid w:val="003E7A63"/>
    <w:pPr>
      <w:ind w:left="720"/>
      <w:outlineLvl w:val="8"/>
    </w:pPr>
    <w:rPr>
      <w:i/>
    </w:rPr>
  </w:style>
  <w:style w:type="character" w:default="1" w:styleId="DefaultParagraphFont">
    <w:name w:val="Default Paragraph Font"/>
    <w:uiPriority w:val="1"/>
    <w:unhideWhenUsed/>
    <w:rsid w:val="003E7A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A63"/>
  </w:style>
  <w:style w:type="character" w:customStyle="1" w:styleId="Heading1Char">
    <w:name w:val="Heading 1 Char"/>
    <w:basedOn w:val="DefaultParagraphFont"/>
    <w:link w:val="Heading1"/>
    <w:rsid w:val="003E7A63"/>
    <w:rPr>
      <w:rFonts w:ascii="Times New Roman" w:eastAsia="Times New Roman" w:hAnsi="Times New Roman" w:cs="Times New Roman"/>
      <w:b/>
      <w:sz w:val="32"/>
      <w:szCs w:val="20"/>
      <w:lang w:eastAsia="en-US"/>
    </w:rPr>
  </w:style>
  <w:style w:type="paragraph" w:styleId="BodyText">
    <w:name w:val="Body Text"/>
    <w:basedOn w:val="Normal"/>
    <w:link w:val="BodyTextChar"/>
    <w:rsid w:val="003E7A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7A63"/>
    <w:rPr>
      <w:rFonts w:ascii="Times New Roman" w:eastAsia="Times New Roman" w:hAnsi="Times New Roman" w:cs="Times New Roman"/>
      <w:sz w:val="24"/>
      <w:lang w:val="en-US" w:eastAsia="en-US"/>
    </w:rPr>
  </w:style>
  <w:style w:type="paragraph" w:styleId="Footer">
    <w:name w:val="footer"/>
    <w:basedOn w:val="Normal"/>
    <w:link w:val="FooterChar"/>
    <w:rsid w:val="003E7A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A63"/>
    <w:rPr>
      <w:rFonts w:ascii="Times New Roman" w:eastAsia="Times New Roman" w:hAnsi="Times New Roman" w:cs="Times New Roman"/>
      <w:sz w:val="16"/>
      <w:lang w:val="en-US" w:eastAsia="en-US"/>
    </w:rPr>
  </w:style>
  <w:style w:type="paragraph" w:styleId="ListBullet">
    <w:name w:val="List Bullet"/>
    <w:basedOn w:val="List"/>
    <w:rsid w:val="003E7A63"/>
    <w:pPr>
      <w:numPr>
        <w:numId w:val="13"/>
      </w:numPr>
      <w:tabs>
        <w:tab w:val="clear" w:pos="340"/>
      </w:tabs>
      <w:spacing w:before="40" w:after="40"/>
    </w:pPr>
  </w:style>
  <w:style w:type="character" w:customStyle="1" w:styleId="SpecialBold">
    <w:name w:val="Special Bold"/>
    <w:basedOn w:val="DefaultParagraphFont"/>
    <w:rsid w:val="003E7A63"/>
    <w:rPr>
      <w:b/>
      <w:spacing w:val="0"/>
    </w:rPr>
  </w:style>
  <w:style w:type="paragraph" w:styleId="ListBullet2">
    <w:name w:val="List Bullet 2"/>
    <w:basedOn w:val="List2"/>
    <w:rsid w:val="003E7A63"/>
    <w:pPr>
      <w:numPr>
        <w:numId w:val="14"/>
      </w:numPr>
      <w:tabs>
        <w:tab w:val="clear" w:pos="680"/>
      </w:tabs>
    </w:pPr>
  </w:style>
  <w:style w:type="paragraph" w:styleId="Header">
    <w:name w:val="header"/>
    <w:basedOn w:val="Normal"/>
    <w:link w:val="HeaderChar"/>
    <w:rsid w:val="003E7A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A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7A63"/>
    <w:pPr>
      <w:spacing w:before="240" w:after="120"/>
      <w:outlineLvl w:val="0"/>
    </w:pPr>
    <w:rPr>
      <w:rFonts w:ascii="Times New Roman" w:hAnsi="Times New Roman"/>
      <w:b/>
      <w:sz w:val="28"/>
    </w:rPr>
  </w:style>
  <w:style w:type="paragraph" w:customStyle="1" w:styleId="AllowPageBreak">
    <w:name w:val="AllowPageBreak"/>
    <w:rsid w:val="003E7A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7A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A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A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A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A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A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7A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7A63"/>
    <w:rPr>
      <w:rFonts w:ascii="Courier New" w:eastAsia="Times New Roman" w:hAnsi="Courier New" w:cs="Times New Roman"/>
      <w:i/>
      <w:szCs w:val="20"/>
      <w:lang w:val="en-US" w:eastAsia="en-US"/>
    </w:rPr>
  </w:style>
  <w:style w:type="paragraph" w:customStyle="1" w:styleId="HeadingBase">
    <w:name w:val="Heading Base"/>
    <w:rsid w:val="003E7A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A63"/>
    <w:pPr>
      <w:tabs>
        <w:tab w:val="right" w:leader="dot" w:pos="9072"/>
      </w:tabs>
      <w:ind w:left="567"/>
    </w:pPr>
    <w:rPr>
      <w:szCs w:val="22"/>
    </w:rPr>
  </w:style>
  <w:style w:type="paragraph" w:customStyle="1" w:styleId="TOCBase">
    <w:name w:val="TOC Base"/>
    <w:rsid w:val="003E7A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A63"/>
    <w:pPr>
      <w:tabs>
        <w:tab w:val="right" w:leader="dot" w:pos="9072"/>
      </w:tabs>
      <w:spacing w:before="40" w:after="40"/>
      <w:ind w:left="284"/>
    </w:pPr>
    <w:rPr>
      <w:rFonts w:ascii="Times New Roman" w:hAnsi="Times New Roman"/>
    </w:rPr>
  </w:style>
  <w:style w:type="paragraph" w:styleId="TOC1">
    <w:name w:val="toc 1"/>
    <w:basedOn w:val="TOCBase"/>
    <w:next w:val="Normal"/>
    <w:rsid w:val="003E7A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7A63"/>
    <w:pPr>
      <w:spacing w:before="5040"/>
      <w:jc w:val="center"/>
    </w:pPr>
    <w:rPr>
      <w:sz w:val="48"/>
      <w:szCs w:val="72"/>
      <w:lang w:val="en-US"/>
    </w:rPr>
  </w:style>
  <w:style w:type="character" w:customStyle="1" w:styleId="TitleChar">
    <w:name w:val="Title Char"/>
    <w:basedOn w:val="DefaultParagraphFont"/>
    <w:link w:val="Title"/>
    <w:rsid w:val="003E7A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A63"/>
    <w:pPr>
      <w:tabs>
        <w:tab w:val="left" w:pos="3600"/>
        <w:tab w:val="left" w:pos="3958"/>
      </w:tabs>
    </w:pPr>
  </w:style>
  <w:style w:type="paragraph" w:styleId="List">
    <w:name w:val="List"/>
    <w:basedOn w:val="BodyText"/>
    <w:next w:val="BodyText"/>
    <w:rsid w:val="003E7A63"/>
    <w:pPr>
      <w:tabs>
        <w:tab w:val="left" w:pos="340"/>
      </w:tabs>
      <w:spacing w:before="60" w:after="60"/>
      <w:ind w:left="340" w:hanging="340"/>
    </w:pPr>
  </w:style>
  <w:style w:type="paragraph" w:customStyle="1" w:styleId="Note">
    <w:name w:val="Note"/>
    <w:basedOn w:val="BodyText"/>
    <w:rsid w:val="003E7A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A63"/>
    <w:pPr>
      <w:framePr w:wrap="auto" w:hAnchor="text" w:y="6049"/>
    </w:pPr>
    <w:rPr>
      <w:color w:val="000000"/>
      <w:sz w:val="40"/>
    </w:rPr>
  </w:style>
  <w:style w:type="paragraph" w:customStyle="1" w:styleId="TOCTitle">
    <w:name w:val="TOCTitle"/>
    <w:basedOn w:val="Heading1"/>
    <w:rsid w:val="003E7A63"/>
    <w:pPr>
      <w:spacing w:after="240"/>
      <w:jc w:val="center"/>
      <w:outlineLvl w:val="9"/>
    </w:pPr>
    <w:rPr>
      <w:caps/>
    </w:rPr>
  </w:style>
  <w:style w:type="paragraph" w:customStyle="1" w:styleId="Version">
    <w:name w:val="Version"/>
    <w:rsid w:val="003E7A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7A63"/>
    <w:pPr>
      <w:keepNext w:val="0"/>
      <w:tabs>
        <w:tab w:val="right" w:pos="4176"/>
      </w:tabs>
      <w:ind w:left="198" w:hanging="198"/>
    </w:pPr>
    <w:rPr>
      <w:rFonts w:ascii="Garamond" w:hAnsi="Garamond"/>
    </w:rPr>
  </w:style>
  <w:style w:type="paragraph" w:styleId="IndexHeading">
    <w:name w:val="index heading"/>
    <w:basedOn w:val="Normal"/>
    <w:next w:val="Index1"/>
    <w:semiHidden/>
    <w:rsid w:val="003E7A63"/>
    <w:pPr>
      <w:spacing w:before="120" w:after="120"/>
    </w:pPr>
    <w:rPr>
      <w:rFonts w:ascii="Arial" w:hAnsi="Arial"/>
      <w:b/>
      <w:color w:val="918585"/>
      <w:sz w:val="24"/>
    </w:rPr>
  </w:style>
  <w:style w:type="paragraph" w:customStyle="1" w:styleId="Chapter">
    <w:name w:val="Chapter"/>
    <w:basedOn w:val="Normal"/>
    <w:rsid w:val="003E7A63"/>
    <w:pPr>
      <w:spacing w:before="240"/>
    </w:pPr>
    <w:rPr>
      <w:rFonts w:ascii="Times New Roman" w:hAnsi="Times New Roman"/>
      <w:smallCaps/>
      <w:spacing w:val="80"/>
      <w:sz w:val="28"/>
    </w:rPr>
  </w:style>
  <w:style w:type="paragraph" w:customStyle="1" w:styleId="InChapter">
    <w:name w:val="InChapter"/>
    <w:basedOn w:val="Heading3"/>
    <w:rsid w:val="003E7A63"/>
    <w:pPr>
      <w:spacing w:after="240"/>
      <w:outlineLvl w:val="9"/>
    </w:pPr>
    <w:rPr>
      <w:noProof/>
    </w:rPr>
  </w:style>
  <w:style w:type="paragraph" w:styleId="Index2">
    <w:name w:val="index 2"/>
    <w:basedOn w:val="Normal"/>
    <w:next w:val="Normal"/>
    <w:semiHidden/>
    <w:rsid w:val="003E7A63"/>
    <w:pPr>
      <w:tabs>
        <w:tab w:val="right" w:pos="4176"/>
      </w:tabs>
      <w:ind w:left="568" w:hanging="284"/>
    </w:pPr>
    <w:rPr>
      <w:rFonts w:ascii="Garamond" w:hAnsi="Garamond"/>
    </w:rPr>
  </w:style>
  <w:style w:type="paragraph" w:customStyle="1" w:styleId="Byline">
    <w:name w:val="Byline"/>
    <w:rsid w:val="003E7A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A63"/>
    <w:pPr>
      <w:tabs>
        <w:tab w:val="clear" w:pos="3600"/>
        <w:tab w:val="clear" w:pos="3958"/>
      </w:tabs>
      <w:jc w:val="right"/>
    </w:pPr>
  </w:style>
  <w:style w:type="character" w:styleId="Emphasis">
    <w:name w:val="Emphasis"/>
    <w:basedOn w:val="DefaultParagraphFont"/>
    <w:qFormat/>
    <w:rsid w:val="003E7A63"/>
    <w:rPr>
      <w:i/>
    </w:rPr>
  </w:style>
  <w:style w:type="paragraph" w:styleId="Caption">
    <w:name w:val="caption"/>
    <w:basedOn w:val="BodyText"/>
    <w:next w:val="Normal"/>
    <w:qFormat/>
    <w:rsid w:val="003E7A63"/>
    <w:pPr>
      <w:framePr w:w="2268" w:hSpace="181" w:vSpace="181" w:wrap="around" w:vAnchor="text" w:hAnchor="page" w:x="1135" w:y="285" w:anchorLock="1"/>
    </w:pPr>
    <w:rPr>
      <w:i/>
    </w:rPr>
  </w:style>
  <w:style w:type="paragraph" w:customStyle="1" w:styleId="MiniTOCTitle">
    <w:name w:val="MiniTOCTitle"/>
    <w:basedOn w:val="Heading4"/>
    <w:rsid w:val="003E7A63"/>
    <w:pPr>
      <w:spacing w:before="240"/>
      <w:outlineLvl w:val="9"/>
    </w:pPr>
    <w:rPr>
      <w:noProof/>
      <w:sz w:val="24"/>
    </w:rPr>
  </w:style>
  <w:style w:type="paragraph" w:customStyle="1" w:styleId="MiniTOCItem">
    <w:name w:val="MiniTOCItem"/>
    <w:basedOn w:val="ListBullet"/>
    <w:rsid w:val="003E7A63"/>
    <w:pPr>
      <w:numPr>
        <w:numId w:val="0"/>
      </w:numPr>
      <w:tabs>
        <w:tab w:val="right" w:leader="dot" w:pos="6521"/>
      </w:tabs>
      <w:spacing w:before="0" w:after="0"/>
    </w:pPr>
  </w:style>
  <w:style w:type="paragraph" w:customStyle="1" w:styleId="TOFTitle">
    <w:name w:val="TOFTitle"/>
    <w:basedOn w:val="TOCTitle"/>
    <w:rsid w:val="003E7A63"/>
  </w:style>
  <w:style w:type="paragraph" w:styleId="TableofFigures">
    <w:name w:val="table of figures"/>
    <w:basedOn w:val="Normal"/>
    <w:next w:val="Normal"/>
    <w:semiHidden/>
    <w:rsid w:val="003E7A63"/>
    <w:pPr>
      <w:tabs>
        <w:tab w:val="right" w:leader="dot" w:pos="9072"/>
      </w:tabs>
      <w:ind w:left="970" w:hanging="403"/>
    </w:pPr>
    <w:rPr>
      <w:rFonts w:ascii="Times New Roman" w:hAnsi="Times New Roman"/>
      <w:b/>
    </w:rPr>
  </w:style>
  <w:style w:type="paragraph" w:styleId="ListNumber">
    <w:name w:val="List Number"/>
    <w:basedOn w:val="List"/>
    <w:rsid w:val="003E7A63"/>
    <w:pPr>
      <w:numPr>
        <w:numId w:val="11"/>
      </w:numPr>
    </w:pPr>
  </w:style>
  <w:style w:type="character" w:customStyle="1" w:styleId="WingdingSymbols">
    <w:name w:val="Wingding Symbols"/>
    <w:rsid w:val="003E7A63"/>
    <w:rPr>
      <w:rFonts w:ascii="Wingdings" w:hAnsi="Wingdings"/>
    </w:rPr>
  </w:style>
  <w:style w:type="paragraph" w:customStyle="1" w:styleId="TableHeading">
    <w:name w:val="Table Heading"/>
    <w:basedOn w:val="HeadingBase"/>
    <w:rsid w:val="003E7A63"/>
    <w:pPr>
      <w:keepLines/>
      <w:pBdr>
        <w:bottom w:val="single" w:sz="6" w:space="1" w:color="918585"/>
      </w:pBdr>
      <w:spacing w:before="240"/>
    </w:pPr>
  </w:style>
  <w:style w:type="character" w:customStyle="1" w:styleId="HotSpot">
    <w:name w:val="HotSpot"/>
    <w:rsid w:val="003E7A63"/>
    <w:rPr>
      <w:color w:val="0033CC"/>
      <w:u w:val="none"/>
    </w:rPr>
  </w:style>
  <w:style w:type="paragraph" w:customStyle="1" w:styleId="BodyTextRight">
    <w:name w:val="Body Text Right"/>
    <w:basedOn w:val="BodyText"/>
    <w:rsid w:val="003E7A63"/>
    <w:pPr>
      <w:spacing w:before="0" w:after="0"/>
      <w:jc w:val="right"/>
    </w:pPr>
  </w:style>
  <w:style w:type="paragraph" w:styleId="Index3">
    <w:name w:val="index 3"/>
    <w:basedOn w:val="ListNumber2"/>
    <w:next w:val="Normal"/>
    <w:semiHidden/>
    <w:rsid w:val="003E7A63"/>
    <w:pPr>
      <w:numPr>
        <w:numId w:val="0"/>
      </w:numPr>
      <w:tabs>
        <w:tab w:val="right" w:leader="dot" w:pos="4176"/>
      </w:tabs>
    </w:pPr>
  </w:style>
  <w:style w:type="paragraph" w:styleId="ListNumber2">
    <w:name w:val="List Number 2"/>
    <w:basedOn w:val="List2"/>
    <w:rsid w:val="003E7A63"/>
    <w:pPr>
      <w:numPr>
        <w:numId w:val="10"/>
      </w:numPr>
      <w:tabs>
        <w:tab w:val="clear" w:pos="1060"/>
      </w:tabs>
    </w:pPr>
  </w:style>
  <w:style w:type="paragraph" w:customStyle="1" w:styleId="MarginNote">
    <w:name w:val="Margin Note"/>
    <w:basedOn w:val="BodyText"/>
    <w:rsid w:val="003E7A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A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A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7A63"/>
    <w:rPr>
      <w:sz w:val="32"/>
    </w:rPr>
  </w:style>
  <w:style w:type="paragraph" w:customStyle="1" w:styleId="HeadingProcedure">
    <w:name w:val="Heading Procedure"/>
    <w:basedOn w:val="HeadingBase"/>
    <w:next w:val="Normal"/>
    <w:rsid w:val="003E7A63"/>
    <w:pPr>
      <w:tabs>
        <w:tab w:val="left" w:pos="0"/>
      </w:tabs>
      <w:spacing w:before="120" w:after="60"/>
    </w:pPr>
    <w:rPr>
      <w:i/>
      <w:color w:val="918585"/>
      <w:sz w:val="22"/>
    </w:rPr>
  </w:style>
  <w:style w:type="paragraph" w:customStyle="1" w:styleId="TableBodyText">
    <w:name w:val="Table Body Text"/>
    <w:basedOn w:val="BodyText"/>
    <w:rsid w:val="003E7A63"/>
    <w:pPr>
      <w:spacing w:before="60" w:after="60"/>
    </w:pPr>
  </w:style>
  <w:style w:type="paragraph" w:styleId="ListContinue">
    <w:name w:val="List Continue"/>
    <w:basedOn w:val="List"/>
    <w:rsid w:val="003E7A63"/>
    <w:pPr>
      <w:ind w:firstLine="0"/>
    </w:pPr>
  </w:style>
  <w:style w:type="paragraph" w:customStyle="1" w:styleId="ListNote">
    <w:name w:val="List Note"/>
    <w:basedOn w:val="List"/>
    <w:rsid w:val="003E7A63"/>
    <w:pPr>
      <w:pBdr>
        <w:top w:val="single" w:sz="6" w:space="2" w:color="918585"/>
        <w:bottom w:val="single" w:sz="6" w:space="2" w:color="918585"/>
      </w:pBdr>
      <w:tabs>
        <w:tab w:val="left" w:pos="1021"/>
      </w:tabs>
      <w:ind w:firstLine="0"/>
    </w:pPr>
  </w:style>
  <w:style w:type="paragraph" w:customStyle="1" w:styleId="Warning">
    <w:name w:val="Warning"/>
    <w:basedOn w:val="BodyText"/>
    <w:rsid w:val="003E7A63"/>
    <w:pPr>
      <w:shd w:val="clear" w:color="auto" w:fill="D9D9D9"/>
      <w:tabs>
        <w:tab w:val="left" w:pos="992"/>
      </w:tabs>
      <w:ind w:left="119" w:right="119"/>
    </w:pPr>
    <w:rPr>
      <w:sz w:val="20"/>
    </w:rPr>
  </w:style>
  <w:style w:type="paragraph" w:customStyle="1" w:styleId="MarginIcons">
    <w:name w:val="Margin Icons"/>
    <w:basedOn w:val="BodyText"/>
    <w:rsid w:val="003E7A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A63"/>
    <w:rPr>
      <w:rFonts w:ascii="Courier New" w:hAnsi="Courier New"/>
    </w:rPr>
  </w:style>
  <w:style w:type="paragraph" w:customStyle="1" w:styleId="NoteBullet">
    <w:name w:val="Note Bullet"/>
    <w:basedOn w:val="Note"/>
    <w:rsid w:val="003E7A63"/>
    <w:pPr>
      <w:tabs>
        <w:tab w:val="clear" w:pos="680"/>
      </w:tabs>
      <w:spacing w:before="60" w:after="60"/>
    </w:pPr>
  </w:style>
  <w:style w:type="paragraph" w:customStyle="1" w:styleId="SubHeading2">
    <w:name w:val="SubHeading2"/>
    <w:basedOn w:val="HeadingBase"/>
    <w:rsid w:val="003E7A63"/>
    <w:pPr>
      <w:spacing w:before="240" w:after="60"/>
    </w:pPr>
    <w:rPr>
      <w:sz w:val="20"/>
    </w:rPr>
  </w:style>
  <w:style w:type="paragraph" w:customStyle="1" w:styleId="SubHeading1">
    <w:name w:val="SubHeading1"/>
    <w:basedOn w:val="HeadingBase"/>
    <w:rsid w:val="003E7A63"/>
    <w:pPr>
      <w:spacing w:before="240" w:after="60"/>
    </w:pPr>
    <w:rPr>
      <w:color w:val="918585"/>
      <w:sz w:val="22"/>
    </w:rPr>
  </w:style>
  <w:style w:type="paragraph" w:customStyle="1" w:styleId="SideHeading">
    <w:name w:val="Side Heading"/>
    <w:basedOn w:val="HeadingBase"/>
    <w:rsid w:val="003E7A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A63"/>
    <w:pPr>
      <w:numPr>
        <w:numId w:val="12"/>
      </w:numPr>
    </w:pPr>
  </w:style>
  <w:style w:type="paragraph" w:styleId="PlainText">
    <w:name w:val="Plain Text"/>
    <w:basedOn w:val="Normal"/>
    <w:link w:val="PlainTextChar"/>
    <w:rsid w:val="003E7A63"/>
    <w:rPr>
      <w:sz w:val="20"/>
    </w:rPr>
  </w:style>
  <w:style w:type="character" w:customStyle="1" w:styleId="PlainTextChar">
    <w:name w:val="Plain Text Char"/>
    <w:basedOn w:val="DefaultParagraphFont"/>
    <w:link w:val="PlainText"/>
    <w:rsid w:val="003E7A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7A63"/>
    <w:rPr>
      <w:b/>
      <w:smallCaps/>
    </w:rPr>
  </w:style>
  <w:style w:type="paragraph" w:customStyle="1" w:styleId="TableListNumber">
    <w:name w:val="Table List Number"/>
    <w:basedOn w:val="ListNumber"/>
    <w:rsid w:val="003E7A63"/>
    <w:pPr>
      <w:numPr>
        <w:numId w:val="0"/>
      </w:numPr>
    </w:pPr>
  </w:style>
  <w:style w:type="paragraph" w:styleId="TOC4">
    <w:name w:val="toc 4"/>
    <w:basedOn w:val="TOCBase"/>
    <w:next w:val="Normal"/>
    <w:semiHidden/>
    <w:rsid w:val="003E7A63"/>
    <w:pPr>
      <w:tabs>
        <w:tab w:val="right" w:leader="dot" w:pos="9071"/>
      </w:tabs>
      <w:ind w:left="1701"/>
    </w:pPr>
  </w:style>
  <w:style w:type="paragraph" w:customStyle="1" w:styleId="ListAlpha">
    <w:name w:val="List Alpha"/>
    <w:basedOn w:val="List"/>
    <w:rsid w:val="003E7A63"/>
    <w:pPr>
      <w:numPr>
        <w:numId w:val="9"/>
      </w:numPr>
    </w:pPr>
  </w:style>
  <w:style w:type="paragraph" w:customStyle="1" w:styleId="ListAlpha2">
    <w:name w:val="List Alpha 2"/>
    <w:basedOn w:val="List2"/>
    <w:rsid w:val="003E7A63"/>
    <w:pPr>
      <w:numPr>
        <w:numId w:val="8"/>
      </w:numPr>
    </w:pPr>
  </w:style>
  <w:style w:type="paragraph" w:styleId="List2">
    <w:name w:val="List 2"/>
    <w:basedOn w:val="BodyText"/>
    <w:rsid w:val="003E7A63"/>
    <w:pPr>
      <w:tabs>
        <w:tab w:val="left" w:pos="680"/>
      </w:tabs>
      <w:spacing w:before="60" w:after="60"/>
      <w:ind w:left="680" w:hanging="340"/>
    </w:pPr>
  </w:style>
  <w:style w:type="paragraph" w:styleId="List3">
    <w:name w:val="List 3"/>
    <w:basedOn w:val="BodyText"/>
    <w:rsid w:val="003E7A63"/>
    <w:pPr>
      <w:tabs>
        <w:tab w:val="left" w:pos="1021"/>
      </w:tabs>
      <w:spacing w:before="60" w:after="60"/>
      <w:ind w:left="1020" w:hanging="340"/>
    </w:pPr>
  </w:style>
  <w:style w:type="paragraph" w:styleId="List4">
    <w:name w:val="List 4"/>
    <w:basedOn w:val="BodyText"/>
    <w:rsid w:val="003E7A63"/>
    <w:pPr>
      <w:tabs>
        <w:tab w:val="left" w:pos="1361"/>
      </w:tabs>
      <w:spacing w:before="60" w:after="60"/>
      <w:ind w:left="1361" w:hanging="340"/>
    </w:pPr>
  </w:style>
  <w:style w:type="paragraph" w:styleId="List5">
    <w:name w:val="List 5"/>
    <w:basedOn w:val="BodyText"/>
    <w:rsid w:val="003E7A63"/>
    <w:pPr>
      <w:tabs>
        <w:tab w:val="left" w:pos="1701"/>
      </w:tabs>
      <w:spacing w:before="60" w:after="60"/>
      <w:ind w:left="1701" w:hanging="340"/>
    </w:pPr>
  </w:style>
  <w:style w:type="paragraph" w:styleId="ListBullet3">
    <w:name w:val="List Bullet 3"/>
    <w:basedOn w:val="List3"/>
    <w:rsid w:val="003E7A63"/>
    <w:pPr>
      <w:numPr>
        <w:numId w:val="15"/>
      </w:numPr>
      <w:tabs>
        <w:tab w:val="clear" w:pos="1021"/>
      </w:tabs>
      <w:ind w:left="1037" w:hanging="357"/>
    </w:pPr>
  </w:style>
  <w:style w:type="paragraph" w:styleId="ListBullet4">
    <w:name w:val="List Bullet 4"/>
    <w:basedOn w:val="List4"/>
    <w:rsid w:val="003E7A63"/>
    <w:pPr>
      <w:numPr>
        <w:numId w:val="3"/>
      </w:numPr>
    </w:pPr>
  </w:style>
  <w:style w:type="paragraph" w:styleId="ListBullet5">
    <w:name w:val="List Bullet 5"/>
    <w:basedOn w:val="List5"/>
    <w:rsid w:val="003E7A63"/>
    <w:pPr>
      <w:numPr>
        <w:numId w:val="4"/>
      </w:numPr>
    </w:pPr>
  </w:style>
  <w:style w:type="paragraph" w:styleId="ListContinue2">
    <w:name w:val="List Continue 2"/>
    <w:basedOn w:val="List2"/>
    <w:rsid w:val="003E7A63"/>
    <w:pPr>
      <w:ind w:firstLine="0"/>
    </w:pPr>
  </w:style>
  <w:style w:type="paragraph" w:styleId="ListContinue3">
    <w:name w:val="List Continue 3"/>
    <w:basedOn w:val="List3"/>
    <w:rsid w:val="003E7A63"/>
    <w:pPr>
      <w:ind w:left="1021" w:firstLine="0"/>
    </w:pPr>
  </w:style>
  <w:style w:type="paragraph" w:styleId="ListContinue4">
    <w:name w:val="List Continue 4"/>
    <w:basedOn w:val="List4"/>
    <w:rsid w:val="003E7A63"/>
    <w:pPr>
      <w:ind w:firstLine="0"/>
    </w:pPr>
  </w:style>
  <w:style w:type="paragraph" w:styleId="ListContinue5">
    <w:name w:val="List Continue 5"/>
    <w:basedOn w:val="List5"/>
    <w:rsid w:val="003E7A63"/>
    <w:pPr>
      <w:ind w:firstLine="0"/>
    </w:pPr>
  </w:style>
  <w:style w:type="paragraph" w:styleId="ListNumber3">
    <w:name w:val="List Number 3"/>
    <w:basedOn w:val="List3"/>
    <w:rsid w:val="003E7A63"/>
    <w:pPr>
      <w:numPr>
        <w:numId w:val="5"/>
      </w:numPr>
    </w:pPr>
  </w:style>
  <w:style w:type="paragraph" w:styleId="ListNumber4">
    <w:name w:val="List Number 4"/>
    <w:basedOn w:val="List4"/>
    <w:rsid w:val="003E7A63"/>
    <w:pPr>
      <w:numPr>
        <w:numId w:val="6"/>
      </w:numPr>
    </w:pPr>
  </w:style>
  <w:style w:type="paragraph" w:styleId="ListNumber5">
    <w:name w:val="List Number 5"/>
    <w:basedOn w:val="List5"/>
    <w:rsid w:val="003E7A63"/>
    <w:pPr>
      <w:numPr>
        <w:numId w:val="7"/>
      </w:numPr>
    </w:pPr>
  </w:style>
  <w:style w:type="paragraph" w:styleId="BlockText">
    <w:name w:val="Block Text"/>
    <w:basedOn w:val="Normal"/>
    <w:rsid w:val="003E7A63"/>
    <w:pPr>
      <w:spacing w:after="120"/>
      <w:ind w:left="1440" w:right="1440"/>
    </w:pPr>
  </w:style>
  <w:style w:type="character" w:customStyle="1" w:styleId="Subscript">
    <w:name w:val="Subscript"/>
    <w:basedOn w:val="DefaultParagraphFont"/>
    <w:rsid w:val="003E7A63"/>
    <w:rPr>
      <w:sz w:val="16"/>
      <w:vertAlign w:val="subscript"/>
    </w:rPr>
  </w:style>
  <w:style w:type="character" w:customStyle="1" w:styleId="Superscript">
    <w:name w:val="Superscript"/>
    <w:basedOn w:val="DefaultParagraphFont"/>
    <w:rsid w:val="003E7A63"/>
    <w:rPr>
      <w:sz w:val="16"/>
      <w:vertAlign w:val="superscript"/>
    </w:rPr>
  </w:style>
  <w:style w:type="character" w:customStyle="1" w:styleId="Symbols">
    <w:name w:val="Symbols"/>
    <w:basedOn w:val="DefaultParagraphFont"/>
    <w:rsid w:val="003E7A63"/>
    <w:rPr>
      <w:rFonts w:ascii="Symbol" w:hAnsi="Symbol"/>
    </w:rPr>
  </w:style>
  <w:style w:type="character" w:customStyle="1" w:styleId="MenuOptions">
    <w:name w:val="Menu Options"/>
    <w:basedOn w:val="DefaultParagraphFont"/>
    <w:rsid w:val="003E7A63"/>
    <w:rPr>
      <w:rFonts w:ascii="Arial Narrow" w:hAnsi="Arial Narrow"/>
      <w:smallCaps/>
    </w:rPr>
  </w:style>
  <w:style w:type="character" w:customStyle="1" w:styleId="Buttons">
    <w:name w:val="Buttons"/>
    <w:basedOn w:val="DefaultParagraphFont"/>
    <w:rsid w:val="003E7A63"/>
    <w:rPr>
      <w:b/>
    </w:rPr>
  </w:style>
  <w:style w:type="character" w:customStyle="1" w:styleId="Underlined">
    <w:name w:val="Underlined"/>
    <w:basedOn w:val="DefaultParagraphFont"/>
    <w:rsid w:val="003E7A63"/>
    <w:rPr>
      <w:u w:val="single"/>
    </w:rPr>
  </w:style>
  <w:style w:type="paragraph" w:customStyle="1" w:styleId="TableBodyTextRight">
    <w:name w:val="Table Body Text Right"/>
    <w:basedOn w:val="TableBodyText"/>
    <w:rsid w:val="003E7A63"/>
    <w:pPr>
      <w:widowControl w:val="0"/>
      <w:autoSpaceDE w:val="0"/>
      <w:autoSpaceDN w:val="0"/>
      <w:adjustRightInd w:val="0"/>
      <w:jc w:val="right"/>
    </w:pPr>
    <w:rPr>
      <w:rFonts w:cs="Arial"/>
      <w:szCs w:val="18"/>
    </w:rPr>
  </w:style>
  <w:style w:type="paragraph" w:customStyle="1" w:styleId="CopyrightText">
    <w:name w:val="Copyright Text"/>
    <w:basedOn w:val="BodyText"/>
    <w:rsid w:val="003E7A63"/>
    <w:rPr>
      <w:sz w:val="18"/>
    </w:rPr>
  </w:style>
  <w:style w:type="paragraph" w:customStyle="1" w:styleId="BodySmallRight">
    <w:name w:val="Body Small Right"/>
    <w:basedOn w:val="BodyTextRight"/>
    <w:rsid w:val="003E7A63"/>
    <w:rPr>
      <w:sz w:val="18"/>
      <w:szCs w:val="18"/>
    </w:rPr>
  </w:style>
  <w:style w:type="paragraph" w:customStyle="1" w:styleId="MarginEdition">
    <w:name w:val="Margin Edition"/>
    <w:basedOn w:val="MarginNote"/>
    <w:rsid w:val="003E7A63"/>
    <w:pPr>
      <w:spacing w:before="0" w:after="0"/>
    </w:pPr>
    <w:rPr>
      <w:rFonts w:ascii="Times New Roman" w:hAnsi="Times New Roman"/>
      <w:color w:val="999999"/>
    </w:rPr>
  </w:style>
  <w:style w:type="paragraph" w:customStyle="1" w:styleId="Spacer">
    <w:name w:val="Spacer"/>
    <w:basedOn w:val="Normal"/>
    <w:rsid w:val="003E7A63"/>
    <w:rPr>
      <w:sz w:val="2"/>
      <w:szCs w:val="2"/>
    </w:rPr>
  </w:style>
  <w:style w:type="character" w:customStyle="1" w:styleId="Small">
    <w:name w:val="Small"/>
    <w:basedOn w:val="DefaultParagraphFont"/>
    <w:rsid w:val="003E7A63"/>
    <w:rPr>
      <w:sz w:val="16"/>
    </w:rPr>
  </w:style>
  <w:style w:type="paragraph" w:customStyle="1" w:styleId="WideTable">
    <w:name w:val="Wide Table"/>
    <w:basedOn w:val="Normal"/>
    <w:rsid w:val="003E7A63"/>
    <w:pPr>
      <w:ind w:left="-1418"/>
    </w:pPr>
    <w:rPr>
      <w:sz w:val="2"/>
      <w:szCs w:val="2"/>
    </w:rPr>
  </w:style>
  <w:style w:type="character" w:styleId="PageNumber">
    <w:name w:val="page number"/>
    <w:basedOn w:val="DefaultParagraphFont"/>
    <w:rsid w:val="003E7A63"/>
  </w:style>
  <w:style w:type="paragraph" w:styleId="Quote">
    <w:name w:val="Quote"/>
    <w:basedOn w:val="Heading1"/>
    <w:link w:val="QuoteChar"/>
    <w:qFormat/>
    <w:rsid w:val="003E7A63"/>
    <w:rPr>
      <w:b w:val="0"/>
      <w:sz w:val="72"/>
      <w:szCs w:val="72"/>
      <w:lang w:val="en-NZ"/>
    </w:rPr>
  </w:style>
  <w:style w:type="character" w:customStyle="1" w:styleId="QuoteChar">
    <w:name w:val="Quote Char"/>
    <w:basedOn w:val="DefaultParagraphFont"/>
    <w:link w:val="Quote"/>
    <w:rsid w:val="003E7A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A63"/>
    <w:pPr>
      <w:pageBreakBefore/>
    </w:pPr>
  </w:style>
  <w:style w:type="paragraph" w:customStyle="1" w:styleId="Border">
    <w:name w:val="Border"/>
    <w:basedOn w:val="Normal"/>
    <w:qFormat/>
    <w:rsid w:val="003E7A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A63"/>
    <w:rPr>
      <w:b/>
      <w:bCs/>
      <w:i/>
      <w:iCs/>
      <w:color w:val="auto"/>
    </w:rPr>
  </w:style>
  <w:style w:type="paragraph" w:styleId="IntenseQuote">
    <w:name w:val="Intense Quote"/>
    <w:basedOn w:val="Normal"/>
    <w:next w:val="Normal"/>
    <w:link w:val="IntenseQuoteChar"/>
    <w:uiPriority w:val="30"/>
    <w:qFormat/>
    <w:rsid w:val="003E7A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A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7A63"/>
    <w:rPr>
      <w:smallCaps/>
      <w:color w:val="auto"/>
      <w:u w:val="single"/>
    </w:rPr>
  </w:style>
  <w:style w:type="character" w:styleId="IntenseReference">
    <w:name w:val="Intense Reference"/>
    <w:basedOn w:val="DefaultParagraphFont"/>
    <w:uiPriority w:val="32"/>
    <w:qFormat/>
    <w:rsid w:val="003E7A63"/>
    <w:rPr>
      <w:b/>
      <w:bCs/>
      <w:smallCaps/>
      <w:color w:val="auto"/>
      <w:spacing w:val="5"/>
      <w:u w:val="single"/>
    </w:rPr>
  </w:style>
  <w:style w:type="paragraph" w:customStyle="1" w:styleId="2ColumnHeading">
    <w:name w:val="2Column Heading"/>
    <w:basedOn w:val="BodyText"/>
    <w:qFormat/>
    <w:rsid w:val="003E7A63"/>
    <w:pPr>
      <w:spacing w:after="60"/>
      <w:ind w:left="-2268"/>
    </w:pPr>
    <w:rPr>
      <w:b/>
    </w:rPr>
  </w:style>
  <w:style w:type="paragraph" w:customStyle="1" w:styleId="Heading1TOC">
    <w:name w:val="Heading1 TOC"/>
    <w:basedOn w:val="Normal"/>
    <w:qFormat/>
    <w:rsid w:val="003E7A63"/>
    <w:pPr>
      <w:spacing w:before="240" w:after="120"/>
    </w:pPr>
    <w:rPr>
      <w:rFonts w:ascii="Times New Roman" w:hAnsi="Times New Roman"/>
      <w:b/>
      <w:sz w:val="32"/>
    </w:rPr>
  </w:style>
  <w:style w:type="paragraph" w:customStyle="1" w:styleId="Heading2TOC">
    <w:name w:val="Heading2 TOC"/>
    <w:basedOn w:val="Normal"/>
    <w:qFormat/>
    <w:rsid w:val="003E7A63"/>
    <w:pPr>
      <w:spacing w:before="240" w:after="60"/>
    </w:pPr>
    <w:rPr>
      <w:rFonts w:ascii="Times New Roman" w:hAnsi="Times New Roman"/>
      <w:b/>
      <w:sz w:val="28"/>
    </w:rPr>
  </w:style>
  <w:style w:type="character" w:customStyle="1" w:styleId="Underline">
    <w:name w:val="Underline"/>
    <w:basedOn w:val="DefaultParagraphFont"/>
    <w:qFormat/>
    <w:rsid w:val="003E7A63"/>
    <w:rPr>
      <w:u w:val="single"/>
    </w:rPr>
  </w:style>
  <w:style w:type="character" w:customStyle="1" w:styleId="BoldandItalics">
    <w:name w:val="Bold and Italics"/>
    <w:qFormat/>
    <w:rsid w:val="003E7A63"/>
    <w:rPr>
      <w:b/>
      <w:i/>
      <w:u w:val="none"/>
    </w:rPr>
  </w:style>
  <w:style w:type="paragraph" w:styleId="BalloonText">
    <w:name w:val="Balloon Text"/>
    <w:basedOn w:val="Normal"/>
    <w:link w:val="BalloonTextChar"/>
    <w:rsid w:val="003E7A63"/>
    <w:rPr>
      <w:rFonts w:ascii="Tahoma" w:hAnsi="Tahoma" w:cs="Tahoma"/>
      <w:sz w:val="16"/>
      <w:szCs w:val="16"/>
    </w:rPr>
  </w:style>
  <w:style w:type="character" w:customStyle="1" w:styleId="BalloonTextChar">
    <w:name w:val="Balloon Text Char"/>
    <w:basedOn w:val="DefaultParagraphFont"/>
    <w:link w:val="BalloonText"/>
    <w:rsid w:val="003E7A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7A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7A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2049</Words>
  <Characters>12889</Characters>
  <Application>Microsoft Office Word</Application>
  <DocSecurity>0</DocSecurity>
  <Lines>474</Lines>
  <Paragraphs>193</Paragraphs>
  <ScaleCrop>false</ScaleCrop>
  <Company>Author-it Software Corporation Ltd.</Company>
  <LinksUpToDate>false</LinksUpToDate>
  <CharactersWithSpaces>14805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UEENEEK121A Manage renewable energy (RE) projects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2012-05-26T11:45:00Z</dcterms:created>
  <dcterms:modified xsi:type="dcterms:W3CDTF">2012-05-26T11:45:00Z</dcterms:modified>
</cp:coreProperties>
</file>