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1DF" w:rsidP="00EF61DF">
      <w:pPr>
        <w:pStyle w:val="Title"/>
      </w:pPr>
      <w:r>
        <w:fldChar w:fldCharType="begin"/>
      </w:r>
      <w:r>
        <w:instrText xml:space="preserve"> TITLE   \* MERGEFORMAT </w:instrText>
      </w:r>
      <w:r>
        <w:fldChar w:fldCharType="separate"/>
      </w:r>
      <w:r>
        <w:t>UEENEEK117A Maintain and repair facilities associated with remote area essential service operations</w:t>
      </w:r>
      <w:r>
        <w:fldChar w:fldCharType="end"/>
      </w:r>
    </w:p>
    <w:p w:rsidR="00EF61DF" w:rsidP="00EF61DF">
      <w:pPr>
        <w:pStyle w:val="Version"/>
        <w:sectPr w:rsidSect="008F4B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4B4A" w:rsidP="008F4B4A">
      <w:pPr>
        <w:pStyle w:val="SuperHeading"/>
      </w:pPr>
      <w:r w:rsidRPr="008F4B4A">
        <w:t>UEENEEK117A Maintain and repair facilities associated with remote area essential service operations</w:t>
      </w:r>
    </w:p>
    <w:p w:rsidR="00000000" w:rsidRPr="008F4B4A" w:rsidP="008F4B4A">
      <w:pPr>
        <w:pStyle w:val="Heading1"/>
      </w:pPr>
      <w:bookmarkStart w:id="1" w:name="O_589259"/>
      <w:bookmarkEnd w:id="1"/>
      <w:r w:rsidRPr="008F4B4A">
        <w:t>Modification History</w:t>
      </w:r>
    </w:p>
    <w:p w:rsidR="00000000" w:rsidRPr="008F4B4A" w:rsidP="008F4B4A">
      <w:pPr>
        <w:pStyle w:val="BodyText"/>
      </w:pPr>
      <w:r w:rsidRPr="008F4B4A">
        <w:t>Not applicable.</w:t>
      </w:r>
    </w:p>
    <w:p w:rsidR="00000000" w:rsidRPr="008F4B4A" w:rsidP="008F4B4A">
      <w:pPr>
        <w:pStyle w:val="AllowPageBreak"/>
      </w:pPr>
    </w:p>
    <w:p w:rsidR="00000000" w:rsidRPr="008F4B4A" w:rsidP="008F4B4A">
      <w:pPr>
        <w:pStyle w:val="Heading1"/>
      </w:pPr>
      <w:bookmarkStart w:id="2" w:name="O_589258"/>
      <w:bookmarkEnd w:id="2"/>
      <w:r w:rsidRPr="008F4B4A">
        <w:t>Unit Descriptor</w:t>
      </w:r>
    </w:p>
    <w:tbl>
      <w:tblPr>
        <w:tblW w:w="0" w:type="auto"/>
        <w:tblLayout w:type="fixed"/>
        <w:tblCellMar>
          <w:left w:w="62" w:type="dxa"/>
          <w:right w:w="62" w:type="dxa"/>
        </w:tblCellMar>
        <w:tblLook w:val="0000"/>
      </w:tblPr>
      <w:tblGrid>
        <w:gridCol w:w="2700"/>
        <w:gridCol w:w="5760"/>
      </w:tblGrid>
      <w:tr w:rsidTr="00EF61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1)</w:t>
            </w:r>
            <w:r w:rsidRPr="008F4B4A">
              <w:t xml:space="preserve"> </w:t>
            </w:r>
            <w:r w:rsidRPr="008F4B4A">
              <w:rPr>
                <w:rStyle w:val="SpecialBold"/>
              </w:rPr>
              <w:t>Scope:</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4B4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1.1) Descriptor</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This unit covers basic maintenance of remote area infrastructure facilities. It encompasses working safely, to maintenance standards and following maintenance routines, identifying deterioration and damage to facilities using routine procedures, and comple</w:t>
            </w:r>
            <w:r w:rsidRPr="008F4B4A">
              <w:t>ting the necessary maintenance reporting.</w:t>
            </w:r>
          </w:p>
        </w:tc>
      </w:tr>
    </w:tbl>
    <w:p w:rsidR="00000000" w:rsidRPr="008F4B4A" w:rsidP="008F4B4A">
      <w:pPr>
        <w:pStyle w:val="BodyText"/>
      </w:pPr>
    </w:p>
    <w:p w:rsidR="00000000" w:rsidRPr="008F4B4A" w:rsidP="008F4B4A">
      <w:pPr>
        <w:pStyle w:val="AllowPageBreak"/>
      </w:pPr>
    </w:p>
    <w:p w:rsidR="00000000" w:rsidRPr="008F4B4A" w:rsidP="008F4B4A">
      <w:pPr>
        <w:pStyle w:val="Heading1"/>
      </w:pPr>
      <w:bookmarkStart w:id="3" w:name="O_589257"/>
      <w:bookmarkEnd w:id="3"/>
      <w:r w:rsidRPr="008F4B4A">
        <w:t>Application of the Unit</w:t>
      </w:r>
    </w:p>
    <w:tbl>
      <w:tblPr>
        <w:tblW w:w="0" w:type="auto"/>
        <w:tblLayout w:type="fixed"/>
        <w:tblCellMar>
          <w:left w:w="62" w:type="dxa"/>
          <w:right w:w="62" w:type="dxa"/>
        </w:tblCellMar>
        <w:tblLook w:val="0000"/>
      </w:tblPr>
      <w:tblGrid>
        <w:gridCol w:w="2672"/>
        <w:gridCol w:w="5699"/>
      </w:tblGrid>
      <w:tr w:rsidTr="00EF61D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2)</w:t>
            </w:r>
          </w:p>
        </w:tc>
      </w:tr>
      <w:tr w:rsidTr="00EF61D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 xml:space="preserve">This unit is intended primarily for indigenous persons seeking qualifications in RAPS system servicing. The unit may also be applied to work </w:t>
            </w:r>
            <w:r w:rsidRPr="008F4B4A">
              <w:t>entry qualifications in renewable energy service work in general and be used in school-based vocational programs.</w:t>
            </w:r>
          </w:p>
        </w:tc>
      </w:tr>
    </w:tbl>
    <w:p w:rsidR="00000000" w:rsidRPr="008F4B4A" w:rsidP="008F4B4A">
      <w:pPr>
        <w:pStyle w:val="BodyText"/>
      </w:pPr>
    </w:p>
    <w:p w:rsidR="00000000" w:rsidRPr="008F4B4A" w:rsidP="008F4B4A">
      <w:pPr>
        <w:pStyle w:val="AllowPageBreak"/>
      </w:pPr>
    </w:p>
    <w:p w:rsidR="00000000" w:rsidRPr="008F4B4A" w:rsidP="008F4B4A">
      <w:pPr>
        <w:pStyle w:val="Heading1"/>
      </w:pPr>
      <w:bookmarkStart w:id="4" w:name="O_589256"/>
      <w:bookmarkEnd w:id="4"/>
      <w:r w:rsidRPr="008F4B4A">
        <w:t>Licensing/Regulatory Information</w:t>
      </w:r>
    </w:p>
    <w:tbl>
      <w:tblPr>
        <w:tblW w:w="0" w:type="auto"/>
        <w:tblLayout w:type="fixed"/>
        <w:tblCellMar>
          <w:left w:w="62" w:type="dxa"/>
          <w:right w:w="62" w:type="dxa"/>
        </w:tblCellMar>
        <w:tblLook w:val="0000"/>
      </w:tblPr>
      <w:tblGrid>
        <w:gridCol w:w="2700"/>
        <w:gridCol w:w="5760"/>
      </w:tblGrid>
      <w:tr w:rsidTr="00EF61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 xml:space="preserve">3) </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The skills and knowledge described in this unit do not require a</w:t>
            </w:r>
            <w:r w:rsidRPr="008F4B4A">
              <w:t xml:space="preserve"> license to practice in the workplace. However, practice in this unit is subject to regulations directly related to occupational health and safety and contracts of training such as new apprenticeships.</w:t>
            </w:r>
          </w:p>
          <w:p w:rsidR="00000000" w:rsidRPr="008F4B4A" w:rsidP="008F4B4A">
            <w:pPr>
              <w:pStyle w:val="BodyText"/>
            </w:pPr>
            <w:r w:rsidRPr="008F4B4A">
              <w:t xml:space="preserve">Note: </w:t>
            </w:r>
          </w:p>
          <w:p w:rsidR="00000000" w:rsidRPr="008F4B4A" w:rsidP="008F4B4A">
            <w:pPr>
              <w:pStyle w:val="BodyText"/>
            </w:pPr>
            <w:r w:rsidRPr="008F4B4A">
              <w:t xml:space="preserve">1. Compliance with </w:t>
            </w:r>
            <w:r w:rsidRPr="008F4B4A">
              <w:t>permits may be required in various jurisdictions and typically relates to the operation of plant, machinery and equipment such as elevating work platforms, powder operated fixing tools, power operated tools, vehicles, road signage and traffic control and l</w:t>
            </w:r>
            <w:r w:rsidRPr="008F4B4A">
              <w:t>ifting equipment. Permits may also be required for some work environments such as confined spaces, working aloft, near live electrical apparatus and site rehabilitation.</w:t>
            </w:r>
          </w:p>
          <w:p w:rsidR="00000000" w:rsidRPr="008F4B4A" w:rsidP="008F4B4A">
            <w:pPr>
              <w:pStyle w:val="BodyText"/>
            </w:pPr>
            <w:r w:rsidRPr="008F4B4A">
              <w:t>2. Compliance may be required in various jurisdictions relating to currency in First A</w:t>
            </w:r>
            <w:r w:rsidRPr="008F4B4A">
              <w:t xml:space="preserve">id, confined space, lifting, risk safety measures etc </w:t>
            </w:r>
          </w:p>
        </w:tc>
      </w:tr>
    </w:tbl>
    <w:p w:rsidR="00000000" w:rsidRPr="008F4B4A" w:rsidP="008F4B4A">
      <w:pPr>
        <w:pStyle w:val="BodyText"/>
      </w:pPr>
    </w:p>
    <w:p w:rsidR="00000000" w:rsidRPr="008F4B4A" w:rsidP="008F4B4A">
      <w:pPr>
        <w:pStyle w:val="AllowPageBreak"/>
      </w:pPr>
    </w:p>
    <w:p w:rsidR="00000000" w:rsidRPr="008F4B4A" w:rsidP="008F4B4A">
      <w:pPr>
        <w:pStyle w:val="Heading1"/>
      </w:pPr>
      <w:bookmarkStart w:id="5" w:name="O_589255"/>
      <w:bookmarkEnd w:id="5"/>
      <w:r w:rsidRPr="008F4B4A">
        <w:t>Pre-Requisites</w:t>
      </w:r>
    </w:p>
    <w:tbl>
      <w:tblPr>
        <w:tblW w:w="0" w:type="auto"/>
        <w:tblLayout w:type="fixed"/>
        <w:tblCellMar>
          <w:left w:w="62" w:type="dxa"/>
          <w:right w:w="62" w:type="dxa"/>
        </w:tblCellMar>
        <w:tblLook w:val="0000"/>
      </w:tblPr>
      <w:tblGrid>
        <w:gridCol w:w="2700"/>
        <w:gridCol w:w="1440"/>
        <w:gridCol w:w="4320"/>
      </w:tblGrid>
      <w:tr w:rsidTr="00EF61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 xml:space="preserve">4) </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4.1)</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Granting competency in this unit shall be made only after competency in the following unit(s) has/have been confirmed.</w:t>
            </w:r>
          </w:p>
        </w:tc>
      </w:tr>
      <w:tr w:rsidTr="00EF61D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UEENEEE101A</w:t>
            </w:r>
          </w:p>
        </w:tc>
        <w:tc>
          <w:tcPr>
            <w:tcW w:w="432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Apply Occupational Health and Safety regulations, codes and practices in the workplace</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Fabricate, assemble and dismantle utilities industry components</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UEENEEE103A</w:t>
            </w:r>
          </w:p>
        </w:tc>
        <w:tc>
          <w:tcPr>
            <w:tcW w:w="432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Solve problems in ELV single path circuits</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And</w:t>
            </w:r>
          </w:p>
        </w:tc>
        <w:tc>
          <w:tcPr>
            <w:tcW w:w="432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UEENEEE131A</w:t>
            </w:r>
          </w:p>
        </w:tc>
        <w:tc>
          <w:tcPr>
            <w:tcW w:w="432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Solve problems in ELV circuits for non electrical workers</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OR</w:t>
            </w:r>
          </w:p>
        </w:tc>
        <w:tc>
          <w:tcPr>
            <w:tcW w:w="432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UEENEEE104A</w:t>
            </w:r>
          </w:p>
        </w:tc>
        <w:tc>
          <w:tcPr>
            <w:tcW w:w="432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Solve problems in d.c. circuits</w:t>
            </w:r>
          </w:p>
        </w:tc>
      </w:tr>
    </w:tbl>
    <w:p w:rsidR="00000000" w:rsidRPr="008F4B4A" w:rsidP="008F4B4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F61D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 xml:space="preserve">4.2) </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Participants are best equipped to achieve competency in this unit if they have reading, writing and numeracy skills indicated by the following scales. Description of each scale is given in Volume 2, Part 3 ‘Literacy and Numeracy’</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Reading</w:t>
            </w:r>
          </w:p>
        </w:tc>
        <w:tc>
          <w:tcPr>
            <w:tcW w:w="81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3</w:t>
            </w:r>
          </w:p>
        </w:tc>
        <w:tc>
          <w:tcPr>
            <w:tcW w:w="99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Writing</w:t>
            </w: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3</w:t>
            </w:r>
          </w:p>
        </w:tc>
        <w:tc>
          <w:tcPr>
            <w:tcW w:w="12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Numeracy</w:t>
            </w:r>
          </w:p>
        </w:tc>
        <w:tc>
          <w:tcPr>
            <w:tcW w:w="72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3</w:t>
            </w:r>
          </w:p>
        </w:tc>
      </w:tr>
    </w:tbl>
    <w:p w:rsidR="00000000" w:rsidRPr="008F4B4A" w:rsidP="008F4B4A">
      <w:pPr>
        <w:pStyle w:val="BodyText"/>
      </w:pPr>
    </w:p>
    <w:p w:rsidR="00000000" w:rsidRPr="008F4B4A" w:rsidP="008F4B4A">
      <w:pPr>
        <w:pStyle w:val="AllowPageBreak"/>
      </w:pPr>
    </w:p>
    <w:p w:rsidR="00000000" w:rsidRPr="008F4B4A" w:rsidP="008F4B4A">
      <w:pPr>
        <w:pStyle w:val="Heading1"/>
      </w:pPr>
      <w:bookmarkStart w:id="6" w:name="O_589254"/>
      <w:bookmarkEnd w:id="6"/>
      <w:r w:rsidRPr="008F4B4A">
        <w:t>Employability Skills Information</w:t>
      </w:r>
    </w:p>
    <w:tbl>
      <w:tblPr>
        <w:tblW w:w="0" w:type="auto"/>
        <w:tblLayout w:type="fixed"/>
        <w:tblCellMar>
          <w:left w:w="62" w:type="dxa"/>
          <w:right w:w="62" w:type="dxa"/>
        </w:tblCellMar>
        <w:tblLook w:val="0000"/>
      </w:tblPr>
      <w:tblGrid>
        <w:gridCol w:w="2700"/>
        <w:gridCol w:w="5760"/>
      </w:tblGrid>
      <w:tr w:rsidTr="00EF61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 xml:space="preserve">5) </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 xml:space="preserve">The required outcomes described in this unit of competency contain applicable facets of Employability Skills. The Employability Skills Summary </w:t>
            </w:r>
            <w:r w:rsidRPr="008F4B4A">
              <w:t>of the qualification in which this unit of competency is packaged will assist in identifying Employability Skill requirements.</w:t>
            </w:r>
          </w:p>
        </w:tc>
      </w:tr>
    </w:tbl>
    <w:p w:rsidR="00000000" w:rsidRPr="008F4B4A" w:rsidP="008F4B4A">
      <w:pPr>
        <w:pStyle w:val="BodyText"/>
      </w:pPr>
    </w:p>
    <w:p w:rsidR="00000000" w:rsidRPr="008F4B4A" w:rsidP="008F4B4A">
      <w:pPr>
        <w:pStyle w:val="AllowPageBreak"/>
      </w:pPr>
    </w:p>
    <w:p w:rsidR="00000000" w:rsidRPr="008F4B4A" w:rsidP="008F4B4A">
      <w:pPr>
        <w:pStyle w:val="Heading1"/>
      </w:pPr>
      <w:bookmarkStart w:id="7" w:name="O_589253"/>
      <w:bookmarkEnd w:id="7"/>
      <w:r w:rsidRPr="008F4B4A">
        <w:t>Elements and Performance Criteria Pre-Content</w:t>
      </w:r>
    </w:p>
    <w:tbl>
      <w:tblPr>
        <w:tblW w:w="0" w:type="auto"/>
        <w:tblLayout w:type="fixed"/>
        <w:tblCellMar>
          <w:left w:w="62" w:type="dxa"/>
          <w:right w:w="62" w:type="dxa"/>
        </w:tblCellMar>
        <w:tblLook w:val="0000"/>
      </w:tblPr>
      <w:tblGrid>
        <w:gridCol w:w="2700"/>
        <w:gridCol w:w="5760"/>
      </w:tblGrid>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6)</w:t>
            </w:r>
            <w:r w:rsidRPr="008F4B4A">
              <w:t xml:space="preserve"> Elements describe the essential outcomes of a competency stan</w:t>
            </w:r>
            <w:r w:rsidRPr="008F4B4A">
              <w:t>dard unit</w:t>
            </w:r>
          </w:p>
        </w:tc>
        <w:tc>
          <w:tcPr>
            <w:tcW w:w="576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Performance Criteria describe the required performance needed to demonstrate achievement of the element. Assessment of performance is to be consistent with the Evidence Guide.</w:t>
            </w:r>
          </w:p>
        </w:tc>
      </w:tr>
    </w:tbl>
    <w:p w:rsidR="00000000" w:rsidRPr="008F4B4A" w:rsidP="008F4B4A">
      <w:pPr>
        <w:pStyle w:val="BodyText"/>
      </w:pPr>
    </w:p>
    <w:p w:rsidR="00000000" w:rsidRPr="008F4B4A" w:rsidP="008F4B4A">
      <w:pPr>
        <w:pStyle w:val="AllowPageBreak"/>
      </w:pPr>
    </w:p>
    <w:p w:rsidR="00000000" w:rsidRPr="008F4B4A" w:rsidP="008F4B4A">
      <w:pPr>
        <w:pStyle w:val="Heading1"/>
      </w:pPr>
      <w:bookmarkStart w:id="8" w:name="O_589252"/>
      <w:bookmarkEnd w:id="8"/>
      <w:r w:rsidRPr="008F4B4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F61D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PERFORMANCE CRITERIA</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1</w:t>
            </w:r>
          </w:p>
        </w:tc>
        <w:tc>
          <w:tcPr>
            <w:tcW w:w="2296" w:type="dxa"/>
            <w:vMerge w:val="restart"/>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Prepare to maintain and repair facilities</w:t>
            </w: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1.1</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OHS procedures for a RAPS plant are identified, obtained and understood through established routines and procedures</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1.2</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Established OHS risk control measures and procedures in prepar</w:t>
            </w:r>
            <w:r w:rsidRPr="008F4B4A">
              <w:t>ation for the work are followed</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1.3</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Safety hazards which have not previously been identified are reported and advice on risk control measures is sought from the work supervisor</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1.4</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The nature and location of service facilities is obtained from documentation or from work supervisor to establish the scope of work to be undertaken</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1.5</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 xml:space="preserve">Advice is sought from the work supervisor to ensure the work is coordinated effectively with fellow </w:t>
            </w:r>
            <w:r w:rsidRPr="008F4B4A">
              <w:t xml:space="preserve">workers and the local community </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1.6</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Sources of materials that may be required for the work are identified and accessed in accordance with established routines and procedures</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1.7</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Tools, equipment and testing devices needed to carry out the work are obtained and checked for correct operation and safety</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2</w:t>
            </w:r>
          </w:p>
        </w:tc>
        <w:tc>
          <w:tcPr>
            <w:tcW w:w="2296" w:type="dxa"/>
            <w:vMerge w:val="restart"/>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 xml:space="preserve">Maintain and repair facilities </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2.1</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Established OHS risk control measures and procedures for carrying out the work are followed</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2.2</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Circuits/machines/plant are checked as being isolated where necessary in strict accordance OHS requirements and procedures</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2.2</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Prescribed procedures are used to check and identify deterioration and damage to facilities</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2.4</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Faulty and damaged facilities are repaired using routine procedures</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2.5</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 xml:space="preserve">Maintenance and repairs are carried out safely and within the prescribed limits, routines and procedures </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2.6</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Procedures are followed for referring non-routine events to immediat</w:t>
            </w:r>
            <w:r w:rsidRPr="008F4B4A">
              <w:t xml:space="preserve">e supervisor for directions </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2.7</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Maintenance and repair work is carried out efficiently without waste of materials and energy and without damage to apparatus, circuits, the surrounding environment or services</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2.8</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Routine quality checks are carried out in accordance with work instructions</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3</w:t>
            </w:r>
          </w:p>
        </w:tc>
        <w:tc>
          <w:tcPr>
            <w:tcW w:w="2296"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Complete maintenance and repair work report</w:t>
            </w: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3.1</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OHS work completion risk control measures and procedures are followed</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3.2</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Work site is cleaned and made safe in accordance wit</w:t>
            </w:r>
            <w:r w:rsidRPr="008F4B4A">
              <w:t>h routine procedures</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3.3</w:t>
            </w:r>
          </w:p>
        </w:tc>
        <w:tc>
          <w:tcPr>
            <w:tcW w:w="48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Procedures are followed for referring maintenance issues beyond the scope of prescribed work to persons of higher authority</w:t>
            </w:r>
          </w:p>
        </w:tc>
      </w:tr>
      <w:tr w:rsidTr="00EF61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3.4</w:t>
            </w:r>
          </w:p>
        </w:tc>
        <w:tc>
          <w:tcPr>
            <w:tcW w:w="486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Work carried out is reported to the work supervisor through the established maintenance reporting</w:t>
            </w:r>
            <w:r w:rsidRPr="008F4B4A">
              <w:t xml:space="preserve"> procedures</w:t>
            </w:r>
          </w:p>
        </w:tc>
      </w:tr>
    </w:tbl>
    <w:p w:rsidR="00000000" w:rsidRPr="008F4B4A" w:rsidP="008F4B4A">
      <w:pPr>
        <w:pStyle w:val="BodyText"/>
      </w:pPr>
    </w:p>
    <w:p w:rsidR="00000000" w:rsidRPr="008F4B4A" w:rsidP="008F4B4A">
      <w:pPr>
        <w:pStyle w:val="AllowPageBreak"/>
      </w:pPr>
    </w:p>
    <w:p w:rsidR="00000000" w:rsidRPr="008F4B4A" w:rsidP="008F4B4A">
      <w:pPr>
        <w:pStyle w:val="Heading1"/>
      </w:pPr>
      <w:bookmarkStart w:id="9" w:name="O_589251"/>
      <w:bookmarkEnd w:id="9"/>
      <w:r w:rsidRPr="008F4B4A">
        <w:t>Required Skills and Knowledge</w:t>
      </w:r>
    </w:p>
    <w:tbl>
      <w:tblPr>
        <w:tblW w:w="0" w:type="auto"/>
        <w:tblLayout w:type="fixed"/>
        <w:tblCellMar>
          <w:left w:w="62" w:type="dxa"/>
          <w:right w:w="62" w:type="dxa"/>
        </w:tblCellMar>
        <w:tblLook w:val="0000"/>
      </w:tblPr>
      <w:tblGrid>
        <w:gridCol w:w="1710"/>
        <w:gridCol w:w="6750"/>
      </w:tblGrid>
      <w:tr w:rsidTr="00EF61D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REQUIRED SKILLS AND KNOWLEDGE</w:t>
            </w:r>
          </w:p>
        </w:tc>
      </w:tr>
      <w:tr w:rsidTr="00EF61DF">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8)</w:t>
            </w:r>
            <w:r w:rsidRPr="008F4B4A">
              <w:t xml:space="preserve"> This describes the essential skills and knowledge and their level, required for this unit.</w:t>
            </w:r>
          </w:p>
          <w:p w:rsidR="00000000" w:rsidRPr="008F4B4A" w:rsidP="008F4B4A">
            <w:pPr>
              <w:pStyle w:val="BodyText"/>
            </w:pPr>
            <w:r w:rsidRPr="008F4B4A">
              <w:t>Evidence must show that knowledge has been acquired of safe working practices and maintaining and repairing facilities associated with remote area essential service operations.</w:t>
            </w:r>
          </w:p>
          <w:p w:rsidR="00000000" w:rsidP="008F4B4A">
            <w:pPr>
              <w:pStyle w:val="BodyText"/>
              <w:rPr>
                <w:lang w:val="en-NZ"/>
              </w:rPr>
            </w:pPr>
            <w:r w:rsidRPr="008F4B4A">
              <w:t>All knowledge and skills detailed in this unit should be contextualised to curr</w:t>
            </w:r>
            <w:r w:rsidRPr="008F4B4A">
              <w:t>ent industry practices and technologies.</w:t>
            </w:r>
          </w:p>
        </w:tc>
      </w:tr>
      <w:tr w:rsidTr="00EF61DF">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KS01-EK117A</w:t>
            </w:r>
          </w:p>
        </w:tc>
        <w:tc>
          <w:tcPr>
            <w:tcW w:w="675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Remote area essential services facilities</w:t>
            </w:r>
          </w:p>
        </w:tc>
      </w:tr>
      <w:tr w:rsidTr="00EF61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Evidence shall show an understanding of remote area essential services facilities to an extent indicated by the following aspects:</w:t>
            </w:r>
          </w:p>
        </w:tc>
      </w:tr>
      <w:tr w:rsidTr="00EF61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T1</w:t>
            </w:r>
            <w:r w:rsidRPr="008F4B4A">
              <w:tab/>
            </w:r>
            <w:r w:rsidRPr="008F4B4A">
              <w:t>Window repair and maintenance encompassing:</w:t>
            </w:r>
          </w:p>
          <w:p w:rsidR="00000000" w:rsidRPr="008F4B4A" w:rsidP="008F4B4A">
            <w:pPr>
              <w:pStyle w:val="ListBullet2"/>
            </w:pPr>
            <w:r w:rsidRPr="008F4B4A">
              <w:t xml:space="preserve">Emergency repairs </w:t>
            </w:r>
          </w:p>
          <w:p w:rsidR="00000000" w:rsidRPr="008F4B4A" w:rsidP="008F4B4A">
            <w:pPr>
              <w:pStyle w:val="ListBullet2"/>
            </w:pPr>
            <w:r w:rsidRPr="008F4B4A">
              <w:t xml:space="preserve">Louvre type </w:t>
            </w:r>
          </w:p>
          <w:p w:rsidR="00000000" w:rsidRPr="008F4B4A" w:rsidP="008F4B4A">
            <w:pPr>
              <w:pStyle w:val="ListBullet2"/>
            </w:pPr>
            <w:r w:rsidRPr="008F4B4A">
              <w:t xml:space="preserve">Fixed pane type </w:t>
            </w:r>
          </w:p>
          <w:p w:rsidR="00000000" w:rsidRPr="008F4B4A" w:rsidP="008F4B4A">
            <w:pPr>
              <w:pStyle w:val="ListBullet2"/>
            </w:pPr>
            <w:r w:rsidRPr="008F4B4A">
              <w:t xml:space="preserve">Shutters </w:t>
            </w:r>
          </w:p>
          <w:p w:rsidR="00000000" w:rsidP="008F4B4A">
            <w:pPr>
              <w:pStyle w:val="ListBullet2"/>
              <w:rPr>
                <w:lang w:val="en-NZ"/>
              </w:rPr>
            </w:pPr>
            <w:r w:rsidRPr="008F4B4A">
              <w:t xml:space="preserve">Safety awareness </w:t>
            </w:r>
          </w:p>
        </w:tc>
      </w:tr>
      <w:tr w:rsidTr="00EF61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T2</w:t>
            </w:r>
            <w:r w:rsidRPr="008F4B4A">
              <w:tab/>
              <w:t>Repair and maintenance to fences and gates encompassing:</w:t>
            </w:r>
          </w:p>
          <w:p w:rsidR="00000000" w:rsidRPr="008F4B4A" w:rsidP="008F4B4A">
            <w:pPr>
              <w:pStyle w:val="ListBullet2"/>
            </w:pPr>
            <w:r w:rsidRPr="008F4B4A">
              <w:t xml:space="preserve">Emergency repairs </w:t>
            </w:r>
          </w:p>
          <w:p w:rsidR="00000000" w:rsidRPr="008F4B4A" w:rsidP="008F4B4A">
            <w:pPr>
              <w:pStyle w:val="ListBullet2"/>
            </w:pPr>
            <w:r w:rsidRPr="008F4B4A">
              <w:t xml:space="preserve">Locks and catches </w:t>
            </w:r>
          </w:p>
          <w:p w:rsidR="00000000" w:rsidRPr="008F4B4A" w:rsidP="008F4B4A">
            <w:pPr>
              <w:pStyle w:val="ListBullet2"/>
            </w:pPr>
            <w:r w:rsidRPr="008F4B4A">
              <w:t xml:space="preserve">Security fencing </w:t>
            </w:r>
          </w:p>
          <w:p w:rsidR="00000000" w:rsidRPr="008F4B4A" w:rsidP="008F4B4A">
            <w:pPr>
              <w:pStyle w:val="ListBullet2"/>
            </w:pPr>
            <w:r w:rsidRPr="008F4B4A">
              <w:t xml:space="preserve">Fence maintenance </w:t>
            </w:r>
          </w:p>
          <w:p w:rsidR="00000000" w:rsidRPr="008F4B4A" w:rsidP="008F4B4A">
            <w:pPr>
              <w:pStyle w:val="ListBullet2"/>
            </w:pPr>
            <w:r w:rsidRPr="008F4B4A">
              <w:t xml:space="preserve">Gates </w:t>
            </w:r>
          </w:p>
          <w:p w:rsidR="00000000" w:rsidP="008F4B4A">
            <w:pPr>
              <w:pStyle w:val="ListBullet2"/>
              <w:rPr>
                <w:lang w:val="en-NZ"/>
              </w:rPr>
            </w:pPr>
            <w:r w:rsidRPr="008F4B4A">
              <w:t xml:space="preserve">Safety awareness </w:t>
            </w:r>
          </w:p>
        </w:tc>
      </w:tr>
      <w:tr w:rsidTr="00EF61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T3</w:t>
            </w:r>
            <w:r w:rsidRPr="008F4B4A">
              <w:tab/>
              <w:t>Maintenance painting encompassing:</w:t>
            </w:r>
          </w:p>
          <w:p w:rsidR="00000000" w:rsidRPr="008F4B4A" w:rsidP="008F4B4A">
            <w:pPr>
              <w:pStyle w:val="ListBullet2"/>
            </w:pPr>
            <w:r w:rsidRPr="008F4B4A">
              <w:t xml:space="preserve">Preparation of surfaces </w:t>
            </w:r>
          </w:p>
          <w:p w:rsidR="00000000" w:rsidRPr="008F4B4A" w:rsidP="008F4B4A">
            <w:pPr>
              <w:pStyle w:val="ListBullet2"/>
            </w:pPr>
            <w:r w:rsidRPr="008F4B4A">
              <w:t xml:space="preserve">Block work </w:t>
            </w:r>
          </w:p>
          <w:p w:rsidR="00000000" w:rsidRPr="008F4B4A" w:rsidP="008F4B4A">
            <w:pPr>
              <w:pStyle w:val="ListBullet2"/>
            </w:pPr>
            <w:r w:rsidRPr="008F4B4A">
              <w:t xml:space="preserve">Concrete </w:t>
            </w:r>
          </w:p>
          <w:p w:rsidR="00000000" w:rsidRPr="008F4B4A" w:rsidP="008F4B4A">
            <w:pPr>
              <w:pStyle w:val="ListBullet2"/>
            </w:pPr>
            <w:r w:rsidRPr="008F4B4A">
              <w:t xml:space="preserve">Timber </w:t>
            </w:r>
          </w:p>
          <w:p w:rsidR="00000000" w:rsidRPr="008F4B4A" w:rsidP="008F4B4A">
            <w:pPr>
              <w:pStyle w:val="ListBullet2"/>
            </w:pPr>
            <w:r w:rsidRPr="008F4B4A">
              <w:t xml:space="preserve">Steel </w:t>
            </w:r>
          </w:p>
          <w:p w:rsidR="00000000" w:rsidRPr="008F4B4A" w:rsidP="008F4B4A">
            <w:pPr>
              <w:pStyle w:val="ListBullet2"/>
            </w:pPr>
            <w:r w:rsidRPr="008F4B4A">
              <w:t xml:space="preserve">Paint selection </w:t>
            </w:r>
          </w:p>
          <w:p w:rsidR="00000000" w:rsidRPr="008F4B4A" w:rsidP="008F4B4A">
            <w:pPr>
              <w:pStyle w:val="ListBullet2"/>
            </w:pPr>
            <w:r w:rsidRPr="008F4B4A">
              <w:t xml:space="preserve">Brush and roller selection </w:t>
            </w:r>
          </w:p>
          <w:p w:rsidR="00000000" w:rsidRPr="008F4B4A" w:rsidP="008F4B4A">
            <w:pPr>
              <w:pStyle w:val="ListBullet2"/>
            </w:pPr>
            <w:r w:rsidRPr="008F4B4A">
              <w:t xml:space="preserve">Paint application </w:t>
            </w:r>
          </w:p>
          <w:p w:rsidR="00000000" w:rsidRPr="008F4B4A" w:rsidP="008F4B4A">
            <w:pPr>
              <w:pStyle w:val="ListBullet2"/>
            </w:pPr>
            <w:r w:rsidRPr="008F4B4A">
              <w:t xml:space="preserve">Clean up process </w:t>
            </w:r>
          </w:p>
          <w:p w:rsidR="00000000" w:rsidRPr="008F4B4A" w:rsidP="008F4B4A">
            <w:pPr>
              <w:pStyle w:val="ListBullet2"/>
            </w:pPr>
            <w:r w:rsidRPr="008F4B4A">
              <w:t xml:space="preserve">Paint and accessories storage </w:t>
            </w:r>
          </w:p>
          <w:p w:rsidR="00000000" w:rsidP="008F4B4A">
            <w:pPr>
              <w:pStyle w:val="ListBullet2"/>
              <w:rPr>
                <w:lang w:val="en-NZ"/>
              </w:rPr>
            </w:pPr>
            <w:r w:rsidRPr="008F4B4A">
              <w:t xml:space="preserve">Safety awareness </w:t>
            </w:r>
          </w:p>
        </w:tc>
      </w:tr>
      <w:tr w:rsidTr="00EF61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T4</w:t>
            </w:r>
            <w:r w:rsidRPr="008F4B4A">
              <w:tab/>
              <w:t>Essential services facilities lighting encompassing:</w:t>
            </w:r>
          </w:p>
          <w:p w:rsidR="00000000" w:rsidRPr="008F4B4A" w:rsidP="008F4B4A">
            <w:pPr>
              <w:pStyle w:val="ListBullet2"/>
            </w:pPr>
            <w:r w:rsidRPr="008F4B4A">
              <w:t xml:space="preserve">Incandescent lamps </w:t>
            </w:r>
          </w:p>
          <w:p w:rsidR="00000000" w:rsidRPr="008F4B4A" w:rsidP="008F4B4A">
            <w:pPr>
              <w:pStyle w:val="ListBullet2"/>
            </w:pPr>
            <w:r w:rsidRPr="008F4B4A">
              <w:t>Compact fluorescent lamps</w:t>
            </w:r>
          </w:p>
          <w:p w:rsidR="00000000" w:rsidRPr="008F4B4A" w:rsidP="008F4B4A">
            <w:pPr>
              <w:pStyle w:val="ListBullet2"/>
            </w:pPr>
            <w:r w:rsidRPr="008F4B4A">
              <w:t xml:space="preserve">Fluorescent tubes </w:t>
            </w:r>
          </w:p>
          <w:p w:rsidR="00000000" w:rsidRPr="008F4B4A" w:rsidP="008F4B4A">
            <w:pPr>
              <w:pStyle w:val="ListBullet2"/>
            </w:pPr>
            <w:r w:rsidRPr="008F4B4A">
              <w:t xml:space="preserve">Fluorescent light starters </w:t>
            </w:r>
          </w:p>
          <w:p w:rsidR="00000000" w:rsidRPr="008F4B4A" w:rsidP="008F4B4A">
            <w:pPr>
              <w:pStyle w:val="ListBullet2"/>
            </w:pPr>
            <w:r w:rsidRPr="008F4B4A">
              <w:t xml:space="preserve">Diffusion devices </w:t>
            </w:r>
          </w:p>
          <w:p w:rsidR="00000000" w:rsidRPr="008F4B4A" w:rsidP="008F4B4A">
            <w:pPr>
              <w:pStyle w:val="ListBullet2"/>
            </w:pPr>
            <w:r w:rsidRPr="008F4B4A">
              <w:t xml:space="preserve">Safety awareness </w:t>
            </w:r>
          </w:p>
          <w:p w:rsidR="00000000" w:rsidP="008F4B4A">
            <w:pPr>
              <w:pStyle w:val="ListBullet2"/>
              <w:rPr>
                <w:lang w:val="en-NZ"/>
              </w:rPr>
            </w:pPr>
            <w:r w:rsidRPr="008F4B4A">
              <w:t>Disposal of faulty lamps</w:t>
            </w:r>
          </w:p>
        </w:tc>
      </w:tr>
      <w:tr w:rsidTr="00EF61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T5</w:t>
            </w:r>
            <w:r w:rsidRPr="008F4B4A">
              <w:tab/>
              <w:t>Essential services facilities safety and security and emergency checks encompassing:</w:t>
            </w:r>
          </w:p>
          <w:p w:rsidR="00000000" w:rsidRPr="008F4B4A" w:rsidP="008F4B4A">
            <w:pPr>
              <w:pStyle w:val="ListBullet2"/>
            </w:pPr>
            <w:r w:rsidRPr="008F4B4A">
              <w:t xml:space="preserve">Broken windows </w:t>
            </w:r>
          </w:p>
          <w:p w:rsidR="00000000" w:rsidRPr="008F4B4A" w:rsidP="008F4B4A">
            <w:pPr>
              <w:pStyle w:val="ListBullet2"/>
            </w:pPr>
            <w:r w:rsidRPr="008F4B4A">
              <w:t xml:space="preserve">Faulty lighting </w:t>
            </w:r>
          </w:p>
          <w:p w:rsidR="00000000" w:rsidRPr="008F4B4A" w:rsidP="008F4B4A">
            <w:pPr>
              <w:pStyle w:val="ListBullet2"/>
            </w:pPr>
            <w:r w:rsidRPr="008F4B4A">
              <w:t xml:space="preserve">Damaged gates </w:t>
            </w:r>
          </w:p>
          <w:p w:rsidR="00000000" w:rsidRPr="008F4B4A" w:rsidP="008F4B4A">
            <w:pPr>
              <w:pStyle w:val="ListBullet2"/>
            </w:pPr>
            <w:r w:rsidRPr="008F4B4A">
              <w:t xml:space="preserve">Logging the inspections </w:t>
            </w:r>
          </w:p>
          <w:p w:rsidR="00000000" w:rsidRPr="008F4B4A" w:rsidP="008F4B4A">
            <w:pPr>
              <w:pStyle w:val="ListBullet2"/>
            </w:pPr>
            <w:r w:rsidRPr="008F4B4A">
              <w:t xml:space="preserve">Notification of the situation </w:t>
            </w:r>
          </w:p>
          <w:p w:rsidR="00000000" w:rsidP="008F4B4A">
            <w:pPr>
              <w:pStyle w:val="ListBullet2"/>
              <w:rPr>
                <w:lang w:val="en-NZ"/>
              </w:rPr>
            </w:pPr>
            <w:r w:rsidRPr="008F4B4A">
              <w:t xml:space="preserve">Safety awareness </w:t>
            </w:r>
          </w:p>
        </w:tc>
      </w:tr>
      <w:tr w:rsidTr="00EF61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T6</w:t>
            </w:r>
            <w:r w:rsidRPr="008F4B4A">
              <w:tab/>
            </w:r>
            <w:r w:rsidRPr="008F4B4A">
              <w:t>Telephone encompassing:</w:t>
            </w:r>
          </w:p>
          <w:p w:rsidR="00000000" w:rsidRPr="008F4B4A" w:rsidP="008F4B4A">
            <w:pPr>
              <w:pStyle w:val="ListBullet2"/>
            </w:pPr>
            <w:r w:rsidRPr="008F4B4A">
              <w:t xml:space="preserve">Answer calls promptly and clearly. </w:t>
            </w:r>
          </w:p>
          <w:p w:rsidR="00000000" w:rsidRPr="008F4B4A" w:rsidP="008F4B4A">
            <w:pPr>
              <w:pStyle w:val="ListBullet2"/>
            </w:pPr>
            <w:r w:rsidRPr="008F4B4A">
              <w:t xml:space="preserve">Using designated business protocol procedure </w:t>
            </w:r>
          </w:p>
          <w:p w:rsidR="00000000" w:rsidRPr="008F4B4A" w:rsidP="008F4B4A">
            <w:pPr>
              <w:pStyle w:val="ListBullet2"/>
            </w:pPr>
            <w:r w:rsidRPr="008F4B4A">
              <w:t>Making and receiving telephone calls in a workplace context</w:t>
            </w:r>
          </w:p>
          <w:p w:rsidR="00000000" w:rsidRPr="008F4B4A" w:rsidP="008F4B4A">
            <w:pPr>
              <w:pStyle w:val="ListBullet2"/>
            </w:pPr>
            <w:r w:rsidRPr="008F4B4A">
              <w:t xml:space="preserve">Obtain accurate telephone numbers from an appropriate source. </w:t>
            </w:r>
          </w:p>
          <w:p w:rsidR="00000000" w:rsidRPr="008F4B4A" w:rsidP="008F4B4A">
            <w:pPr>
              <w:pStyle w:val="ListBullet2"/>
            </w:pPr>
            <w:r w:rsidRPr="008F4B4A">
              <w:t>Establish contact using de</w:t>
            </w:r>
            <w:r w:rsidRPr="008F4B4A">
              <w:t xml:space="preserve">signated business protocol procedures. </w:t>
            </w:r>
          </w:p>
          <w:p w:rsidR="00000000" w:rsidP="008F4B4A">
            <w:pPr>
              <w:pStyle w:val="ListBullet2"/>
              <w:rPr>
                <w:lang w:val="en-NZ"/>
              </w:rPr>
            </w:pPr>
            <w:r w:rsidRPr="008F4B4A">
              <w:t xml:space="preserve">Convey purpose all call clearly and concisely. </w:t>
            </w:r>
          </w:p>
        </w:tc>
      </w:tr>
      <w:tr w:rsidTr="00EF61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T7</w:t>
            </w:r>
            <w:r w:rsidRPr="008F4B4A">
              <w:tab/>
              <w:t>Mathematical operations encompassing:</w:t>
            </w:r>
          </w:p>
          <w:p w:rsidR="00000000" w:rsidRPr="008F4B4A" w:rsidP="008F4B4A">
            <w:pPr>
              <w:pStyle w:val="ListBullet2"/>
            </w:pPr>
            <w:r w:rsidRPr="008F4B4A">
              <w:t xml:space="preserve">Whole numbers. </w:t>
            </w:r>
          </w:p>
          <w:p w:rsidR="00000000" w:rsidRPr="008F4B4A" w:rsidP="008F4B4A">
            <w:pPr>
              <w:pStyle w:val="ListBullet2"/>
            </w:pPr>
            <w:r w:rsidRPr="008F4B4A">
              <w:t xml:space="preserve">Fractions </w:t>
            </w:r>
          </w:p>
          <w:p w:rsidR="00000000" w:rsidRPr="008F4B4A" w:rsidP="008F4B4A">
            <w:pPr>
              <w:pStyle w:val="ListBullet2"/>
            </w:pPr>
            <w:r w:rsidRPr="008F4B4A">
              <w:t xml:space="preserve">Decimals </w:t>
            </w:r>
          </w:p>
          <w:p w:rsidR="00000000" w:rsidRPr="008F4B4A" w:rsidP="008F4B4A">
            <w:pPr>
              <w:pStyle w:val="ListBullet2"/>
            </w:pPr>
            <w:r w:rsidRPr="008F4B4A">
              <w:t xml:space="preserve">Percentages </w:t>
            </w:r>
          </w:p>
          <w:p w:rsidR="00000000" w:rsidRPr="008F4B4A" w:rsidP="008F4B4A">
            <w:pPr>
              <w:pStyle w:val="ListBullet2"/>
            </w:pPr>
            <w:r w:rsidRPr="008F4B4A">
              <w:t xml:space="preserve">Ratios </w:t>
            </w:r>
          </w:p>
          <w:p w:rsidR="00000000" w:rsidP="008F4B4A">
            <w:pPr>
              <w:pStyle w:val="ListBullet2"/>
              <w:rPr>
                <w:lang w:val="en-NZ"/>
              </w:rPr>
            </w:pPr>
            <w:r w:rsidRPr="008F4B4A">
              <w:t xml:space="preserve">Proportions </w:t>
            </w:r>
          </w:p>
        </w:tc>
      </w:tr>
      <w:tr w:rsidTr="00EF61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T8</w:t>
            </w:r>
            <w:r w:rsidRPr="008F4B4A">
              <w:tab/>
              <w:t>Electrical encompassing:</w:t>
            </w:r>
          </w:p>
          <w:p w:rsidR="00000000" w:rsidRPr="008F4B4A" w:rsidP="008F4B4A">
            <w:pPr>
              <w:pStyle w:val="ListBullet2"/>
            </w:pPr>
            <w:r w:rsidRPr="008F4B4A">
              <w:t xml:space="preserve">Identification and basic function of electrical components used </w:t>
            </w:r>
          </w:p>
          <w:p w:rsidR="00000000" w:rsidRPr="008F4B4A" w:rsidP="008F4B4A">
            <w:pPr>
              <w:pStyle w:val="ListBullet2"/>
            </w:pPr>
            <w:r w:rsidRPr="008F4B4A">
              <w:t xml:space="preserve">for generating and distributing. </w:t>
            </w:r>
          </w:p>
          <w:p w:rsidR="00000000" w:rsidRPr="008F4B4A" w:rsidP="008F4B4A">
            <w:pPr>
              <w:pStyle w:val="ListBullet2"/>
            </w:pPr>
            <w:r w:rsidRPr="008F4B4A">
              <w:t xml:space="preserve">Electricity safety procedures when working with electricity. </w:t>
            </w:r>
          </w:p>
          <w:p w:rsidR="00000000" w:rsidRPr="008F4B4A" w:rsidP="008F4B4A">
            <w:pPr>
              <w:pStyle w:val="ListBullet2"/>
            </w:pPr>
            <w:r w:rsidRPr="008F4B4A">
              <w:t xml:space="preserve">Identification of faulty electrical components. </w:t>
            </w:r>
          </w:p>
          <w:p w:rsidR="00000000" w:rsidP="008F4B4A">
            <w:pPr>
              <w:pStyle w:val="ListBullet2"/>
              <w:rPr>
                <w:lang w:val="en-NZ"/>
              </w:rPr>
            </w:pPr>
            <w:r w:rsidRPr="008F4B4A">
              <w:t>Reporting of faulty electrical components.</w:t>
            </w:r>
          </w:p>
        </w:tc>
      </w:tr>
      <w:tr w:rsidTr="00EF61D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T9</w:t>
            </w:r>
            <w:r w:rsidRPr="008F4B4A">
              <w:tab/>
              <w:t>Fire fighting equipment encompassing:</w:t>
            </w:r>
          </w:p>
          <w:p w:rsidR="00000000" w:rsidRPr="008F4B4A" w:rsidP="008F4B4A">
            <w:pPr>
              <w:pStyle w:val="ListBullet2"/>
            </w:pPr>
            <w:r w:rsidRPr="008F4B4A">
              <w:t xml:space="preserve">Fire extinguishers and signage </w:t>
            </w:r>
          </w:p>
          <w:p w:rsidR="00000000" w:rsidRPr="008F4B4A" w:rsidP="008F4B4A">
            <w:pPr>
              <w:pStyle w:val="ListBullet2"/>
            </w:pPr>
            <w:r w:rsidRPr="008F4B4A">
              <w:t xml:space="preserve">Types of fire extinguishers </w:t>
            </w:r>
          </w:p>
          <w:p w:rsidR="00000000" w:rsidRPr="008F4B4A" w:rsidP="008F4B4A">
            <w:pPr>
              <w:pStyle w:val="ListBullet2"/>
            </w:pPr>
            <w:r w:rsidRPr="008F4B4A">
              <w:t xml:space="preserve">Contents and colour </w:t>
            </w:r>
          </w:p>
          <w:p w:rsidR="00000000" w:rsidRPr="008F4B4A" w:rsidP="008F4B4A">
            <w:pPr>
              <w:pStyle w:val="ListBullet2"/>
            </w:pPr>
            <w:r w:rsidRPr="008F4B4A">
              <w:t xml:space="preserve">Correct identification </w:t>
            </w:r>
          </w:p>
          <w:p w:rsidR="00000000" w:rsidRPr="008F4B4A" w:rsidP="008F4B4A">
            <w:pPr>
              <w:pStyle w:val="ListBullet2"/>
            </w:pPr>
            <w:r w:rsidRPr="008F4B4A">
              <w:t xml:space="preserve">Use of fire extinguishers </w:t>
            </w:r>
          </w:p>
          <w:p w:rsidR="00000000" w:rsidRPr="008F4B4A" w:rsidP="008F4B4A">
            <w:pPr>
              <w:pStyle w:val="ListBullet2"/>
            </w:pPr>
            <w:r w:rsidRPr="008F4B4A">
              <w:t xml:space="preserve">Use of water hose and reel </w:t>
            </w:r>
          </w:p>
          <w:p w:rsidR="00000000" w:rsidRPr="008F4B4A" w:rsidP="008F4B4A">
            <w:pPr>
              <w:pStyle w:val="ListBullet2"/>
            </w:pPr>
            <w:r w:rsidRPr="008F4B4A">
              <w:t>Safety awareness</w:t>
            </w:r>
          </w:p>
        </w:tc>
      </w:tr>
    </w:tbl>
    <w:p w:rsidR="00000000" w:rsidRPr="008F4B4A" w:rsidP="008F4B4A">
      <w:pPr>
        <w:pStyle w:val="BodyText"/>
      </w:pPr>
    </w:p>
    <w:p w:rsidR="00000000" w:rsidRPr="008F4B4A" w:rsidP="008F4B4A">
      <w:pPr>
        <w:pStyle w:val="AllowPageBreak"/>
      </w:pPr>
    </w:p>
    <w:p w:rsidR="00000000" w:rsidRPr="008F4B4A" w:rsidP="008F4B4A">
      <w:pPr>
        <w:pStyle w:val="Heading1"/>
      </w:pPr>
      <w:bookmarkStart w:id="10" w:name="O_589250"/>
      <w:bookmarkEnd w:id="10"/>
      <w:r w:rsidRPr="008F4B4A">
        <w:t>Evidence Guide</w:t>
      </w:r>
    </w:p>
    <w:tbl>
      <w:tblPr>
        <w:tblW w:w="0" w:type="auto"/>
        <w:tblLayout w:type="fixed"/>
        <w:tblCellMar>
          <w:left w:w="62" w:type="dxa"/>
          <w:right w:w="62" w:type="dxa"/>
        </w:tblCellMar>
        <w:tblLook w:val="0000"/>
      </w:tblPr>
      <w:tblGrid>
        <w:gridCol w:w="8460"/>
      </w:tblGrid>
      <w:tr w:rsidTr="00EF61D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EVIDENCE GUIDE</w:t>
            </w:r>
          </w:p>
        </w:tc>
      </w:tr>
      <w:tr w:rsidTr="00EF61D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9)</w:t>
            </w:r>
            <w:r w:rsidRPr="008F4B4A">
              <w:t xml:space="preserve"> This provides essential advice for assessment of the unit and must be read in conjunction with the performance criteria and the range statement of the unit and the Training Package Assessment Guidelines.</w:t>
            </w:r>
          </w:p>
          <w:p w:rsidR="00000000" w:rsidRPr="008F4B4A" w:rsidP="008F4B4A">
            <w:pPr>
              <w:pStyle w:val="BodyText"/>
            </w:pPr>
            <w:r w:rsidRPr="008F4B4A">
              <w:t>The Evidence Guide forms an integ</w:t>
            </w:r>
            <w:r w:rsidRPr="008F4B4A">
              <w:t>ral part of this unit. It must be used in conjunction with all parts of this unit and performed in accordance with the Assessment Guidelines of this Training Package.</w:t>
            </w:r>
          </w:p>
        </w:tc>
      </w:tr>
    </w:tbl>
    <w:p w:rsidR="00000000" w:rsidRPr="008F4B4A" w:rsidP="008F4B4A">
      <w:pPr>
        <w:pStyle w:val="BodyText"/>
      </w:pPr>
    </w:p>
    <w:tbl>
      <w:tblPr>
        <w:tblW w:w="0" w:type="auto"/>
        <w:tblLayout w:type="fixed"/>
        <w:tblCellMar>
          <w:left w:w="62" w:type="dxa"/>
          <w:right w:w="62" w:type="dxa"/>
        </w:tblCellMar>
        <w:tblLook w:val="0000"/>
      </w:tblPr>
      <w:tblGrid>
        <w:gridCol w:w="1890"/>
        <w:gridCol w:w="6570"/>
      </w:tblGrid>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9.1)</w:t>
            </w:r>
          </w:p>
        </w:tc>
      </w:tr>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Longitudinal competency development approaches to assessment, such as Profiling, require data to be reliably gathered in a form that can be consistently interpreted over time. This approach is best utilised in Apprenticeship programs and reduces assessment</w:t>
            </w:r>
            <w:r w:rsidRPr="008F4B4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8F4B4A">
              <w:t>ncy in a realistically simulated work environment. In some circumstances, assessment in part or full can occur outside the workplace. However, it must be in accordance with industry and regulatory policy.</w:t>
            </w:r>
          </w:p>
          <w:p w:rsidR="00000000" w:rsidRPr="008F4B4A" w:rsidP="008F4B4A">
            <w:pPr>
              <w:pStyle w:val="BodyText"/>
            </w:pPr>
            <w:r w:rsidRPr="008F4B4A">
              <w:t xml:space="preserve">Methods chosen for a particular assessment will be </w:t>
            </w:r>
            <w:r w:rsidRPr="008F4B4A">
              <w:t>influenced by various factors. These include the extent of the assessment, the most effective locations for the assessment activities to take place, access to physical resources, additional safety measures that may be required and the critical nature of th</w:t>
            </w:r>
            <w:r w:rsidRPr="008F4B4A">
              <w:t>e competencies being assessed.</w:t>
            </w:r>
          </w:p>
          <w:p w:rsidR="00000000" w:rsidRPr="008F4B4A" w:rsidP="008F4B4A">
            <w:pPr>
              <w:pStyle w:val="BodyText"/>
            </w:pPr>
            <w:r w:rsidRPr="008F4B4A">
              <w:t xml:space="preserve">The critical safety issues inherent in working with electricity, electrical equipment, gas or any other hazardous substance/material present a challenge for those determining competence. Sources of evidence need to be ‘rich’ </w:t>
            </w:r>
            <w:r w:rsidRPr="008F4B4A">
              <w:t>in nature to minimise error in judgment.</w:t>
            </w:r>
          </w:p>
          <w:p w:rsidR="00000000" w:rsidRPr="008F4B4A" w:rsidP="008F4B4A">
            <w:pPr>
              <w:pStyle w:val="BodyText"/>
            </w:pPr>
            <w:r w:rsidRPr="008F4B4A">
              <w:t>Activities associated with normal everyday work have a bearing on the decision as to how much and how detailed the data gathered will contribute to its ‘richness’. Some skills are more critical to safety and operati</w:t>
            </w:r>
            <w:r w:rsidRPr="008F4B4A">
              <w:t>onal requirements while the same skills may be more or less frequently practised. These points are raised for the assessors to consider when choosing an assessment method and developing assessment instruments. Sample assessment instruments are included for</w:t>
            </w:r>
            <w:r w:rsidRPr="008F4B4A">
              <w:t xml:space="preserve"> Assessors in the Assessment Guidelines of this Training Package.</w:t>
            </w:r>
          </w:p>
        </w:tc>
      </w:tr>
    </w:tbl>
    <w:p w:rsidR="00000000" w:rsidRPr="008F4B4A" w:rsidP="008F4B4A">
      <w:pPr>
        <w:pStyle w:val="BodyText"/>
      </w:pPr>
    </w:p>
    <w:tbl>
      <w:tblPr>
        <w:tblW w:w="0" w:type="auto"/>
        <w:tblLayout w:type="fixed"/>
        <w:tblCellMar>
          <w:left w:w="62" w:type="dxa"/>
          <w:right w:w="62" w:type="dxa"/>
        </w:tblCellMar>
        <w:tblLook w:val="0000"/>
      </w:tblPr>
      <w:tblGrid>
        <w:gridCol w:w="1890"/>
        <w:gridCol w:w="1530"/>
        <w:gridCol w:w="5040"/>
      </w:tblGrid>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9.2)</w:t>
            </w:r>
          </w:p>
        </w:tc>
      </w:tr>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Before the critical aspects of evidence are considered all prerequisites must be met.</w:t>
            </w:r>
          </w:p>
          <w:p w:rsidR="00000000" w:rsidRPr="008F4B4A" w:rsidP="008F4B4A">
            <w:pPr>
              <w:pStyle w:val="BodyText"/>
            </w:pPr>
            <w:r w:rsidRPr="008F4B4A">
              <w:t>Evidence for comp</w:t>
            </w:r>
            <w:r w:rsidRPr="008F4B4A">
              <w:t>etence in this unit must be considered holistically.  Each element and associated performance criteria must be demonstrated on at least two occasions in accordance with the ‘Assessment Guidelines – UEE11’.  Evidence must  also comprise:</w:t>
            </w:r>
          </w:p>
          <w:p w:rsidR="00000000" w:rsidRPr="008F4B4A" w:rsidP="008F4B4A">
            <w:pPr>
              <w:pStyle w:val="ListBullet"/>
            </w:pPr>
            <w:r w:rsidRPr="008F4B4A">
              <w:t>A representative b</w:t>
            </w:r>
            <w:r w:rsidRPr="008F4B4A">
              <w:t>ody of work performance demonstrated within the timeframes typically expected of the discipline, work function and industrial environment. In particular this must  incorporate evidence that shows a candidate is able to:</w:t>
            </w:r>
          </w:p>
          <w:p w:rsidR="00000000" w:rsidRPr="008F4B4A" w:rsidP="008F4B4A">
            <w:pPr>
              <w:pStyle w:val="ListBullet2"/>
            </w:pPr>
            <w:r w:rsidRPr="008F4B4A">
              <w:t>Implement Occupational Health and Safety workplace procedures and practices including the use of risk control measures as specified in the performance criteria and range statement</w:t>
            </w:r>
          </w:p>
          <w:p w:rsidR="00000000" w:rsidRPr="008F4B4A" w:rsidP="008F4B4A">
            <w:pPr>
              <w:pStyle w:val="ListBullet2"/>
            </w:pPr>
            <w:r w:rsidRPr="008F4B4A">
              <w:t>Apply sustainable energy principles and practices as specified in the perfor</w:t>
            </w:r>
            <w:r w:rsidRPr="008F4B4A">
              <w:t>mance criteria and range statement</w:t>
            </w:r>
          </w:p>
          <w:p w:rsidR="00000000" w:rsidRPr="008F4B4A" w:rsidP="008F4B4A">
            <w:pPr>
              <w:pStyle w:val="ListBullet2"/>
            </w:pPr>
            <w:r w:rsidRPr="008F4B4A">
              <w:t>Demonstrate an understanding of the essential knowledge and associated skills as described in this unit.  It may be required by some jurisdictions that RTOs provide a percentile graded result for the purpose of regulatory</w:t>
            </w:r>
            <w:r w:rsidRPr="008F4B4A">
              <w:t xml:space="preserve"> or licensing requirements.</w:t>
            </w:r>
          </w:p>
          <w:p w:rsidR="00000000" w:rsidRPr="008F4B4A" w:rsidP="008F4B4A">
            <w:pPr>
              <w:pStyle w:val="ListBullet2"/>
            </w:pPr>
            <w:r w:rsidRPr="008F4B4A">
              <w:t>Demonstrate an appropriate level of skills enabling employment</w:t>
            </w:r>
          </w:p>
          <w:p w:rsidR="00000000" w:rsidRPr="008F4B4A" w:rsidP="008F4B4A">
            <w:pPr>
              <w:pStyle w:val="ListBullet2"/>
            </w:pPr>
            <w:r w:rsidRPr="008F4B4A">
              <w:t>Conduct work observing the relevant Anti Discrimination legislation, regulations, polices and workplace procedures</w:t>
            </w:r>
          </w:p>
          <w:p w:rsidR="00000000" w:rsidRPr="008F4B4A" w:rsidP="008F4B4A">
            <w:pPr>
              <w:pStyle w:val="ListBullet"/>
            </w:pPr>
            <w:r w:rsidRPr="008F4B4A">
              <w:t>Demonstrated consistent performance across a repr</w:t>
            </w:r>
            <w:r w:rsidRPr="008F4B4A">
              <w:t>esentative range of contexts from the prescribed items below:</w:t>
            </w:r>
          </w:p>
          <w:p w:rsidR="00000000" w:rsidP="008F4B4A">
            <w:pPr>
              <w:pStyle w:val="ListBullet2"/>
              <w:rPr>
                <w:lang w:val="en-NZ"/>
              </w:rPr>
            </w:pPr>
            <w:r w:rsidRPr="008F4B4A">
              <w:t>Maintain and repair facilities associated with remote area essential service operations as described in 8) and including:</w:t>
            </w:r>
          </w:p>
        </w:tc>
      </w:tr>
      <w:tr w:rsidTr="00EF61D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A</w:t>
            </w:r>
          </w:p>
        </w:tc>
        <w:tc>
          <w:tcPr>
            <w:tcW w:w="50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Understanding the location and nature of the work required</w:t>
            </w:r>
          </w:p>
        </w:tc>
      </w:tr>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B</w:t>
            </w:r>
          </w:p>
        </w:tc>
        <w:tc>
          <w:tcPr>
            <w:tcW w:w="50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Identifying deterioration and damage to facilities correctly</w:t>
            </w:r>
          </w:p>
        </w:tc>
      </w:tr>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C</w:t>
            </w:r>
          </w:p>
        </w:tc>
        <w:tc>
          <w:tcPr>
            <w:tcW w:w="50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Carrying out maintenance and repairs effectively</w:t>
            </w:r>
          </w:p>
        </w:tc>
      </w:tr>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D</w:t>
            </w:r>
          </w:p>
        </w:tc>
        <w:tc>
          <w:tcPr>
            <w:tcW w:w="50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Identifying maintenance issues beyond the scope of prescribed work and notifying appropriate persons</w:t>
            </w:r>
          </w:p>
        </w:tc>
      </w:tr>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E</w:t>
            </w:r>
          </w:p>
        </w:tc>
        <w:tc>
          <w:tcPr>
            <w:tcW w:w="50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 xml:space="preserve">Documenting work activities accurately </w:t>
            </w:r>
          </w:p>
        </w:tc>
      </w:tr>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F</w:t>
            </w:r>
          </w:p>
        </w:tc>
        <w:tc>
          <w:tcPr>
            <w:tcW w:w="504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Dealing with unplanned events by drawing on essential knowledge and skills to provide appropriate solutions incorporated in a holistic assessment with the above listed items</w:t>
            </w:r>
          </w:p>
        </w:tc>
      </w:tr>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 xml:space="preserve">Note: </w:t>
            </w:r>
          </w:p>
          <w:p w:rsidR="00000000" w:rsidRPr="008F4B4A" w:rsidP="008F4B4A">
            <w:pPr>
              <w:pStyle w:val="BodyText"/>
            </w:pPr>
            <w:r w:rsidRPr="008F4B4A">
              <w:t>Successful completion of rel</w:t>
            </w:r>
            <w:r w:rsidRPr="008F4B4A">
              <w:t>evant vendor training may be used to contribute to evidence on which competency is deemed. In these cases the alignment of outcomes of vendor training with performance criteria and critical aspects of evidence must be clearly identified</w:t>
            </w:r>
          </w:p>
        </w:tc>
      </w:tr>
    </w:tbl>
    <w:p w:rsidR="00000000" w:rsidRPr="008F4B4A" w:rsidP="008F4B4A">
      <w:pPr>
        <w:pStyle w:val="BodyText"/>
      </w:pPr>
    </w:p>
    <w:tbl>
      <w:tblPr>
        <w:tblW w:w="0" w:type="auto"/>
        <w:tblLayout w:type="fixed"/>
        <w:tblCellMar>
          <w:left w:w="62" w:type="dxa"/>
          <w:right w:w="62" w:type="dxa"/>
        </w:tblCellMar>
        <w:tblLook w:val="0000"/>
      </w:tblPr>
      <w:tblGrid>
        <w:gridCol w:w="1890"/>
        <w:gridCol w:w="6570"/>
      </w:tblGrid>
      <w:tr w:rsidTr="00EF61D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Context of and sp</w:t>
            </w:r>
            <w:r w:rsidRPr="008F4B4A">
              <w:rPr>
                <w:rStyle w:val="SpecialBold"/>
              </w:rPr>
              <w:t>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9.3)</w:t>
            </w:r>
          </w:p>
        </w:tc>
      </w:tr>
      <w:tr w:rsidTr="00EF61D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This unit should be assessed as it relates to normal work practice using procedures, information and resources typical of a workplace. This should include:</w:t>
            </w:r>
          </w:p>
          <w:p w:rsidR="00000000" w:rsidRPr="008F4B4A" w:rsidP="008F4B4A">
            <w:pPr>
              <w:pStyle w:val="ListBullet2"/>
            </w:pPr>
            <w:r w:rsidRPr="008F4B4A">
              <w:t>OHS policy and work procedures and instructions.</w:t>
            </w:r>
          </w:p>
          <w:p w:rsidR="00000000" w:rsidRPr="008F4B4A" w:rsidP="008F4B4A">
            <w:pPr>
              <w:pStyle w:val="ListBullet2"/>
            </w:pPr>
            <w:r w:rsidRPr="008F4B4A">
              <w:t>Suitable work environment, facilities, equipment and materials to undertake actual work as prescribed by this unit.</w:t>
            </w:r>
          </w:p>
          <w:p w:rsidR="00000000" w:rsidRPr="008F4B4A" w:rsidP="008F4B4A">
            <w:pPr>
              <w:pStyle w:val="BodyText"/>
            </w:pPr>
            <w:r w:rsidRPr="008F4B4A">
              <w:t>These should be part of the formal learning/assessment environment.</w:t>
            </w:r>
          </w:p>
          <w:p w:rsidR="00000000" w:rsidRPr="008F4B4A" w:rsidP="008F4B4A">
            <w:pPr>
              <w:pStyle w:val="BodyText"/>
            </w:pPr>
            <w:r w:rsidRPr="008F4B4A">
              <w:t>Note:</w:t>
            </w:r>
          </w:p>
          <w:p w:rsidR="00000000" w:rsidRPr="008F4B4A" w:rsidP="008F4B4A">
            <w:pPr>
              <w:pStyle w:val="BodyText"/>
            </w:pPr>
            <w:r w:rsidRPr="008F4B4A">
              <w:t>Where simulation is considered a suitable strategy for assessment,</w:t>
            </w:r>
            <w:r w:rsidRPr="008F4B4A">
              <w:t xml:space="preserve"> conditions must be authentic and as far as possible reproduce and replicate the workplace and be consistent with the approved industry simulation policy.</w:t>
            </w:r>
          </w:p>
          <w:p w:rsidR="00000000" w:rsidRPr="008F4B4A" w:rsidP="008F4B4A">
            <w:pPr>
              <w:pStyle w:val="BodyText"/>
            </w:pPr>
            <w:r w:rsidRPr="008F4B4A">
              <w:t>The resources used for assessment should reflect current industry practices in relation to maintainin</w:t>
            </w:r>
            <w:r w:rsidRPr="008F4B4A">
              <w:t>g and repairing facilities associated with remote area essential service operations.</w:t>
            </w:r>
          </w:p>
        </w:tc>
      </w:tr>
    </w:tbl>
    <w:p w:rsidR="00000000" w:rsidRPr="008F4B4A" w:rsidP="008F4B4A">
      <w:pPr>
        <w:pStyle w:val="BodyText"/>
      </w:pPr>
    </w:p>
    <w:tbl>
      <w:tblPr>
        <w:tblW w:w="0" w:type="auto"/>
        <w:tblLayout w:type="fixed"/>
        <w:tblCellMar>
          <w:left w:w="62" w:type="dxa"/>
          <w:right w:w="62" w:type="dxa"/>
        </w:tblCellMar>
        <w:tblLook w:val="0000"/>
      </w:tblPr>
      <w:tblGrid>
        <w:gridCol w:w="1890"/>
        <w:gridCol w:w="6570"/>
      </w:tblGrid>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9.4)</w:t>
            </w:r>
          </w:p>
        </w:tc>
      </w:tr>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This unit shall be assessed by methods given in Volume 1, Part 3 ‘Assessment Guidelines’.</w:t>
            </w:r>
          </w:p>
          <w:p w:rsidR="00000000" w:rsidRPr="008F4B4A" w:rsidP="008F4B4A">
            <w:pPr>
              <w:pStyle w:val="BodyText"/>
            </w:pPr>
            <w:r w:rsidRPr="008F4B4A">
              <w:t xml:space="preserve">Note: </w:t>
            </w:r>
          </w:p>
          <w:p w:rsidR="00000000" w:rsidRPr="008F4B4A" w:rsidP="008F4B4A">
            <w:pPr>
              <w:pStyle w:val="BodyText"/>
            </w:pPr>
            <w:r w:rsidRPr="008F4B4A">
              <w:t>Competent performance with inherent safe working practices is expected in the Industry to which this unit applies. This requires assessment in a structured environment which is intended primarily for learning/assessment and incorporates all necessary equip</w:t>
            </w:r>
            <w:r w:rsidRPr="008F4B4A">
              <w:t>ment and facilities for learners to develop and demonstrate the essential knowledge and skills described in this unit.</w:t>
            </w:r>
          </w:p>
        </w:tc>
      </w:tr>
    </w:tbl>
    <w:p w:rsidR="00000000" w:rsidRPr="008F4B4A" w:rsidP="008F4B4A">
      <w:pPr>
        <w:pStyle w:val="BodyText"/>
      </w:pPr>
    </w:p>
    <w:tbl>
      <w:tblPr>
        <w:tblW w:w="0" w:type="auto"/>
        <w:tblLayout w:type="fixed"/>
        <w:tblCellMar>
          <w:left w:w="62" w:type="dxa"/>
          <w:right w:w="62" w:type="dxa"/>
        </w:tblCellMar>
        <w:tblLook w:val="0000"/>
      </w:tblPr>
      <w:tblGrid>
        <w:gridCol w:w="1890"/>
        <w:gridCol w:w="6570"/>
      </w:tblGrid>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9.5)</w:t>
            </w:r>
          </w:p>
        </w:tc>
      </w:tr>
      <w:tr w:rsidTr="00EF61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t>There are no concurrent assessment recommendations for this unit.</w:t>
            </w:r>
          </w:p>
        </w:tc>
      </w:tr>
      <w:tr w:rsidTr="00EF61DF">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The critical aspects of occupational health and safety covered in unit UEENEEE101A and other discipline specific occupational health and safety units shall be incorporated in relation to this unit.</w:t>
            </w:r>
          </w:p>
        </w:tc>
      </w:tr>
    </w:tbl>
    <w:p w:rsidR="00000000" w:rsidRPr="008F4B4A" w:rsidP="008F4B4A">
      <w:pPr>
        <w:pStyle w:val="BodyText"/>
      </w:pPr>
    </w:p>
    <w:p w:rsidR="00000000" w:rsidRPr="008F4B4A" w:rsidP="008F4B4A">
      <w:pPr>
        <w:pStyle w:val="AllowPageBreak"/>
      </w:pPr>
    </w:p>
    <w:p w:rsidR="00000000" w:rsidRPr="008F4B4A" w:rsidP="008F4B4A">
      <w:pPr>
        <w:pStyle w:val="Heading1"/>
      </w:pPr>
      <w:bookmarkStart w:id="11" w:name="O_589249"/>
      <w:bookmarkEnd w:id="11"/>
      <w:r w:rsidRPr="008F4B4A">
        <w:t>Range Statement</w:t>
      </w:r>
    </w:p>
    <w:tbl>
      <w:tblPr>
        <w:tblW w:w="0" w:type="auto"/>
        <w:tblLayout w:type="fixed"/>
        <w:tblCellMar>
          <w:left w:w="62" w:type="dxa"/>
          <w:right w:w="62" w:type="dxa"/>
        </w:tblCellMar>
        <w:tblLook w:val="0000"/>
      </w:tblPr>
      <w:tblGrid>
        <w:gridCol w:w="8460"/>
      </w:tblGrid>
      <w:tr w:rsidTr="00EF61D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RANGE STATEMENT</w:t>
            </w:r>
          </w:p>
        </w:tc>
      </w:tr>
      <w:tr w:rsidTr="00EF61D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10)</w:t>
            </w:r>
            <w:r w:rsidRPr="008F4B4A">
              <w:t xml:space="preserve"> Th</w:t>
            </w:r>
            <w:r w:rsidRPr="008F4B4A">
              <w:t>is relates to the unit as a whole providing the range of contexts and conditions to which the performance criteria apply. It allows for different work environments and situations that will affect performance.</w:t>
            </w:r>
          </w:p>
          <w:p w:rsidR="00000000" w:rsidRPr="008F4B4A" w:rsidP="008F4B4A">
            <w:pPr>
              <w:pStyle w:val="BodyText"/>
            </w:pPr>
            <w:r w:rsidRPr="008F4B4A">
              <w:t>This unit must be demonstrated in relation to m</w:t>
            </w:r>
            <w:r w:rsidRPr="008F4B4A">
              <w:t>aintaining and repairing facilities associated with at least two different remote area essential service operations</w:t>
            </w:r>
          </w:p>
          <w:p w:rsidR="00000000" w:rsidRPr="008F4B4A" w:rsidP="008F4B4A">
            <w:pPr>
              <w:pStyle w:val="BodyText"/>
            </w:pPr>
            <w:r w:rsidRPr="008F4B4A">
              <w:t>Generic terms used throughout this Vocational Standard shall be regarded as part of the Range Statement in which competency is demonstrated. The definition of these and other terms that apply are given in Volume 2, Part 2.1.</w:t>
            </w:r>
          </w:p>
        </w:tc>
      </w:tr>
    </w:tbl>
    <w:p w:rsidR="00000000" w:rsidRPr="008F4B4A" w:rsidP="008F4B4A">
      <w:pPr>
        <w:pStyle w:val="BodyText"/>
      </w:pPr>
    </w:p>
    <w:p w:rsidR="00000000" w:rsidRPr="008F4B4A" w:rsidP="008F4B4A">
      <w:pPr>
        <w:pStyle w:val="AllowPageBreak"/>
      </w:pPr>
    </w:p>
    <w:p w:rsidR="00000000" w:rsidRPr="008F4B4A" w:rsidP="008F4B4A">
      <w:pPr>
        <w:pStyle w:val="Heading1"/>
      </w:pPr>
      <w:bookmarkStart w:id="12" w:name="O_589248"/>
      <w:bookmarkEnd w:id="12"/>
      <w:r w:rsidRPr="008F4B4A">
        <w:t>Unit Sector(</w:t>
      </w:r>
      <w:r w:rsidRPr="008F4B4A">
        <w:t>s)</w:t>
      </w:r>
    </w:p>
    <w:p w:rsidR="00000000" w:rsidRPr="008F4B4A" w:rsidP="008F4B4A">
      <w:pPr>
        <w:pStyle w:val="BodyText"/>
      </w:pPr>
      <w:r w:rsidRPr="008F4B4A">
        <w:t>Not applicable.</w:t>
      </w:r>
    </w:p>
    <w:p w:rsidR="00000000" w:rsidRPr="008F4B4A" w:rsidP="008F4B4A">
      <w:pPr>
        <w:pStyle w:val="AllowPageBreak"/>
      </w:pPr>
    </w:p>
    <w:p w:rsidR="00000000" w:rsidRPr="008F4B4A" w:rsidP="008F4B4A">
      <w:pPr>
        <w:pStyle w:val="Heading1"/>
      </w:pPr>
      <w:bookmarkStart w:id="13" w:name="O_589247"/>
      <w:bookmarkEnd w:id="13"/>
      <w:r w:rsidRPr="008F4B4A">
        <w:t>Competency Field</w:t>
      </w:r>
    </w:p>
    <w:tbl>
      <w:tblPr>
        <w:tblW w:w="0" w:type="auto"/>
        <w:tblLayout w:type="fixed"/>
        <w:tblCellMar>
          <w:left w:w="62" w:type="dxa"/>
          <w:right w:w="62" w:type="dxa"/>
        </w:tblCellMar>
        <w:tblLook w:val="0000"/>
      </w:tblPr>
      <w:tblGrid>
        <w:gridCol w:w="2700"/>
        <w:gridCol w:w="5760"/>
      </w:tblGrid>
      <w:tr w:rsidTr="00EF61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F4B4A">
            <w:pPr>
              <w:pStyle w:val="BodyText"/>
              <w:rPr>
                <w:lang w:val="en-NZ"/>
              </w:rPr>
            </w:pPr>
            <w:r w:rsidRPr="008F4B4A">
              <w:rPr>
                <w:rStyle w:val="SpecialBold"/>
              </w:rPr>
              <w:t xml:space="preserve">11) </w:t>
            </w:r>
          </w:p>
        </w:tc>
      </w:tr>
      <w:tr w:rsidTr="00EF61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4B4A" w:rsidP="008F4B4A">
            <w:pPr>
              <w:pStyle w:val="BodyText"/>
            </w:pPr>
            <w:r w:rsidRPr="008F4B4A">
              <w:t>Renewable and Sustainable Energy</w:t>
            </w:r>
          </w:p>
        </w:tc>
      </w:tr>
    </w:tbl>
    <w:p w:rsidR="00000000" w:rsidRPr="008F4B4A" w:rsidP="008F4B4A">
      <w:pPr>
        <w:pStyle w:val="BodyText"/>
      </w:pPr>
    </w:p>
    <w:p w:rsidR="00000000" w:rsidRPr="008F4B4A" w:rsidP="008F4B4A"/>
    <w:sectPr w:rsidSect="008F4B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4A" w:rsidRPr="00EF61DF" w:rsidP="00EF6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DF" w:rsidP="008F4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61DF" w:rsidP="008F4B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F61DF" w:rsidP="008F4B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4A" w:rsidRPr="00EF61DF" w:rsidP="00EF61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DF" w:rsidRPr="002D2AF8" w:rsidP="008F4B4A">
    <w:pPr>
      <w:pStyle w:val="Header"/>
      <w:framePr w:wrap="around"/>
    </w:pPr>
    <w:r>
      <w:fldChar w:fldCharType="begin"/>
    </w:r>
    <w:r>
      <w:instrText xml:space="preserve"> TITLE   \* MERGEFORMAT </w:instrText>
    </w:r>
    <w:r>
      <w:fldChar w:fldCharType="separate"/>
    </w:r>
    <w:r>
      <w:t>UEENEEK117A Maintain and repair facilities associated with remote area essential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F61DF" w:rsidP="008F4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927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44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CE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B4A"/>
    <w:pPr>
      <w:spacing w:before="360" w:after="60"/>
      <w:outlineLvl w:val="0"/>
    </w:pPr>
    <w:rPr>
      <w:sz w:val="32"/>
    </w:rPr>
  </w:style>
  <w:style w:type="paragraph" w:styleId="Heading2">
    <w:name w:val="heading 2"/>
    <w:basedOn w:val="HeadingBase"/>
    <w:next w:val="BodyText"/>
    <w:link w:val="Heading2Char"/>
    <w:qFormat/>
    <w:rsid w:val="008F4B4A"/>
    <w:pPr>
      <w:keepLines/>
      <w:spacing w:before="240" w:after="120"/>
      <w:outlineLvl w:val="1"/>
    </w:pPr>
    <w:rPr>
      <w:sz w:val="28"/>
      <w:szCs w:val="40"/>
    </w:rPr>
  </w:style>
  <w:style w:type="paragraph" w:styleId="Heading3">
    <w:name w:val="heading 3"/>
    <w:basedOn w:val="HeadingBase"/>
    <w:next w:val="BodyText"/>
    <w:link w:val="Heading3Char"/>
    <w:qFormat/>
    <w:rsid w:val="008F4B4A"/>
    <w:pPr>
      <w:spacing w:before="180" w:after="120"/>
      <w:outlineLvl w:val="2"/>
    </w:pPr>
    <w:rPr>
      <w:spacing w:val="-10"/>
      <w:kern w:val="32"/>
    </w:rPr>
  </w:style>
  <w:style w:type="paragraph" w:styleId="Heading4">
    <w:name w:val="heading 4"/>
    <w:basedOn w:val="HeadingBase"/>
    <w:next w:val="BodyText"/>
    <w:link w:val="Heading4Char"/>
    <w:qFormat/>
    <w:rsid w:val="008F4B4A"/>
    <w:pPr>
      <w:spacing w:before="160" w:after="120"/>
      <w:outlineLvl w:val="3"/>
    </w:pPr>
    <w:rPr>
      <w:sz w:val="22"/>
    </w:rPr>
  </w:style>
  <w:style w:type="paragraph" w:styleId="Heading5">
    <w:name w:val="heading 5"/>
    <w:basedOn w:val="HeadingBase"/>
    <w:next w:val="Normal"/>
    <w:link w:val="Heading5Char"/>
    <w:qFormat/>
    <w:rsid w:val="008F4B4A"/>
    <w:pPr>
      <w:spacing w:before="80"/>
      <w:outlineLvl w:val="4"/>
    </w:pPr>
    <w:rPr>
      <w:color w:val="918585"/>
      <w:sz w:val="20"/>
    </w:rPr>
  </w:style>
  <w:style w:type="paragraph" w:styleId="Heading6">
    <w:name w:val="heading 6"/>
    <w:basedOn w:val="HeadingBase"/>
    <w:next w:val="Normal"/>
    <w:link w:val="Heading6Char"/>
    <w:qFormat/>
    <w:rsid w:val="008F4B4A"/>
    <w:pPr>
      <w:spacing w:before="60"/>
      <w:outlineLvl w:val="5"/>
    </w:pPr>
    <w:rPr>
      <w:color w:val="918585"/>
      <w:sz w:val="20"/>
    </w:rPr>
  </w:style>
  <w:style w:type="paragraph" w:styleId="Heading7">
    <w:name w:val="heading 7"/>
    <w:basedOn w:val="Normal"/>
    <w:next w:val="Normal"/>
    <w:link w:val="Heading7Char"/>
    <w:qFormat/>
    <w:rsid w:val="008F4B4A"/>
    <w:pPr>
      <w:ind w:left="720"/>
      <w:outlineLvl w:val="6"/>
    </w:pPr>
    <w:rPr>
      <w:i/>
    </w:rPr>
  </w:style>
  <w:style w:type="paragraph" w:styleId="Heading8">
    <w:name w:val="heading 8"/>
    <w:basedOn w:val="Normal"/>
    <w:next w:val="Normal"/>
    <w:link w:val="Heading8Char"/>
    <w:qFormat/>
    <w:rsid w:val="008F4B4A"/>
    <w:pPr>
      <w:ind w:left="720"/>
      <w:outlineLvl w:val="7"/>
    </w:pPr>
    <w:rPr>
      <w:i/>
    </w:rPr>
  </w:style>
  <w:style w:type="paragraph" w:styleId="Heading9">
    <w:name w:val="heading 9"/>
    <w:basedOn w:val="Normal"/>
    <w:next w:val="Normal"/>
    <w:link w:val="Heading9Char"/>
    <w:qFormat/>
    <w:rsid w:val="008F4B4A"/>
    <w:pPr>
      <w:ind w:left="720"/>
      <w:outlineLvl w:val="8"/>
    </w:pPr>
    <w:rPr>
      <w:i/>
    </w:rPr>
  </w:style>
  <w:style w:type="character" w:default="1" w:styleId="DefaultParagraphFont">
    <w:name w:val="Default Paragraph Font"/>
    <w:uiPriority w:val="1"/>
    <w:unhideWhenUsed/>
    <w:rsid w:val="008F4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B4A"/>
  </w:style>
  <w:style w:type="character" w:customStyle="1" w:styleId="Heading1Char">
    <w:name w:val="Heading 1 Char"/>
    <w:basedOn w:val="DefaultParagraphFont"/>
    <w:link w:val="Heading1"/>
    <w:rsid w:val="008F4B4A"/>
    <w:rPr>
      <w:rFonts w:ascii="Times New Roman" w:eastAsia="Times New Roman" w:hAnsi="Times New Roman" w:cs="Times New Roman"/>
      <w:b/>
      <w:sz w:val="32"/>
      <w:szCs w:val="20"/>
      <w:lang w:eastAsia="en-US"/>
    </w:rPr>
  </w:style>
  <w:style w:type="paragraph" w:styleId="BodyText">
    <w:name w:val="Body Text"/>
    <w:basedOn w:val="Normal"/>
    <w:link w:val="BodyTextChar"/>
    <w:rsid w:val="008F4B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B4A"/>
    <w:rPr>
      <w:rFonts w:ascii="Times New Roman" w:eastAsia="Times New Roman" w:hAnsi="Times New Roman" w:cs="Times New Roman"/>
      <w:sz w:val="24"/>
      <w:lang w:eastAsia="en-US"/>
    </w:rPr>
  </w:style>
  <w:style w:type="paragraph" w:styleId="ListBullet">
    <w:name w:val="List Bullet"/>
    <w:basedOn w:val="List"/>
    <w:rsid w:val="008F4B4A"/>
    <w:pPr>
      <w:numPr>
        <w:numId w:val="13"/>
      </w:numPr>
      <w:tabs>
        <w:tab w:val="clear" w:pos="340"/>
      </w:tabs>
      <w:spacing w:before="40" w:after="40"/>
    </w:pPr>
  </w:style>
  <w:style w:type="character" w:customStyle="1" w:styleId="SpecialBold">
    <w:name w:val="Special Bold"/>
    <w:basedOn w:val="DefaultParagraphFont"/>
    <w:rsid w:val="008F4B4A"/>
    <w:rPr>
      <w:b/>
      <w:spacing w:val="0"/>
    </w:rPr>
  </w:style>
  <w:style w:type="paragraph" w:styleId="ListBullet2">
    <w:name w:val="List Bullet 2"/>
    <w:basedOn w:val="List2"/>
    <w:rsid w:val="008F4B4A"/>
    <w:pPr>
      <w:numPr>
        <w:numId w:val="14"/>
      </w:numPr>
      <w:tabs>
        <w:tab w:val="clear" w:pos="680"/>
      </w:tabs>
    </w:pPr>
  </w:style>
  <w:style w:type="paragraph" w:customStyle="1" w:styleId="SuperHeading">
    <w:name w:val="SuperHeading"/>
    <w:basedOn w:val="Normal"/>
    <w:rsid w:val="008F4B4A"/>
    <w:pPr>
      <w:spacing w:before="240" w:after="120"/>
      <w:outlineLvl w:val="0"/>
    </w:pPr>
    <w:rPr>
      <w:rFonts w:ascii="Times New Roman" w:hAnsi="Times New Roman"/>
      <w:b/>
      <w:sz w:val="32"/>
    </w:rPr>
  </w:style>
  <w:style w:type="paragraph" w:customStyle="1" w:styleId="AllowPageBreak">
    <w:name w:val="AllowPageBreak"/>
    <w:rsid w:val="008F4B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4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B4A"/>
    <w:rPr>
      <w:rFonts w:ascii="Courier New" w:eastAsia="Times New Roman" w:hAnsi="Courier New" w:cs="Times New Roman"/>
      <w:i/>
      <w:szCs w:val="20"/>
      <w:lang w:eastAsia="en-US"/>
    </w:rPr>
  </w:style>
  <w:style w:type="paragraph" w:customStyle="1" w:styleId="HeadingBase">
    <w:name w:val="Heading Base"/>
    <w:rsid w:val="008F4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B4A"/>
    <w:pPr>
      <w:tabs>
        <w:tab w:val="right" w:leader="dot" w:pos="9072"/>
      </w:tabs>
      <w:ind w:left="567"/>
    </w:pPr>
    <w:rPr>
      <w:szCs w:val="22"/>
    </w:rPr>
  </w:style>
  <w:style w:type="paragraph" w:customStyle="1" w:styleId="TOCBase">
    <w:name w:val="TOC Base"/>
    <w:rsid w:val="008F4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B4A"/>
    <w:pPr>
      <w:tabs>
        <w:tab w:val="right" w:leader="dot" w:pos="9072"/>
      </w:tabs>
      <w:spacing w:before="40" w:after="40"/>
      <w:ind w:left="284"/>
    </w:pPr>
    <w:rPr>
      <w:rFonts w:ascii="Times New Roman" w:hAnsi="Times New Roman"/>
    </w:rPr>
  </w:style>
  <w:style w:type="paragraph" w:styleId="TOC1">
    <w:name w:val="toc 1"/>
    <w:basedOn w:val="TOCBase"/>
    <w:next w:val="Normal"/>
    <w:rsid w:val="008F4B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4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B4A"/>
    <w:rPr>
      <w:rFonts w:ascii="Times New Roman" w:eastAsia="Times New Roman" w:hAnsi="Times New Roman" w:cs="Times New Roman"/>
      <w:sz w:val="16"/>
      <w:lang w:eastAsia="en-US"/>
    </w:rPr>
  </w:style>
  <w:style w:type="paragraph" w:styleId="Title">
    <w:name w:val="Title"/>
    <w:basedOn w:val="HeadingBase"/>
    <w:link w:val="TitleChar"/>
    <w:qFormat/>
    <w:rsid w:val="008F4B4A"/>
    <w:pPr>
      <w:spacing w:before="5040"/>
      <w:jc w:val="center"/>
    </w:pPr>
    <w:rPr>
      <w:sz w:val="48"/>
      <w:szCs w:val="72"/>
      <w:lang w:val="en-US"/>
    </w:rPr>
  </w:style>
  <w:style w:type="character" w:customStyle="1" w:styleId="TitleChar">
    <w:name w:val="Title Char"/>
    <w:basedOn w:val="DefaultParagraphFont"/>
    <w:link w:val="Title"/>
    <w:rsid w:val="008F4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B4A"/>
    <w:pPr>
      <w:tabs>
        <w:tab w:val="left" w:pos="3600"/>
        <w:tab w:val="left" w:pos="3958"/>
      </w:tabs>
    </w:pPr>
  </w:style>
  <w:style w:type="paragraph" w:styleId="List">
    <w:name w:val="List"/>
    <w:basedOn w:val="BodyText"/>
    <w:next w:val="BodyText"/>
    <w:rsid w:val="008F4B4A"/>
    <w:pPr>
      <w:tabs>
        <w:tab w:val="left" w:pos="340"/>
      </w:tabs>
      <w:spacing w:before="60" w:after="60"/>
      <w:ind w:left="340" w:hanging="340"/>
    </w:pPr>
  </w:style>
  <w:style w:type="paragraph" w:customStyle="1" w:styleId="Note">
    <w:name w:val="Note"/>
    <w:basedOn w:val="BodyText"/>
    <w:rsid w:val="008F4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B4A"/>
    <w:pPr>
      <w:framePr w:wrap="auto" w:hAnchor="text" w:y="6049"/>
    </w:pPr>
    <w:rPr>
      <w:color w:val="000000"/>
      <w:sz w:val="40"/>
    </w:rPr>
  </w:style>
  <w:style w:type="paragraph" w:customStyle="1" w:styleId="TOCTitle">
    <w:name w:val="TOCTitle"/>
    <w:basedOn w:val="Heading1"/>
    <w:rsid w:val="008F4B4A"/>
    <w:pPr>
      <w:spacing w:after="240"/>
      <w:jc w:val="center"/>
      <w:outlineLvl w:val="9"/>
    </w:pPr>
    <w:rPr>
      <w:caps/>
    </w:rPr>
  </w:style>
  <w:style w:type="paragraph" w:customStyle="1" w:styleId="Version">
    <w:name w:val="Version"/>
    <w:rsid w:val="008F4B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B4A"/>
    <w:pPr>
      <w:keepNext w:val="0"/>
      <w:tabs>
        <w:tab w:val="right" w:pos="4176"/>
      </w:tabs>
      <w:ind w:left="198" w:hanging="198"/>
    </w:pPr>
    <w:rPr>
      <w:rFonts w:ascii="Garamond" w:hAnsi="Garamond"/>
    </w:rPr>
  </w:style>
  <w:style w:type="paragraph" w:styleId="IndexHeading">
    <w:name w:val="index heading"/>
    <w:basedOn w:val="Normal"/>
    <w:next w:val="Index1"/>
    <w:semiHidden/>
    <w:rsid w:val="008F4B4A"/>
    <w:pPr>
      <w:spacing w:before="120" w:after="120"/>
    </w:pPr>
    <w:rPr>
      <w:rFonts w:ascii="Arial" w:hAnsi="Arial"/>
      <w:b/>
      <w:color w:val="918585"/>
      <w:sz w:val="24"/>
    </w:rPr>
  </w:style>
  <w:style w:type="paragraph" w:styleId="Header">
    <w:name w:val="header"/>
    <w:basedOn w:val="Normal"/>
    <w:link w:val="HeaderChar"/>
    <w:rsid w:val="008F4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B4A"/>
    <w:rPr>
      <w:rFonts w:ascii="Times New Roman" w:eastAsia="Times New Roman" w:hAnsi="Times New Roman" w:cs="Times New Roman"/>
      <w:sz w:val="16"/>
      <w:szCs w:val="20"/>
      <w:lang w:val="en-GB" w:eastAsia="en-US"/>
    </w:rPr>
  </w:style>
  <w:style w:type="paragraph" w:customStyle="1" w:styleId="Chapter">
    <w:name w:val="Chapter"/>
    <w:basedOn w:val="Normal"/>
    <w:rsid w:val="008F4B4A"/>
    <w:pPr>
      <w:spacing w:before="240"/>
    </w:pPr>
    <w:rPr>
      <w:rFonts w:ascii="Times New Roman" w:hAnsi="Times New Roman"/>
      <w:smallCaps/>
      <w:spacing w:val="80"/>
      <w:sz w:val="28"/>
    </w:rPr>
  </w:style>
  <w:style w:type="paragraph" w:customStyle="1" w:styleId="InChapter">
    <w:name w:val="InChapter"/>
    <w:basedOn w:val="Heading3"/>
    <w:rsid w:val="008F4B4A"/>
    <w:pPr>
      <w:spacing w:after="240"/>
      <w:outlineLvl w:val="9"/>
    </w:pPr>
    <w:rPr>
      <w:noProof/>
    </w:rPr>
  </w:style>
  <w:style w:type="paragraph" w:styleId="Index2">
    <w:name w:val="index 2"/>
    <w:basedOn w:val="Normal"/>
    <w:next w:val="Normal"/>
    <w:semiHidden/>
    <w:rsid w:val="008F4B4A"/>
    <w:pPr>
      <w:tabs>
        <w:tab w:val="right" w:pos="4176"/>
      </w:tabs>
      <w:ind w:left="568" w:hanging="284"/>
    </w:pPr>
    <w:rPr>
      <w:rFonts w:ascii="Garamond" w:hAnsi="Garamond"/>
    </w:rPr>
  </w:style>
  <w:style w:type="paragraph" w:customStyle="1" w:styleId="Byline">
    <w:name w:val="Byline"/>
    <w:rsid w:val="008F4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B4A"/>
    <w:pPr>
      <w:tabs>
        <w:tab w:val="clear" w:pos="3600"/>
        <w:tab w:val="clear" w:pos="3958"/>
      </w:tabs>
      <w:jc w:val="right"/>
    </w:pPr>
  </w:style>
  <w:style w:type="character" w:styleId="Emphasis">
    <w:name w:val="Emphasis"/>
    <w:basedOn w:val="DefaultParagraphFont"/>
    <w:qFormat/>
    <w:rsid w:val="008F4B4A"/>
    <w:rPr>
      <w:i/>
    </w:rPr>
  </w:style>
  <w:style w:type="paragraph" w:styleId="Caption">
    <w:name w:val="caption"/>
    <w:basedOn w:val="BodyText"/>
    <w:next w:val="Normal"/>
    <w:qFormat/>
    <w:rsid w:val="008F4B4A"/>
    <w:pPr>
      <w:framePr w:w="2268" w:hSpace="181" w:vSpace="181" w:wrap="around" w:vAnchor="text" w:hAnchor="page" w:x="1135" w:y="285" w:anchorLock="1"/>
    </w:pPr>
    <w:rPr>
      <w:i/>
    </w:rPr>
  </w:style>
  <w:style w:type="paragraph" w:customStyle="1" w:styleId="MiniTOCTitle">
    <w:name w:val="MiniTOCTitle"/>
    <w:basedOn w:val="Heading4"/>
    <w:rsid w:val="008F4B4A"/>
    <w:pPr>
      <w:spacing w:before="240"/>
      <w:outlineLvl w:val="9"/>
    </w:pPr>
    <w:rPr>
      <w:noProof/>
      <w:sz w:val="24"/>
    </w:rPr>
  </w:style>
  <w:style w:type="paragraph" w:customStyle="1" w:styleId="MiniTOCItem">
    <w:name w:val="MiniTOCItem"/>
    <w:basedOn w:val="ListBullet"/>
    <w:rsid w:val="008F4B4A"/>
    <w:pPr>
      <w:numPr>
        <w:numId w:val="0"/>
      </w:numPr>
      <w:tabs>
        <w:tab w:val="right" w:leader="dot" w:pos="6521"/>
      </w:tabs>
      <w:spacing w:before="0" w:after="0"/>
    </w:pPr>
  </w:style>
  <w:style w:type="paragraph" w:customStyle="1" w:styleId="TOFTitle">
    <w:name w:val="TOFTitle"/>
    <w:basedOn w:val="TOCTitle"/>
    <w:rsid w:val="008F4B4A"/>
  </w:style>
  <w:style w:type="paragraph" w:styleId="TableofFigures">
    <w:name w:val="table of figures"/>
    <w:basedOn w:val="Normal"/>
    <w:next w:val="Normal"/>
    <w:semiHidden/>
    <w:rsid w:val="008F4B4A"/>
    <w:pPr>
      <w:tabs>
        <w:tab w:val="right" w:leader="dot" w:pos="9072"/>
      </w:tabs>
      <w:ind w:left="970" w:hanging="403"/>
    </w:pPr>
    <w:rPr>
      <w:rFonts w:ascii="Times New Roman" w:hAnsi="Times New Roman"/>
      <w:b/>
    </w:rPr>
  </w:style>
  <w:style w:type="paragraph" w:styleId="ListNumber">
    <w:name w:val="List Number"/>
    <w:basedOn w:val="List"/>
    <w:rsid w:val="008F4B4A"/>
    <w:pPr>
      <w:numPr>
        <w:numId w:val="11"/>
      </w:numPr>
    </w:pPr>
  </w:style>
  <w:style w:type="character" w:customStyle="1" w:styleId="WingdingSymbols">
    <w:name w:val="Wingding Symbols"/>
    <w:rsid w:val="008F4B4A"/>
    <w:rPr>
      <w:rFonts w:ascii="Wingdings" w:hAnsi="Wingdings"/>
    </w:rPr>
  </w:style>
  <w:style w:type="paragraph" w:customStyle="1" w:styleId="TableHeading">
    <w:name w:val="Table Heading"/>
    <w:basedOn w:val="HeadingBase"/>
    <w:rsid w:val="008F4B4A"/>
    <w:pPr>
      <w:keepLines/>
      <w:pBdr>
        <w:bottom w:val="single" w:sz="6" w:space="1" w:color="918585"/>
      </w:pBdr>
      <w:spacing w:before="240"/>
    </w:pPr>
  </w:style>
  <w:style w:type="character" w:customStyle="1" w:styleId="HotSpot">
    <w:name w:val="HotSpot"/>
    <w:rsid w:val="008F4B4A"/>
    <w:rPr>
      <w:color w:val="0033CC"/>
      <w:u w:val="none"/>
    </w:rPr>
  </w:style>
  <w:style w:type="paragraph" w:customStyle="1" w:styleId="BodyTextRight">
    <w:name w:val="Body Text Right"/>
    <w:basedOn w:val="BodyText"/>
    <w:rsid w:val="008F4B4A"/>
    <w:pPr>
      <w:spacing w:before="0" w:after="0"/>
      <w:jc w:val="right"/>
    </w:pPr>
  </w:style>
  <w:style w:type="paragraph" w:styleId="Index3">
    <w:name w:val="index 3"/>
    <w:basedOn w:val="ListNumber2"/>
    <w:next w:val="Normal"/>
    <w:semiHidden/>
    <w:rsid w:val="008F4B4A"/>
    <w:pPr>
      <w:numPr>
        <w:numId w:val="0"/>
      </w:numPr>
      <w:tabs>
        <w:tab w:val="right" w:leader="dot" w:pos="4176"/>
      </w:tabs>
    </w:pPr>
  </w:style>
  <w:style w:type="paragraph" w:styleId="ListNumber2">
    <w:name w:val="List Number 2"/>
    <w:basedOn w:val="List2"/>
    <w:rsid w:val="008F4B4A"/>
    <w:pPr>
      <w:numPr>
        <w:numId w:val="10"/>
      </w:numPr>
      <w:tabs>
        <w:tab w:val="clear" w:pos="1060"/>
      </w:tabs>
    </w:pPr>
  </w:style>
  <w:style w:type="paragraph" w:customStyle="1" w:styleId="MarginNote">
    <w:name w:val="Margin Note"/>
    <w:basedOn w:val="BodyText"/>
    <w:rsid w:val="008F4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B4A"/>
    <w:rPr>
      <w:sz w:val="32"/>
    </w:rPr>
  </w:style>
  <w:style w:type="paragraph" w:customStyle="1" w:styleId="HeadingProcedure">
    <w:name w:val="Heading Procedure"/>
    <w:basedOn w:val="HeadingBase"/>
    <w:next w:val="Normal"/>
    <w:rsid w:val="008F4B4A"/>
    <w:pPr>
      <w:tabs>
        <w:tab w:val="left" w:pos="0"/>
      </w:tabs>
      <w:spacing w:before="120" w:after="60"/>
    </w:pPr>
    <w:rPr>
      <w:i/>
      <w:color w:val="918585"/>
      <w:sz w:val="22"/>
    </w:rPr>
  </w:style>
  <w:style w:type="paragraph" w:customStyle="1" w:styleId="TableBodyText">
    <w:name w:val="Table Body Text"/>
    <w:basedOn w:val="BodyText"/>
    <w:rsid w:val="008F4B4A"/>
    <w:pPr>
      <w:spacing w:before="60" w:after="60"/>
    </w:pPr>
  </w:style>
  <w:style w:type="paragraph" w:styleId="ListContinue">
    <w:name w:val="List Continue"/>
    <w:basedOn w:val="List"/>
    <w:rsid w:val="008F4B4A"/>
    <w:pPr>
      <w:ind w:firstLine="0"/>
    </w:pPr>
  </w:style>
  <w:style w:type="paragraph" w:customStyle="1" w:styleId="ListNote">
    <w:name w:val="List Note"/>
    <w:basedOn w:val="List"/>
    <w:rsid w:val="008F4B4A"/>
    <w:pPr>
      <w:pBdr>
        <w:top w:val="single" w:sz="6" w:space="2" w:color="918585"/>
        <w:bottom w:val="single" w:sz="6" w:space="2" w:color="918585"/>
      </w:pBdr>
      <w:tabs>
        <w:tab w:val="left" w:pos="1021"/>
      </w:tabs>
      <w:ind w:firstLine="0"/>
    </w:pPr>
  </w:style>
  <w:style w:type="paragraph" w:customStyle="1" w:styleId="Warning">
    <w:name w:val="Warning"/>
    <w:basedOn w:val="BodyText"/>
    <w:rsid w:val="008F4B4A"/>
    <w:pPr>
      <w:shd w:val="clear" w:color="auto" w:fill="D9D9D9"/>
      <w:tabs>
        <w:tab w:val="left" w:pos="992"/>
      </w:tabs>
      <w:ind w:left="119" w:right="119"/>
    </w:pPr>
    <w:rPr>
      <w:sz w:val="20"/>
    </w:rPr>
  </w:style>
  <w:style w:type="paragraph" w:customStyle="1" w:styleId="MarginIcons">
    <w:name w:val="Margin Icons"/>
    <w:basedOn w:val="BodyText"/>
    <w:rsid w:val="008F4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B4A"/>
    <w:rPr>
      <w:rFonts w:ascii="Courier New" w:hAnsi="Courier New"/>
    </w:rPr>
  </w:style>
  <w:style w:type="paragraph" w:customStyle="1" w:styleId="NoteBullet">
    <w:name w:val="Note Bullet"/>
    <w:basedOn w:val="Note"/>
    <w:rsid w:val="008F4B4A"/>
    <w:pPr>
      <w:tabs>
        <w:tab w:val="clear" w:pos="680"/>
      </w:tabs>
      <w:spacing w:before="60" w:after="60"/>
    </w:pPr>
  </w:style>
  <w:style w:type="paragraph" w:customStyle="1" w:styleId="SubHeading2">
    <w:name w:val="SubHeading2"/>
    <w:basedOn w:val="HeadingBase"/>
    <w:rsid w:val="008F4B4A"/>
    <w:pPr>
      <w:spacing w:before="240" w:after="60"/>
    </w:pPr>
    <w:rPr>
      <w:sz w:val="20"/>
    </w:rPr>
  </w:style>
  <w:style w:type="paragraph" w:customStyle="1" w:styleId="SubHeading1">
    <w:name w:val="SubHeading1"/>
    <w:basedOn w:val="HeadingBase"/>
    <w:rsid w:val="008F4B4A"/>
    <w:pPr>
      <w:spacing w:before="240" w:after="60"/>
    </w:pPr>
    <w:rPr>
      <w:color w:val="918585"/>
      <w:sz w:val="22"/>
    </w:rPr>
  </w:style>
  <w:style w:type="paragraph" w:customStyle="1" w:styleId="SideHeading">
    <w:name w:val="Side Heading"/>
    <w:basedOn w:val="HeadingBase"/>
    <w:rsid w:val="008F4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B4A"/>
    <w:pPr>
      <w:numPr>
        <w:numId w:val="12"/>
      </w:numPr>
    </w:pPr>
  </w:style>
  <w:style w:type="paragraph" w:styleId="PlainText">
    <w:name w:val="Plain Text"/>
    <w:basedOn w:val="Normal"/>
    <w:link w:val="PlainTextChar"/>
    <w:rsid w:val="008F4B4A"/>
    <w:rPr>
      <w:sz w:val="20"/>
    </w:rPr>
  </w:style>
  <w:style w:type="character" w:customStyle="1" w:styleId="PlainTextChar">
    <w:name w:val="Plain Text Char"/>
    <w:basedOn w:val="DefaultParagraphFont"/>
    <w:link w:val="PlainText"/>
    <w:rsid w:val="008F4B4A"/>
    <w:rPr>
      <w:rFonts w:ascii="Courier New" w:eastAsia="Times New Roman" w:hAnsi="Courier New" w:cs="Times New Roman"/>
      <w:sz w:val="20"/>
      <w:szCs w:val="20"/>
      <w:lang w:eastAsia="en-US"/>
    </w:rPr>
  </w:style>
  <w:style w:type="character" w:customStyle="1" w:styleId="MenuOption">
    <w:name w:val="Menu Option"/>
    <w:basedOn w:val="DefaultParagraphFont"/>
    <w:rsid w:val="008F4B4A"/>
    <w:rPr>
      <w:b/>
      <w:smallCaps/>
    </w:rPr>
  </w:style>
  <w:style w:type="paragraph" w:customStyle="1" w:styleId="TableListNumber">
    <w:name w:val="Table List Number"/>
    <w:basedOn w:val="ListNumber"/>
    <w:rsid w:val="008F4B4A"/>
    <w:pPr>
      <w:numPr>
        <w:numId w:val="0"/>
      </w:numPr>
    </w:pPr>
  </w:style>
  <w:style w:type="paragraph" w:styleId="TOC4">
    <w:name w:val="toc 4"/>
    <w:basedOn w:val="TOCBase"/>
    <w:next w:val="Normal"/>
    <w:semiHidden/>
    <w:rsid w:val="008F4B4A"/>
    <w:pPr>
      <w:tabs>
        <w:tab w:val="right" w:leader="dot" w:pos="9071"/>
      </w:tabs>
      <w:ind w:left="1701"/>
    </w:pPr>
  </w:style>
  <w:style w:type="paragraph" w:customStyle="1" w:styleId="ListAlpha">
    <w:name w:val="List Alpha"/>
    <w:basedOn w:val="List"/>
    <w:rsid w:val="008F4B4A"/>
    <w:pPr>
      <w:numPr>
        <w:numId w:val="9"/>
      </w:numPr>
    </w:pPr>
  </w:style>
  <w:style w:type="paragraph" w:customStyle="1" w:styleId="ListAlpha2">
    <w:name w:val="List Alpha 2"/>
    <w:basedOn w:val="List2"/>
    <w:rsid w:val="008F4B4A"/>
    <w:pPr>
      <w:numPr>
        <w:numId w:val="8"/>
      </w:numPr>
    </w:pPr>
  </w:style>
  <w:style w:type="paragraph" w:styleId="List2">
    <w:name w:val="List 2"/>
    <w:basedOn w:val="BodyText"/>
    <w:rsid w:val="008F4B4A"/>
    <w:pPr>
      <w:tabs>
        <w:tab w:val="left" w:pos="680"/>
      </w:tabs>
      <w:spacing w:before="60" w:after="60"/>
      <w:ind w:left="680" w:hanging="340"/>
    </w:pPr>
  </w:style>
  <w:style w:type="paragraph" w:styleId="List3">
    <w:name w:val="List 3"/>
    <w:basedOn w:val="BodyText"/>
    <w:rsid w:val="008F4B4A"/>
    <w:pPr>
      <w:tabs>
        <w:tab w:val="left" w:pos="1021"/>
      </w:tabs>
      <w:spacing w:before="60" w:after="60"/>
      <w:ind w:left="1020" w:hanging="340"/>
    </w:pPr>
  </w:style>
  <w:style w:type="paragraph" w:styleId="List4">
    <w:name w:val="List 4"/>
    <w:basedOn w:val="BodyText"/>
    <w:rsid w:val="008F4B4A"/>
    <w:pPr>
      <w:tabs>
        <w:tab w:val="left" w:pos="1361"/>
      </w:tabs>
      <w:spacing w:before="60" w:after="60"/>
      <w:ind w:left="1361" w:hanging="340"/>
    </w:pPr>
  </w:style>
  <w:style w:type="paragraph" w:styleId="List5">
    <w:name w:val="List 5"/>
    <w:basedOn w:val="BodyText"/>
    <w:rsid w:val="008F4B4A"/>
    <w:pPr>
      <w:tabs>
        <w:tab w:val="left" w:pos="1701"/>
      </w:tabs>
      <w:spacing w:before="60" w:after="60"/>
      <w:ind w:left="1701" w:hanging="340"/>
    </w:pPr>
  </w:style>
  <w:style w:type="paragraph" w:styleId="ListBullet3">
    <w:name w:val="List Bullet 3"/>
    <w:basedOn w:val="List3"/>
    <w:rsid w:val="008F4B4A"/>
    <w:pPr>
      <w:numPr>
        <w:numId w:val="15"/>
      </w:numPr>
      <w:tabs>
        <w:tab w:val="clear" w:pos="1021"/>
      </w:tabs>
      <w:ind w:left="1037" w:hanging="357"/>
    </w:pPr>
  </w:style>
  <w:style w:type="paragraph" w:styleId="ListBullet4">
    <w:name w:val="List Bullet 4"/>
    <w:basedOn w:val="List4"/>
    <w:rsid w:val="008F4B4A"/>
    <w:pPr>
      <w:numPr>
        <w:numId w:val="3"/>
      </w:numPr>
    </w:pPr>
  </w:style>
  <w:style w:type="paragraph" w:styleId="ListBullet5">
    <w:name w:val="List Bullet 5"/>
    <w:basedOn w:val="List5"/>
    <w:rsid w:val="008F4B4A"/>
    <w:pPr>
      <w:numPr>
        <w:numId w:val="4"/>
      </w:numPr>
    </w:pPr>
  </w:style>
  <w:style w:type="paragraph" w:styleId="ListContinue2">
    <w:name w:val="List Continue 2"/>
    <w:basedOn w:val="List2"/>
    <w:rsid w:val="008F4B4A"/>
    <w:pPr>
      <w:ind w:firstLine="0"/>
    </w:pPr>
  </w:style>
  <w:style w:type="paragraph" w:styleId="ListContinue3">
    <w:name w:val="List Continue 3"/>
    <w:basedOn w:val="List3"/>
    <w:rsid w:val="008F4B4A"/>
    <w:pPr>
      <w:ind w:left="1021" w:firstLine="0"/>
    </w:pPr>
  </w:style>
  <w:style w:type="paragraph" w:styleId="ListContinue4">
    <w:name w:val="List Continue 4"/>
    <w:basedOn w:val="List4"/>
    <w:rsid w:val="008F4B4A"/>
    <w:pPr>
      <w:ind w:firstLine="0"/>
    </w:pPr>
  </w:style>
  <w:style w:type="paragraph" w:styleId="ListContinue5">
    <w:name w:val="List Continue 5"/>
    <w:basedOn w:val="List5"/>
    <w:rsid w:val="008F4B4A"/>
    <w:pPr>
      <w:ind w:firstLine="0"/>
    </w:pPr>
  </w:style>
  <w:style w:type="paragraph" w:styleId="ListNumber3">
    <w:name w:val="List Number 3"/>
    <w:basedOn w:val="List3"/>
    <w:rsid w:val="008F4B4A"/>
    <w:pPr>
      <w:numPr>
        <w:numId w:val="5"/>
      </w:numPr>
    </w:pPr>
  </w:style>
  <w:style w:type="paragraph" w:styleId="ListNumber4">
    <w:name w:val="List Number 4"/>
    <w:basedOn w:val="List4"/>
    <w:rsid w:val="008F4B4A"/>
    <w:pPr>
      <w:numPr>
        <w:numId w:val="6"/>
      </w:numPr>
    </w:pPr>
  </w:style>
  <w:style w:type="paragraph" w:styleId="ListNumber5">
    <w:name w:val="List Number 5"/>
    <w:basedOn w:val="List5"/>
    <w:rsid w:val="008F4B4A"/>
    <w:pPr>
      <w:numPr>
        <w:numId w:val="7"/>
      </w:numPr>
    </w:pPr>
  </w:style>
  <w:style w:type="paragraph" w:styleId="BlockText">
    <w:name w:val="Block Text"/>
    <w:basedOn w:val="Normal"/>
    <w:rsid w:val="008F4B4A"/>
    <w:pPr>
      <w:spacing w:after="120"/>
      <w:ind w:left="1440" w:right="1440"/>
    </w:pPr>
  </w:style>
  <w:style w:type="character" w:customStyle="1" w:styleId="Subscript">
    <w:name w:val="Subscript"/>
    <w:basedOn w:val="DefaultParagraphFont"/>
    <w:rsid w:val="008F4B4A"/>
    <w:rPr>
      <w:sz w:val="16"/>
      <w:vertAlign w:val="subscript"/>
    </w:rPr>
  </w:style>
  <w:style w:type="character" w:customStyle="1" w:styleId="Superscript">
    <w:name w:val="Superscript"/>
    <w:basedOn w:val="DefaultParagraphFont"/>
    <w:rsid w:val="008F4B4A"/>
    <w:rPr>
      <w:sz w:val="16"/>
      <w:vertAlign w:val="superscript"/>
    </w:rPr>
  </w:style>
  <w:style w:type="character" w:customStyle="1" w:styleId="Symbols">
    <w:name w:val="Symbols"/>
    <w:basedOn w:val="DefaultParagraphFont"/>
    <w:rsid w:val="008F4B4A"/>
    <w:rPr>
      <w:rFonts w:ascii="Symbol" w:hAnsi="Symbol"/>
    </w:rPr>
  </w:style>
  <w:style w:type="character" w:customStyle="1" w:styleId="MenuOptions">
    <w:name w:val="Menu Options"/>
    <w:basedOn w:val="DefaultParagraphFont"/>
    <w:rsid w:val="008F4B4A"/>
    <w:rPr>
      <w:rFonts w:ascii="Arial Narrow" w:hAnsi="Arial Narrow"/>
      <w:smallCaps/>
    </w:rPr>
  </w:style>
  <w:style w:type="character" w:customStyle="1" w:styleId="Buttons">
    <w:name w:val="Buttons"/>
    <w:basedOn w:val="DefaultParagraphFont"/>
    <w:rsid w:val="008F4B4A"/>
    <w:rPr>
      <w:b/>
    </w:rPr>
  </w:style>
  <w:style w:type="character" w:customStyle="1" w:styleId="Underlined">
    <w:name w:val="Underlined"/>
    <w:basedOn w:val="DefaultParagraphFont"/>
    <w:rsid w:val="008F4B4A"/>
    <w:rPr>
      <w:u w:val="single"/>
    </w:rPr>
  </w:style>
  <w:style w:type="paragraph" w:customStyle="1" w:styleId="TableBodyTextRight">
    <w:name w:val="Table Body Text Right"/>
    <w:basedOn w:val="TableBodyText"/>
    <w:rsid w:val="008F4B4A"/>
    <w:pPr>
      <w:widowControl w:val="0"/>
      <w:autoSpaceDE w:val="0"/>
      <w:autoSpaceDN w:val="0"/>
      <w:adjustRightInd w:val="0"/>
      <w:jc w:val="right"/>
    </w:pPr>
    <w:rPr>
      <w:rFonts w:cs="Arial"/>
      <w:szCs w:val="18"/>
    </w:rPr>
  </w:style>
  <w:style w:type="paragraph" w:customStyle="1" w:styleId="CopyrightText">
    <w:name w:val="Copyright Text"/>
    <w:basedOn w:val="BodyText"/>
    <w:rsid w:val="008F4B4A"/>
    <w:rPr>
      <w:sz w:val="18"/>
    </w:rPr>
  </w:style>
  <w:style w:type="paragraph" w:customStyle="1" w:styleId="BodySmallRight">
    <w:name w:val="Body Small Right"/>
    <w:basedOn w:val="BodyTextRight"/>
    <w:rsid w:val="008F4B4A"/>
    <w:rPr>
      <w:sz w:val="18"/>
      <w:szCs w:val="18"/>
    </w:rPr>
  </w:style>
  <w:style w:type="paragraph" w:customStyle="1" w:styleId="MarginEdition">
    <w:name w:val="Margin Edition"/>
    <w:basedOn w:val="MarginNote"/>
    <w:rsid w:val="008F4B4A"/>
    <w:pPr>
      <w:spacing w:before="0" w:after="0"/>
    </w:pPr>
    <w:rPr>
      <w:rFonts w:ascii="Times New Roman" w:hAnsi="Times New Roman"/>
      <w:color w:val="999999"/>
    </w:rPr>
  </w:style>
  <w:style w:type="paragraph" w:customStyle="1" w:styleId="Spacer">
    <w:name w:val="Spacer"/>
    <w:basedOn w:val="Normal"/>
    <w:rsid w:val="008F4B4A"/>
    <w:rPr>
      <w:sz w:val="2"/>
      <w:szCs w:val="2"/>
    </w:rPr>
  </w:style>
  <w:style w:type="character" w:customStyle="1" w:styleId="Small">
    <w:name w:val="Small"/>
    <w:basedOn w:val="DefaultParagraphFont"/>
    <w:rsid w:val="008F4B4A"/>
    <w:rPr>
      <w:sz w:val="16"/>
    </w:rPr>
  </w:style>
  <w:style w:type="paragraph" w:customStyle="1" w:styleId="WideTable">
    <w:name w:val="Wide Table"/>
    <w:basedOn w:val="Normal"/>
    <w:rsid w:val="008F4B4A"/>
    <w:pPr>
      <w:ind w:left="-1418"/>
    </w:pPr>
    <w:rPr>
      <w:sz w:val="2"/>
      <w:szCs w:val="2"/>
    </w:rPr>
  </w:style>
  <w:style w:type="character" w:styleId="PageNumber">
    <w:name w:val="page number"/>
    <w:basedOn w:val="DefaultParagraphFont"/>
    <w:rsid w:val="008F4B4A"/>
  </w:style>
  <w:style w:type="paragraph" w:styleId="Quote">
    <w:name w:val="Quote"/>
    <w:basedOn w:val="Heading1"/>
    <w:link w:val="QuoteChar"/>
    <w:qFormat/>
    <w:rsid w:val="008F4B4A"/>
    <w:rPr>
      <w:b w:val="0"/>
      <w:sz w:val="72"/>
      <w:szCs w:val="72"/>
      <w:lang w:val="en-NZ"/>
    </w:rPr>
  </w:style>
  <w:style w:type="character" w:customStyle="1" w:styleId="QuoteChar">
    <w:name w:val="Quote Char"/>
    <w:basedOn w:val="DefaultParagraphFont"/>
    <w:link w:val="Quote"/>
    <w:rsid w:val="008F4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B4A"/>
    <w:pPr>
      <w:pageBreakBefore/>
    </w:pPr>
  </w:style>
  <w:style w:type="paragraph" w:customStyle="1" w:styleId="Border">
    <w:name w:val="Border"/>
    <w:basedOn w:val="Normal"/>
    <w:qFormat/>
    <w:rsid w:val="008F4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B4A"/>
    <w:rPr>
      <w:b/>
      <w:bCs/>
      <w:i/>
      <w:iCs/>
      <w:color w:val="auto"/>
    </w:rPr>
  </w:style>
  <w:style w:type="paragraph" w:styleId="IntenseQuote">
    <w:name w:val="Intense Quote"/>
    <w:basedOn w:val="Normal"/>
    <w:next w:val="Normal"/>
    <w:link w:val="IntenseQuoteChar"/>
    <w:uiPriority w:val="30"/>
    <w:qFormat/>
    <w:rsid w:val="008F4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B4A"/>
    <w:rPr>
      <w:smallCaps/>
      <w:color w:val="auto"/>
      <w:u w:val="single"/>
    </w:rPr>
  </w:style>
  <w:style w:type="character" w:styleId="IntenseReference">
    <w:name w:val="Intense Reference"/>
    <w:basedOn w:val="DefaultParagraphFont"/>
    <w:uiPriority w:val="32"/>
    <w:qFormat/>
    <w:rsid w:val="008F4B4A"/>
    <w:rPr>
      <w:b/>
      <w:bCs/>
      <w:smallCaps/>
      <w:color w:val="auto"/>
      <w:spacing w:val="5"/>
      <w:u w:val="single"/>
    </w:rPr>
  </w:style>
  <w:style w:type="paragraph" w:customStyle="1" w:styleId="2ColumnHeading">
    <w:name w:val="2Column Heading"/>
    <w:basedOn w:val="BodyText"/>
    <w:qFormat/>
    <w:rsid w:val="008F4B4A"/>
    <w:pPr>
      <w:spacing w:after="60"/>
      <w:ind w:left="-2268"/>
    </w:pPr>
    <w:rPr>
      <w:b/>
    </w:rPr>
  </w:style>
  <w:style w:type="paragraph" w:customStyle="1" w:styleId="Heading1TOC">
    <w:name w:val="Heading1 TOC"/>
    <w:basedOn w:val="Normal"/>
    <w:qFormat/>
    <w:rsid w:val="008F4B4A"/>
    <w:pPr>
      <w:spacing w:before="240" w:after="120"/>
    </w:pPr>
    <w:rPr>
      <w:rFonts w:ascii="Times New Roman" w:hAnsi="Times New Roman"/>
      <w:b/>
      <w:sz w:val="32"/>
    </w:rPr>
  </w:style>
  <w:style w:type="paragraph" w:customStyle="1" w:styleId="Heading2TOC">
    <w:name w:val="Heading2 TOC"/>
    <w:basedOn w:val="Normal"/>
    <w:qFormat/>
    <w:rsid w:val="008F4B4A"/>
    <w:pPr>
      <w:spacing w:before="240" w:after="60"/>
    </w:pPr>
    <w:rPr>
      <w:rFonts w:ascii="Times New Roman" w:hAnsi="Times New Roman"/>
      <w:b/>
      <w:sz w:val="28"/>
    </w:rPr>
  </w:style>
  <w:style w:type="character" w:customStyle="1" w:styleId="Underline">
    <w:name w:val="Underline"/>
    <w:basedOn w:val="DefaultParagraphFont"/>
    <w:qFormat/>
    <w:rsid w:val="008F4B4A"/>
    <w:rPr>
      <w:u w:val="single"/>
    </w:rPr>
  </w:style>
  <w:style w:type="character" w:customStyle="1" w:styleId="BoldandItalics">
    <w:name w:val="Bold and Italics"/>
    <w:qFormat/>
    <w:rsid w:val="008F4B4A"/>
    <w:rPr>
      <w:b/>
      <w:i/>
      <w:u w:val="none"/>
    </w:rPr>
  </w:style>
  <w:style w:type="paragraph" w:styleId="BalloonText">
    <w:name w:val="Balloon Text"/>
    <w:basedOn w:val="Normal"/>
    <w:link w:val="BalloonTextChar"/>
    <w:rsid w:val="008F4B4A"/>
    <w:rPr>
      <w:rFonts w:ascii="Tahoma" w:hAnsi="Tahoma" w:cs="Tahoma"/>
      <w:sz w:val="16"/>
      <w:szCs w:val="16"/>
    </w:rPr>
  </w:style>
  <w:style w:type="character" w:customStyle="1" w:styleId="BalloonTextChar">
    <w:name w:val="Balloon Text Char"/>
    <w:basedOn w:val="DefaultParagraphFont"/>
    <w:link w:val="BalloonText"/>
    <w:rsid w:val="008F4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B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B4A"/>
    <w:rPr>
      <w:b/>
      <w:color w:val="660033"/>
      <w:spacing w:val="0"/>
    </w:rPr>
  </w:style>
  <w:style w:type="paragraph" w:customStyle="1" w:styleId="Nameditemlist">
    <w:name w:val="Named item list"/>
    <w:basedOn w:val="BodyText"/>
    <w:qFormat/>
    <w:rsid w:val="008F4B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2163</Words>
  <Characters>13119</Characters>
  <Application>Microsoft Office Word</Application>
  <DocSecurity>0</DocSecurity>
  <Lines>547</Lines>
  <Paragraphs>243</Paragraphs>
  <ScaleCrop>false</ScaleCrop>
  <Company>Author-it Software Corporation Ltd.</Company>
  <LinksUpToDate>false</LinksUpToDate>
  <CharactersWithSpaces>15182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UEENEEK117A Maintain and repair facilities associated with remote area essential service operations</dc:title>
  <dc:subject>Approved</dc:subject>
  <dc:creator>E-OZ Training Standards</dc:creator>
  <cp:keywords>Release: 2</cp:keywords>
  <dc:description>Review Date: 12 April 2008</dc:description>
  <cp:lastModifiedBy>HSD_TPCMSd.prod</cp:lastModifiedBy>
  <cp:revision>3</cp:revision>
  <dcterms:created xsi:type="dcterms:W3CDTF">2013-08-14T07:22:00Z</dcterms:created>
  <dcterms:modified xsi:type="dcterms:W3CDTF">2013-08-14T07:22:00Z</dcterms:modified>
</cp:coreProperties>
</file>