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0EE" w:rsidP="003920EE">
      <w:pPr>
        <w:pStyle w:val="Title"/>
      </w:pPr>
      <w:r>
        <w:fldChar w:fldCharType="begin"/>
      </w:r>
      <w:r>
        <w:instrText xml:space="preserve"> TITLE   \* MERGEFORMAT </w:instrText>
      </w:r>
      <w:r>
        <w:fldChar w:fldCharType="separate"/>
      </w:r>
      <w:r>
        <w:t>UEENEEK116A Maintain and repair remote area power generation facilities</w:t>
      </w:r>
      <w:r>
        <w:fldChar w:fldCharType="end"/>
      </w:r>
    </w:p>
    <w:p w:rsidR="003920EE" w:rsidP="003920EE">
      <w:pPr>
        <w:pStyle w:val="Version"/>
        <w:sectPr w:rsidSect="00E852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85258" w:rsidP="00E85258">
      <w:pPr>
        <w:pStyle w:val="SuperHeading"/>
      </w:pPr>
      <w:r w:rsidRPr="00E85258">
        <w:t>UEENEEK116A Maintain and repair remote area power generation facilities</w:t>
      </w:r>
    </w:p>
    <w:p w:rsidR="00000000" w:rsidRPr="00E85258" w:rsidP="00E85258">
      <w:pPr>
        <w:pStyle w:val="Heading1"/>
      </w:pPr>
      <w:bookmarkStart w:id="1" w:name="O_589245"/>
      <w:bookmarkEnd w:id="1"/>
      <w:r w:rsidRPr="00E85258">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3920E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258">
            <w:pPr>
              <w:pStyle w:val="BodyText"/>
              <w:rPr>
                <w:lang w:val="en-NZ"/>
              </w:rPr>
            </w:pPr>
            <w:r w:rsidRPr="00E85258">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258">
            <w:pPr>
              <w:pStyle w:val="BodyText"/>
              <w:rPr>
                <w:lang w:val="en-NZ"/>
              </w:rPr>
            </w:pPr>
            <w:r w:rsidRPr="00E85258">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258">
            <w:pPr>
              <w:pStyle w:val="BodyText"/>
              <w:rPr>
                <w:lang w:val="en-NZ"/>
              </w:rPr>
            </w:pPr>
            <w:r w:rsidRPr="00E85258">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258">
            <w:pPr>
              <w:pStyle w:val="BodyText"/>
              <w:rPr>
                <w:lang w:val="en-NZ"/>
              </w:rPr>
            </w:pPr>
            <w:r w:rsidRPr="00E85258">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258">
            <w:pPr>
              <w:pStyle w:val="BodyText"/>
              <w:rPr>
                <w:lang w:val="en-NZ"/>
              </w:rPr>
            </w:pPr>
            <w:r w:rsidRPr="00E85258">
              <w:t>Points</w:t>
            </w:r>
          </w:p>
        </w:tc>
      </w:tr>
      <w:tr w:rsidTr="003920EE">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258">
            <w:pPr>
              <w:pStyle w:val="BodyText"/>
              <w:rPr>
                <w:lang w:val="en-NZ"/>
              </w:rPr>
            </w:pPr>
            <w:r w:rsidRPr="00E85258">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258">
            <w:pPr>
              <w:pStyle w:val="BodyText"/>
              <w:rPr>
                <w:lang w:val="en-NZ"/>
              </w:rPr>
            </w:pPr>
            <w:r w:rsidRPr="00E85258">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258">
            <w:pPr>
              <w:pStyle w:val="BodyText"/>
              <w:rPr>
                <w:lang w:val="en-NZ"/>
              </w:rPr>
            </w:pPr>
            <w:r w:rsidRPr="00E85258">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258" w:rsidP="00E85258">
            <w:pPr>
              <w:pStyle w:val="BodyText"/>
            </w:pPr>
          </w:p>
        </w:tc>
      </w:tr>
    </w:tbl>
    <w:p w:rsidR="00000000" w:rsidRPr="00E85258" w:rsidP="00E85258">
      <w:pPr>
        <w:pStyle w:val="BodyText"/>
      </w:pPr>
    </w:p>
    <w:p w:rsidR="00000000" w:rsidRPr="00E85258" w:rsidP="00E85258">
      <w:pPr>
        <w:pStyle w:val="AllowPageBreak"/>
      </w:pPr>
    </w:p>
    <w:p w:rsidR="00000000" w:rsidRPr="00E85258" w:rsidP="00E85258">
      <w:pPr>
        <w:pStyle w:val="Heading1"/>
      </w:pPr>
      <w:bookmarkStart w:id="2" w:name="O_589244"/>
      <w:bookmarkEnd w:id="2"/>
      <w:r w:rsidRPr="00E85258">
        <w:t>Unit Descriptor</w:t>
      </w:r>
    </w:p>
    <w:tbl>
      <w:tblPr>
        <w:tblW w:w="0" w:type="auto"/>
        <w:tblLayout w:type="fixed"/>
        <w:tblCellMar>
          <w:left w:w="62" w:type="dxa"/>
          <w:right w:w="62" w:type="dxa"/>
        </w:tblCellMar>
        <w:tblLook w:val="0000"/>
      </w:tblPr>
      <w:tblGrid>
        <w:gridCol w:w="2700"/>
        <w:gridCol w:w="5760"/>
      </w:tblGrid>
      <w:tr w:rsidTr="003920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rPr>
                <w:rStyle w:val="SpecialBold"/>
              </w:rPr>
              <w:t>1)</w:t>
            </w:r>
            <w:r w:rsidRPr="00E85258">
              <w:t xml:space="preserve"> </w:t>
            </w:r>
            <w:r w:rsidRPr="00E85258">
              <w:rPr>
                <w:rStyle w:val="SpecialBold"/>
              </w:rPr>
              <w:t>Scope:</w:t>
            </w:r>
          </w:p>
        </w:tc>
      </w:tr>
      <w:tr w:rsidTr="003920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8525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rPr>
                <w:rStyle w:val="SpecialBold"/>
              </w:rPr>
              <w:t>1.1) Descriptor</w:t>
            </w:r>
          </w:p>
        </w:tc>
      </w:tr>
      <w:tr w:rsidTr="003920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t>This unit covers basic maintenance of power generation facilities in remote areas It encompasses working safely, following maintenance schedules to inspect, repair, replace and adjustment equipment, maintaining a clean and effici</w:t>
            </w:r>
            <w:r w:rsidRPr="00E85258">
              <w:t>ent generation facility and completing the necessary reporting.</w:t>
            </w:r>
          </w:p>
        </w:tc>
      </w:tr>
    </w:tbl>
    <w:p w:rsidR="00000000" w:rsidRPr="00E85258" w:rsidP="00E85258">
      <w:pPr>
        <w:pStyle w:val="BodyText"/>
      </w:pPr>
    </w:p>
    <w:p w:rsidR="00000000" w:rsidRPr="00E85258" w:rsidP="00E85258">
      <w:pPr>
        <w:pStyle w:val="AllowPageBreak"/>
      </w:pPr>
    </w:p>
    <w:p w:rsidR="00000000" w:rsidRPr="00E85258" w:rsidP="00E85258">
      <w:pPr>
        <w:pStyle w:val="Heading1"/>
      </w:pPr>
      <w:bookmarkStart w:id="3" w:name="O_589243"/>
      <w:bookmarkEnd w:id="3"/>
      <w:r w:rsidRPr="00E85258">
        <w:t>Application of the Unit</w:t>
      </w:r>
    </w:p>
    <w:tbl>
      <w:tblPr>
        <w:tblW w:w="0" w:type="auto"/>
        <w:tblLayout w:type="fixed"/>
        <w:tblCellMar>
          <w:left w:w="62" w:type="dxa"/>
          <w:right w:w="62" w:type="dxa"/>
        </w:tblCellMar>
        <w:tblLook w:val="0000"/>
      </w:tblPr>
      <w:tblGrid>
        <w:gridCol w:w="2672"/>
        <w:gridCol w:w="5699"/>
      </w:tblGrid>
      <w:tr w:rsidTr="003920E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rPr>
                <w:rStyle w:val="SpecialBold"/>
              </w:rPr>
              <w:t>2)</w:t>
            </w:r>
          </w:p>
        </w:tc>
      </w:tr>
      <w:tr w:rsidTr="003920E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t>This unit is intended primarily for indigenous persons seeking qualifications in remote area utilities facilities servicing. The unit may also be applied to work entry qualifications in renewable energy service work in general and be used in school-based v</w:t>
            </w:r>
            <w:r w:rsidRPr="00E85258">
              <w:t>ocational programs.</w:t>
            </w:r>
          </w:p>
        </w:tc>
      </w:tr>
    </w:tbl>
    <w:p w:rsidR="00000000" w:rsidRPr="00E85258" w:rsidP="00E85258">
      <w:pPr>
        <w:pStyle w:val="BodyText"/>
      </w:pPr>
    </w:p>
    <w:p w:rsidR="00000000" w:rsidRPr="00E85258" w:rsidP="00E85258">
      <w:pPr>
        <w:pStyle w:val="AllowPageBreak"/>
      </w:pPr>
    </w:p>
    <w:p w:rsidR="00000000" w:rsidRPr="00E85258" w:rsidP="00E85258">
      <w:pPr>
        <w:pStyle w:val="Heading1"/>
      </w:pPr>
      <w:bookmarkStart w:id="4" w:name="O_589242"/>
      <w:bookmarkEnd w:id="4"/>
      <w:r w:rsidRPr="00E85258">
        <w:t>Licensing/Regulatory Information</w:t>
      </w:r>
    </w:p>
    <w:tbl>
      <w:tblPr>
        <w:tblW w:w="0" w:type="auto"/>
        <w:tblLayout w:type="fixed"/>
        <w:tblCellMar>
          <w:left w:w="62" w:type="dxa"/>
          <w:right w:w="62" w:type="dxa"/>
        </w:tblCellMar>
        <w:tblLook w:val="0000"/>
      </w:tblPr>
      <w:tblGrid>
        <w:gridCol w:w="2700"/>
        <w:gridCol w:w="5760"/>
      </w:tblGrid>
      <w:tr w:rsidTr="003920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rPr>
                <w:rStyle w:val="SpecialBold"/>
              </w:rPr>
              <w:t xml:space="preserve">3) </w:t>
            </w:r>
          </w:p>
        </w:tc>
      </w:tr>
      <w:tr w:rsidTr="003920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t xml:space="preserve">The skills and knowledge described in this unit do not require a license to practice in the workplace. However, </w:t>
            </w:r>
            <w:r w:rsidRPr="00E85258">
              <w:t>practice in this unit is subject to regulation</w:t>
            </w:r>
            <w:r w:rsidRPr="00E85258">
              <w:t>s directly related to occupational health and safety and contracts of training such as new apprenticeships.</w:t>
            </w:r>
          </w:p>
          <w:p w:rsidR="00000000" w:rsidRPr="00E85258" w:rsidP="00E85258">
            <w:pPr>
              <w:pStyle w:val="BodyText"/>
            </w:pPr>
            <w:r w:rsidRPr="00E85258">
              <w:t xml:space="preserve">Note: </w:t>
            </w:r>
          </w:p>
          <w:p w:rsidR="00000000" w:rsidRPr="00E85258" w:rsidP="00E85258">
            <w:pPr>
              <w:pStyle w:val="BodyText"/>
            </w:pPr>
            <w:r w:rsidRPr="00E85258">
              <w:t xml:space="preserve">1. Compliance with permits may be required in various jurisdictions and typically relates to the operation of plant, machinery and equipment </w:t>
            </w:r>
            <w:r w:rsidRPr="00E85258">
              <w:t>such as elevating work platforms, powder operated fixing tools, power operated tools, vehicles, road signage and traffic control and lifting equipment. Permits may also be required for some work environments such as confined spaces, working aloft, near liv</w:t>
            </w:r>
            <w:r w:rsidRPr="00E85258">
              <w:t>e electrical apparatus and site rehabilitation.</w:t>
            </w:r>
          </w:p>
          <w:p w:rsidR="00000000" w:rsidRPr="00E85258" w:rsidP="00E85258">
            <w:pPr>
              <w:pStyle w:val="BodyText"/>
            </w:pPr>
            <w:r w:rsidRPr="00E85258">
              <w:t xml:space="preserve">2. Compliance may be required in various jurisdictions relating to currency in First Aid, confined space, lifting, risk safety measures etc </w:t>
            </w:r>
          </w:p>
        </w:tc>
      </w:tr>
    </w:tbl>
    <w:p w:rsidR="00000000" w:rsidRPr="00E85258" w:rsidP="00E85258">
      <w:pPr>
        <w:pStyle w:val="BodyText"/>
      </w:pPr>
    </w:p>
    <w:p w:rsidR="00000000" w:rsidRPr="00E85258" w:rsidP="00E85258">
      <w:pPr>
        <w:pStyle w:val="AllowPageBreak"/>
      </w:pPr>
    </w:p>
    <w:p w:rsidR="00000000" w:rsidRPr="00E85258" w:rsidP="00E85258">
      <w:pPr>
        <w:pStyle w:val="Heading1"/>
      </w:pPr>
      <w:bookmarkStart w:id="5" w:name="O_589241"/>
      <w:bookmarkEnd w:id="5"/>
      <w:r w:rsidRPr="00E85258">
        <w:t>Pre-Requisites</w:t>
      </w:r>
    </w:p>
    <w:tbl>
      <w:tblPr>
        <w:tblW w:w="0" w:type="auto"/>
        <w:tblLayout w:type="fixed"/>
        <w:tblCellMar>
          <w:left w:w="62" w:type="dxa"/>
          <w:right w:w="62" w:type="dxa"/>
        </w:tblCellMar>
        <w:tblLook w:val="0000"/>
      </w:tblPr>
      <w:tblGrid>
        <w:gridCol w:w="2700"/>
        <w:gridCol w:w="1440"/>
        <w:gridCol w:w="4320"/>
      </w:tblGrid>
      <w:tr w:rsidTr="003920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rPr>
                <w:rStyle w:val="SpecialBold"/>
              </w:rPr>
              <w:t xml:space="preserve">4) </w:t>
            </w:r>
          </w:p>
        </w:tc>
      </w:tr>
      <w:tr w:rsidTr="003920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rPr>
                <w:rStyle w:val="SpecialBold"/>
              </w:rPr>
              <w:t>4.1)</w:t>
            </w:r>
          </w:p>
        </w:tc>
      </w:tr>
      <w:tr w:rsidTr="003920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t>Granting competency in this unit shall be made only after competency in the following unit(s) has/have been confirmed.</w:t>
            </w:r>
          </w:p>
          <w:p w:rsidR="00000000" w:rsidRPr="00E85258" w:rsidP="00E85258">
            <w:pPr>
              <w:pStyle w:val="BodyText"/>
            </w:pPr>
            <w:r w:rsidRPr="00E85258">
              <w:t xml:space="preserve">Granting competency </w:t>
            </w:r>
            <w:r w:rsidRPr="00E85258">
              <w:t>in this unit shall be made only after competency in the following unit(s) has/have been confirmed.</w:t>
            </w:r>
          </w:p>
          <w:p w:rsidR="00000000" w:rsidRPr="00E85258" w:rsidP="00E85258">
            <w:pPr>
              <w:pStyle w:val="BodyText"/>
            </w:pPr>
            <w:r w:rsidRPr="00E85258">
              <w:t>Where pre-requisite pathways have been identified. All competencies in the Common Unit Group must be have been completed plus all the competencies in one (1)</w:t>
            </w:r>
            <w:r w:rsidRPr="00E85258">
              <w:t xml:space="preserve"> of the identified Pathway Unit Group(s):</w:t>
            </w:r>
          </w:p>
          <w:p w:rsidR="00000000" w:rsidRPr="00E85258" w:rsidP="00E85258">
            <w:pPr>
              <w:pStyle w:val="BodyText"/>
            </w:pPr>
            <w:r w:rsidRPr="00E85258">
              <w:t>Electrotechnology</w:t>
            </w:r>
          </w:p>
          <w:p w:rsidR="00000000" w:rsidP="00E85258">
            <w:pPr>
              <w:pStyle w:val="BodyText"/>
              <w:rPr>
                <w:lang w:val="en-NZ"/>
              </w:rPr>
            </w:pPr>
            <w:r w:rsidRPr="00E85258">
              <w:t>Remote Area</w:t>
            </w:r>
          </w:p>
        </w:tc>
      </w:tr>
      <w:tr w:rsidTr="003920E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Common Unit Group</w:t>
            </w:r>
          </w:p>
        </w:tc>
      </w:tr>
      <w:tr w:rsidTr="003920E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UEENEEE101A</w:t>
            </w:r>
          </w:p>
        </w:tc>
        <w:tc>
          <w:tcPr>
            <w:tcW w:w="432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Apply Occupational Health and Safety regulations, codes and practices in the workplace</w:t>
            </w:r>
          </w:p>
        </w:tc>
      </w:tr>
      <w:tr w:rsidTr="003920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UEENEEE102A</w:t>
            </w:r>
          </w:p>
        </w:tc>
        <w:tc>
          <w:tcPr>
            <w:tcW w:w="432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Fabricate, assemble and dismantle utilities industry components</w:t>
            </w:r>
          </w:p>
        </w:tc>
      </w:tr>
      <w:tr w:rsidTr="003920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UEENEEE107A</w:t>
            </w:r>
          </w:p>
        </w:tc>
        <w:tc>
          <w:tcPr>
            <w:tcW w:w="432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Use drawings, diagrams, schedules, standards, codes and specifications</w:t>
            </w:r>
          </w:p>
        </w:tc>
      </w:tr>
      <w:tr w:rsidTr="003920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UEENEEK101A</w:t>
            </w:r>
          </w:p>
        </w:tc>
        <w:tc>
          <w:tcPr>
            <w:tcW w:w="432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Maintain safety and tidiness of remote area power supply systems</w:t>
            </w:r>
          </w:p>
        </w:tc>
      </w:tr>
      <w:tr w:rsidTr="003920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UEENEEK102A</w:t>
            </w:r>
          </w:p>
        </w:tc>
        <w:tc>
          <w:tcPr>
            <w:tcW w:w="432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Work safely wi</w:t>
            </w:r>
            <w:r w:rsidRPr="00E85258">
              <w:t>th remote area power supply systems</w:t>
            </w:r>
          </w:p>
        </w:tc>
      </w:tr>
      <w:tr w:rsidTr="003920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UEENEEK104A</w:t>
            </w:r>
          </w:p>
        </w:tc>
        <w:tc>
          <w:tcPr>
            <w:tcW w:w="432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Conduct periodic maintenance of remote area power supply generator sets</w:t>
            </w:r>
          </w:p>
        </w:tc>
      </w:tr>
      <w:tr w:rsidTr="003920E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Electrotechnology Pathway Group</w:t>
            </w:r>
          </w:p>
        </w:tc>
      </w:tr>
      <w:tr w:rsidTr="003920E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UEENEEE104A</w:t>
            </w:r>
          </w:p>
        </w:tc>
        <w:tc>
          <w:tcPr>
            <w:tcW w:w="432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Solve problems in d.c. Circuits</w:t>
            </w:r>
          </w:p>
        </w:tc>
      </w:tr>
      <w:tr w:rsidTr="003920E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Remote Area Pathway Group</w:t>
            </w:r>
          </w:p>
        </w:tc>
      </w:tr>
      <w:tr w:rsidTr="003920E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UEENEEE131A</w:t>
            </w:r>
          </w:p>
        </w:tc>
        <w:tc>
          <w:tcPr>
            <w:tcW w:w="432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t>Solve problems in ELV circuits for non electrical workers</w:t>
            </w:r>
          </w:p>
        </w:tc>
      </w:tr>
    </w:tbl>
    <w:p w:rsidR="00000000" w:rsidRPr="00E85258" w:rsidP="00E8525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920E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rPr>
                <w:rStyle w:val="SpecialBold"/>
              </w:rPr>
              <w:t xml:space="preserve">4.2) </w:t>
            </w:r>
          </w:p>
        </w:tc>
      </w:tr>
      <w:tr w:rsidTr="003920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 xml:space="preserve">Participants are best equipped to achieve competency in this unit if they have reading, writing and numeracy skills indicated by the following </w:t>
            </w:r>
            <w:r w:rsidRPr="00E85258">
              <w:t>scales. Description of each scale is given in Volume 2, Part 3 ‘Literacy and Numeracy’</w:t>
            </w:r>
          </w:p>
        </w:tc>
      </w:tr>
      <w:tr w:rsidTr="003920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Reading</w:t>
            </w:r>
          </w:p>
        </w:tc>
        <w:tc>
          <w:tcPr>
            <w:tcW w:w="81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3</w:t>
            </w:r>
          </w:p>
        </w:tc>
        <w:tc>
          <w:tcPr>
            <w:tcW w:w="99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Writing</w:t>
            </w:r>
          </w:p>
        </w:tc>
        <w:tc>
          <w:tcPr>
            <w:tcW w:w="90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3</w:t>
            </w:r>
          </w:p>
        </w:tc>
        <w:tc>
          <w:tcPr>
            <w:tcW w:w="126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Numeracy</w:t>
            </w:r>
          </w:p>
        </w:tc>
        <w:tc>
          <w:tcPr>
            <w:tcW w:w="72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t>3</w:t>
            </w:r>
          </w:p>
        </w:tc>
      </w:tr>
    </w:tbl>
    <w:p w:rsidR="00000000" w:rsidRPr="00E85258" w:rsidP="00E85258">
      <w:pPr>
        <w:pStyle w:val="BodyText"/>
      </w:pPr>
    </w:p>
    <w:p w:rsidR="00000000" w:rsidRPr="00E85258" w:rsidP="00E85258">
      <w:pPr>
        <w:pStyle w:val="AllowPageBreak"/>
      </w:pPr>
    </w:p>
    <w:p w:rsidR="00000000" w:rsidRPr="00E85258" w:rsidP="00E85258">
      <w:pPr>
        <w:pStyle w:val="Heading1"/>
      </w:pPr>
      <w:bookmarkStart w:id="6" w:name="O_589240"/>
      <w:bookmarkEnd w:id="6"/>
      <w:r w:rsidRPr="00E85258">
        <w:t>Employability Skills Information</w:t>
      </w:r>
    </w:p>
    <w:tbl>
      <w:tblPr>
        <w:tblW w:w="0" w:type="auto"/>
        <w:tblLayout w:type="fixed"/>
        <w:tblCellMar>
          <w:left w:w="62" w:type="dxa"/>
          <w:right w:w="62" w:type="dxa"/>
        </w:tblCellMar>
        <w:tblLook w:val="0000"/>
      </w:tblPr>
      <w:tblGrid>
        <w:gridCol w:w="2700"/>
        <w:gridCol w:w="5760"/>
      </w:tblGrid>
      <w:tr w:rsidTr="003920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rPr>
                <w:rStyle w:val="SpecialBold"/>
              </w:rPr>
              <w:t xml:space="preserve">5) </w:t>
            </w:r>
          </w:p>
        </w:tc>
      </w:tr>
      <w:tr w:rsidTr="003920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85258">
              <w:t>requirements.</w:t>
            </w:r>
          </w:p>
        </w:tc>
      </w:tr>
    </w:tbl>
    <w:p w:rsidR="00000000" w:rsidRPr="00E85258" w:rsidP="00E85258">
      <w:pPr>
        <w:pStyle w:val="BodyText"/>
      </w:pPr>
    </w:p>
    <w:p w:rsidR="00000000" w:rsidRPr="00E85258" w:rsidP="00E85258">
      <w:pPr>
        <w:pStyle w:val="AllowPageBreak"/>
      </w:pPr>
    </w:p>
    <w:p w:rsidR="00000000" w:rsidRPr="00E85258" w:rsidP="00E85258">
      <w:pPr>
        <w:pStyle w:val="Heading1"/>
      </w:pPr>
      <w:bookmarkStart w:id="7" w:name="O_589239"/>
      <w:bookmarkEnd w:id="7"/>
      <w:r w:rsidRPr="00E85258">
        <w:t>Elements and Performance Criteria Pre-Content</w:t>
      </w:r>
    </w:p>
    <w:tbl>
      <w:tblPr>
        <w:tblW w:w="0" w:type="auto"/>
        <w:tblLayout w:type="fixed"/>
        <w:tblCellMar>
          <w:left w:w="62" w:type="dxa"/>
          <w:right w:w="62" w:type="dxa"/>
        </w:tblCellMar>
        <w:tblLook w:val="0000"/>
      </w:tblPr>
      <w:tblGrid>
        <w:gridCol w:w="2700"/>
        <w:gridCol w:w="5760"/>
      </w:tblGrid>
      <w:tr w:rsidTr="003920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rPr>
                <w:rStyle w:val="SpecialBold"/>
              </w:rPr>
              <w:t>6)</w:t>
            </w:r>
            <w:r w:rsidRPr="00E8525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t>Performance Criteria describe the required performance needed to demonstrate achievement of the element. Assessment of performance is to be consistent with the Evidence Guide.</w:t>
            </w:r>
          </w:p>
        </w:tc>
      </w:tr>
    </w:tbl>
    <w:p w:rsidR="00000000" w:rsidRPr="00E85258" w:rsidP="00E85258">
      <w:pPr>
        <w:pStyle w:val="BodyText"/>
      </w:pPr>
    </w:p>
    <w:p w:rsidR="00000000" w:rsidRPr="00E85258" w:rsidP="00E85258">
      <w:pPr>
        <w:pStyle w:val="AllowPageBreak"/>
      </w:pPr>
    </w:p>
    <w:p w:rsidR="00000000" w:rsidRPr="00E85258" w:rsidP="00E85258">
      <w:pPr>
        <w:pStyle w:val="Heading1"/>
      </w:pPr>
      <w:bookmarkStart w:id="8" w:name="O_589238"/>
      <w:bookmarkEnd w:id="8"/>
      <w:r w:rsidRPr="00E8525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920E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rPr>
                <w:rStyle w:val="SpecialBold"/>
              </w:rPr>
              <w:t>PERFORMANCE CRITER</w:t>
            </w:r>
            <w:r w:rsidRPr="00E85258">
              <w:rPr>
                <w:rStyle w:val="SpecialBold"/>
              </w:rPr>
              <w:t>IA</w:t>
            </w:r>
          </w:p>
        </w:tc>
      </w:tr>
      <w:tr w:rsidTr="003920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1</w:t>
            </w:r>
          </w:p>
        </w:tc>
        <w:tc>
          <w:tcPr>
            <w:tcW w:w="2296" w:type="dxa"/>
            <w:vMerge w:val="restart"/>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Prepare to maintain and repair remote area power generation facilities</w:t>
            </w:r>
          </w:p>
        </w:tc>
        <w:tc>
          <w:tcPr>
            <w:tcW w:w="90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1.1</w:t>
            </w:r>
          </w:p>
        </w:tc>
        <w:tc>
          <w:tcPr>
            <w:tcW w:w="486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OHS procedures for a remote area power station facility are identified, obtained and understood through established routines and procedures</w:t>
            </w:r>
          </w:p>
        </w:tc>
      </w:tr>
      <w:tr w:rsidTr="003920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1.2</w:t>
            </w:r>
          </w:p>
        </w:tc>
        <w:tc>
          <w:tcPr>
            <w:tcW w:w="486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Established OHS risk control measures and procedures in preparation for the work are followed</w:t>
            </w:r>
          </w:p>
        </w:tc>
      </w:tr>
      <w:tr w:rsidTr="003920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1.3</w:t>
            </w:r>
          </w:p>
        </w:tc>
        <w:tc>
          <w:tcPr>
            <w:tcW w:w="486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Safety hazards which have not previously been identified are reported and advice on risk control measures is sought from the work supervisor</w:t>
            </w:r>
          </w:p>
        </w:tc>
      </w:tr>
      <w:tr w:rsidTr="003920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1.4</w:t>
            </w:r>
          </w:p>
        </w:tc>
        <w:tc>
          <w:tcPr>
            <w:tcW w:w="486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The nature and location of remote area power station facility is  obtained from documentation or from work supervisor to establish the scope of work to be undertaken</w:t>
            </w:r>
          </w:p>
        </w:tc>
      </w:tr>
      <w:tr w:rsidTr="003920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1.5</w:t>
            </w:r>
          </w:p>
        </w:tc>
        <w:tc>
          <w:tcPr>
            <w:tcW w:w="486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Advice is sought from the work supervisor to ensure the work is coordinated effecti</w:t>
            </w:r>
            <w:r w:rsidRPr="00E85258">
              <w:t xml:space="preserve">vely with fellow workers and the local community </w:t>
            </w:r>
          </w:p>
        </w:tc>
      </w:tr>
      <w:tr w:rsidTr="003920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1.6</w:t>
            </w:r>
          </w:p>
        </w:tc>
        <w:tc>
          <w:tcPr>
            <w:tcW w:w="486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Sources of materials that may be required for the work are identified and accessed in accordance with established routines and procedures</w:t>
            </w:r>
          </w:p>
        </w:tc>
      </w:tr>
      <w:tr w:rsidTr="003920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1.7</w:t>
            </w:r>
          </w:p>
        </w:tc>
        <w:tc>
          <w:tcPr>
            <w:tcW w:w="486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Tools, equipment and testing devices needed to carry out the work are obtained and checked for correct operation and safety.</w:t>
            </w:r>
          </w:p>
        </w:tc>
      </w:tr>
      <w:tr w:rsidTr="003920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2</w:t>
            </w:r>
          </w:p>
        </w:tc>
        <w:tc>
          <w:tcPr>
            <w:tcW w:w="2296"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Maintain and repair remote area power generation facilities</w:t>
            </w:r>
          </w:p>
        </w:tc>
        <w:tc>
          <w:tcPr>
            <w:tcW w:w="90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2.1</w:t>
            </w:r>
          </w:p>
        </w:tc>
        <w:tc>
          <w:tcPr>
            <w:tcW w:w="486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Established OHS risk control measures and procedures for carryin</w:t>
            </w:r>
            <w:r w:rsidRPr="00E85258">
              <w:t>g out the work are followed</w:t>
            </w:r>
          </w:p>
        </w:tc>
      </w:tr>
      <w:tr w:rsidTr="003920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2.2</w:t>
            </w:r>
          </w:p>
        </w:tc>
        <w:tc>
          <w:tcPr>
            <w:tcW w:w="486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Circuits/machines/plant are checked as being isolated where necessary in strict accordance OHS requirements and procedures</w:t>
            </w:r>
          </w:p>
        </w:tc>
      </w:tr>
      <w:tr w:rsidTr="003920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2.2</w:t>
            </w:r>
          </w:p>
        </w:tc>
        <w:tc>
          <w:tcPr>
            <w:tcW w:w="486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Inspection, repairs, replacements and/or adjustments are carried out on items listed in the maintenance schedule and in accordance with established procedures.</w:t>
            </w:r>
          </w:p>
        </w:tc>
      </w:tr>
      <w:tr w:rsidTr="003920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2.3</w:t>
            </w:r>
          </w:p>
        </w:tc>
        <w:tc>
          <w:tcPr>
            <w:tcW w:w="486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Fuel, coolant, oil and other fluid spills are cleaned and area made safe in accordance wi</w:t>
            </w:r>
            <w:r w:rsidRPr="00E85258">
              <w:t>th established procedures.</w:t>
            </w:r>
          </w:p>
        </w:tc>
      </w:tr>
      <w:tr w:rsidTr="003920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2.4</w:t>
            </w:r>
          </w:p>
        </w:tc>
        <w:tc>
          <w:tcPr>
            <w:tcW w:w="486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Batteries are serviced and/or replaced as specified in the maintenance schedule and in accordance with established procedures.</w:t>
            </w:r>
          </w:p>
        </w:tc>
      </w:tr>
      <w:tr w:rsidTr="003920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2.5</w:t>
            </w:r>
          </w:p>
        </w:tc>
        <w:tc>
          <w:tcPr>
            <w:tcW w:w="486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Consumables are removed and disposed of following environmentally safe procedures.</w:t>
            </w:r>
          </w:p>
        </w:tc>
      </w:tr>
      <w:tr w:rsidTr="003920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2.</w:t>
            </w:r>
            <w:r w:rsidRPr="00E85258">
              <w:t>6</w:t>
            </w:r>
          </w:p>
        </w:tc>
        <w:tc>
          <w:tcPr>
            <w:tcW w:w="486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 xml:space="preserve">Procedures are followed for referring non-routine events to immediate supervisor for directions </w:t>
            </w:r>
          </w:p>
        </w:tc>
      </w:tr>
      <w:tr w:rsidTr="003920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2.7</w:t>
            </w:r>
          </w:p>
        </w:tc>
        <w:tc>
          <w:tcPr>
            <w:tcW w:w="486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Routine quality checks are carried out in accordance with work instructions</w:t>
            </w:r>
          </w:p>
        </w:tc>
      </w:tr>
      <w:tr w:rsidTr="003920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3</w:t>
            </w:r>
          </w:p>
        </w:tc>
        <w:tc>
          <w:tcPr>
            <w:tcW w:w="2296" w:type="dxa"/>
            <w:vMerge w:val="restart"/>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Report maintenance and repair of remote area power generation facilities</w:t>
            </w:r>
          </w:p>
        </w:tc>
        <w:tc>
          <w:tcPr>
            <w:tcW w:w="90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3.1</w:t>
            </w:r>
          </w:p>
        </w:tc>
        <w:tc>
          <w:tcPr>
            <w:tcW w:w="486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OHS work completion risk control measures and procedures are followed.</w:t>
            </w:r>
          </w:p>
        </w:tc>
      </w:tr>
      <w:tr w:rsidTr="003920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3.2</w:t>
            </w:r>
          </w:p>
        </w:tc>
        <w:tc>
          <w:tcPr>
            <w:tcW w:w="486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Procedures are followed for referring maintenance issues beyond the scope of prescribed work to perso</w:t>
            </w:r>
            <w:r w:rsidRPr="00E85258">
              <w:t>ns of higher authority.</w:t>
            </w:r>
          </w:p>
        </w:tc>
      </w:tr>
      <w:tr w:rsidTr="003920E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3.3</w:t>
            </w:r>
          </w:p>
        </w:tc>
        <w:tc>
          <w:tcPr>
            <w:tcW w:w="486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t>Work carried out is reported to the work supervisor through the established maintenance reporting procedures.</w:t>
            </w:r>
          </w:p>
        </w:tc>
      </w:tr>
    </w:tbl>
    <w:p w:rsidR="00000000" w:rsidRPr="00E85258" w:rsidP="00E85258">
      <w:pPr>
        <w:pStyle w:val="BodyText"/>
      </w:pPr>
    </w:p>
    <w:p w:rsidR="00000000" w:rsidRPr="00E85258" w:rsidP="00E85258">
      <w:pPr>
        <w:pStyle w:val="AllowPageBreak"/>
      </w:pPr>
    </w:p>
    <w:p w:rsidR="00000000" w:rsidRPr="00E85258" w:rsidP="00E85258">
      <w:pPr>
        <w:pStyle w:val="Heading1"/>
      </w:pPr>
      <w:bookmarkStart w:id="9" w:name="O_589237"/>
      <w:bookmarkEnd w:id="9"/>
      <w:r w:rsidRPr="00E85258">
        <w:t>Required Skills and Knowledge</w:t>
      </w:r>
    </w:p>
    <w:tbl>
      <w:tblPr>
        <w:tblW w:w="0" w:type="auto"/>
        <w:tblLayout w:type="fixed"/>
        <w:tblCellMar>
          <w:left w:w="62" w:type="dxa"/>
          <w:right w:w="62" w:type="dxa"/>
        </w:tblCellMar>
        <w:tblLook w:val="0000"/>
      </w:tblPr>
      <w:tblGrid>
        <w:gridCol w:w="1890"/>
        <w:gridCol w:w="6570"/>
      </w:tblGrid>
      <w:tr w:rsidTr="003920E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rPr>
                <w:rStyle w:val="SpecialBold"/>
              </w:rPr>
              <w:t>REQUIRED SKILLS AND KNOWLEDGE</w:t>
            </w:r>
          </w:p>
        </w:tc>
      </w:tr>
      <w:tr w:rsidTr="003920EE">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rPr>
                <w:rStyle w:val="SpecialBold"/>
              </w:rPr>
              <w:t>8)</w:t>
            </w:r>
            <w:r w:rsidRPr="00E85258">
              <w:t xml:space="preserve"> This describes the essential skills and knowledge and their level, required for this unit.</w:t>
            </w:r>
          </w:p>
          <w:p w:rsidR="00000000" w:rsidRPr="00E85258" w:rsidP="00E85258">
            <w:pPr>
              <w:pStyle w:val="BodyText"/>
            </w:pPr>
            <w:r w:rsidRPr="00E85258">
              <w:t>Evidence must show that knowledge has been acquired of safe working practices and maintaining and repairing facilities associated with remote area essential service</w:t>
            </w:r>
            <w:r w:rsidRPr="00E85258">
              <w:t xml:space="preserve"> operations.</w:t>
            </w:r>
          </w:p>
          <w:p w:rsidR="00000000" w:rsidP="00E85258">
            <w:pPr>
              <w:pStyle w:val="BodyText"/>
              <w:rPr>
                <w:lang w:val="en-NZ"/>
              </w:rPr>
            </w:pPr>
            <w:r w:rsidRPr="00E85258">
              <w:t>All knowledge and skills detailed in this unit should be contextualised to current industry practices and technologies.</w:t>
            </w:r>
          </w:p>
        </w:tc>
      </w:tr>
      <w:tr w:rsidTr="003920EE">
        <w:tblPrEx>
          <w:tblW w:w="0" w:type="auto"/>
          <w:tblLayout w:type="fixed"/>
          <w:tblCellMar>
            <w:left w:w="62" w:type="dxa"/>
            <w:right w:w="62" w:type="dxa"/>
          </w:tblCellMar>
          <w:tblLook w:val="0000"/>
        </w:tblPrEx>
        <w:trPr>
          <w:trHeight w:val="226"/>
        </w:trPr>
        <w:tc>
          <w:tcPr>
            <w:tcW w:w="189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rPr>
                <w:rStyle w:val="SpecialBold"/>
              </w:rPr>
              <w:t>KS01-EK116A</w:t>
            </w:r>
          </w:p>
        </w:tc>
        <w:tc>
          <w:tcPr>
            <w:tcW w:w="657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rPr>
                <w:rStyle w:val="SpecialBold"/>
              </w:rPr>
              <w:t>Remote area essential services power plant</w:t>
            </w:r>
          </w:p>
        </w:tc>
      </w:tr>
      <w:tr w:rsidTr="003920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Evidence shall show an understanding of remote area essential se</w:t>
            </w:r>
            <w:r w:rsidRPr="00E85258">
              <w:t>rvices power plant to an extend indicated by the following aspects:</w:t>
            </w:r>
          </w:p>
        </w:tc>
      </w:tr>
      <w:tr w:rsidTr="003920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t>Minor service and maintenance procedures of diesel powered generation equipment in accordance with a prepared schedule encompassing:</w:t>
            </w:r>
          </w:p>
          <w:p w:rsidR="00000000" w:rsidRPr="00E85258" w:rsidP="00E85258">
            <w:pPr>
              <w:pStyle w:val="ListBullet2"/>
            </w:pPr>
            <w:r w:rsidRPr="00E85258">
              <w:t>Types and grades of inspections, repairs, replacement and/or adjustments under a maintenance schedule:</w:t>
            </w:r>
          </w:p>
          <w:p w:rsidR="00000000" w:rsidRPr="00E85258" w:rsidP="00E85258">
            <w:pPr>
              <w:pStyle w:val="ListBullet3"/>
            </w:pPr>
            <w:r w:rsidRPr="00E85258">
              <w:t xml:space="preserve">Replacement items/materials include engine oil, oil filters, fuel filters, engine coolant system filters, air cleaners and fan belts; </w:t>
            </w:r>
          </w:p>
          <w:p w:rsidR="00000000" w:rsidRPr="00E85258" w:rsidP="00E85258">
            <w:pPr>
              <w:pStyle w:val="ListBullet3"/>
            </w:pPr>
            <w:r w:rsidRPr="00E85258">
              <w:t>Inspection and repair items include leakages from fuel system, coolant system and lubricating oil system.</w:t>
            </w:r>
          </w:p>
          <w:p w:rsidR="00000000" w:rsidRPr="00E85258" w:rsidP="00E85258">
            <w:pPr>
              <w:pStyle w:val="ListBullet2"/>
            </w:pPr>
            <w:r w:rsidRPr="00E85258">
              <w:t>Cleaning of fluid spills.</w:t>
            </w:r>
          </w:p>
          <w:p w:rsidR="00000000" w:rsidP="00E85258">
            <w:pPr>
              <w:pStyle w:val="ListBullet2"/>
              <w:rPr>
                <w:lang w:val="en-NZ"/>
              </w:rPr>
            </w:pPr>
            <w:r w:rsidRPr="00E85258">
              <w:t>Environmentally safe procedures for removal and disposal of consumables.</w:t>
            </w:r>
          </w:p>
        </w:tc>
      </w:tr>
      <w:tr w:rsidTr="003920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t>Servicing batteries and battery packs in a community power station in accordance with the prepared maintenance schedule encompassing:</w:t>
            </w:r>
          </w:p>
          <w:p w:rsidR="00000000" w:rsidRPr="00E85258" w:rsidP="00E85258">
            <w:pPr>
              <w:pStyle w:val="ListBullet2"/>
            </w:pPr>
            <w:r w:rsidRPr="00E85258">
              <w:t>Hazards associated with batteries.</w:t>
            </w:r>
          </w:p>
          <w:p w:rsidR="00000000" w:rsidRPr="00E85258" w:rsidP="00E85258">
            <w:pPr>
              <w:pStyle w:val="ListBullet2"/>
            </w:pPr>
            <w:r w:rsidRPr="00E85258">
              <w:t>Types of batteries and their application in a community power station (Starting batter</w:t>
            </w:r>
            <w:r w:rsidRPr="00E85258">
              <w:t>y set, switchboard (nicad) batteries)</w:t>
            </w:r>
          </w:p>
          <w:p w:rsidR="00000000" w:rsidP="00E85258">
            <w:pPr>
              <w:pStyle w:val="ListBullet2"/>
              <w:rPr>
                <w:lang w:val="en-NZ"/>
              </w:rPr>
            </w:pPr>
            <w:r w:rsidRPr="00E85258">
              <w:t>Battery maintenance techniques</w:t>
            </w:r>
          </w:p>
        </w:tc>
      </w:tr>
      <w:tr w:rsidTr="003920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t>Schedule regular servicing and maintenance encompassing:</w:t>
            </w:r>
          </w:p>
          <w:p w:rsidR="00000000" w:rsidRPr="00E85258" w:rsidP="00E85258">
            <w:pPr>
              <w:pStyle w:val="ListBullet2"/>
            </w:pPr>
            <w:r w:rsidRPr="00E85258">
              <w:t xml:space="preserve">Engine oil and filter changes; </w:t>
            </w:r>
          </w:p>
          <w:p w:rsidR="00000000" w:rsidRPr="00E85258" w:rsidP="00E85258">
            <w:pPr>
              <w:pStyle w:val="ListBullet2"/>
            </w:pPr>
            <w:r w:rsidRPr="00E85258">
              <w:t xml:space="preserve">Fuel filters; </w:t>
            </w:r>
          </w:p>
          <w:p w:rsidR="00000000" w:rsidRPr="00E85258" w:rsidP="00E85258">
            <w:pPr>
              <w:pStyle w:val="ListBullet2"/>
            </w:pPr>
            <w:r w:rsidRPr="00E85258">
              <w:t>Coolant filters</w:t>
            </w:r>
          </w:p>
          <w:p w:rsidR="00000000" w:rsidRPr="00E85258" w:rsidP="00E85258">
            <w:pPr>
              <w:pStyle w:val="ListBullet2"/>
            </w:pPr>
            <w:r w:rsidRPr="00E85258">
              <w:t>Water trap devices</w:t>
            </w:r>
          </w:p>
          <w:p w:rsidR="00000000" w:rsidRPr="00E85258" w:rsidP="00E85258">
            <w:pPr>
              <w:pStyle w:val="ListBullet2"/>
            </w:pPr>
            <w:r w:rsidRPr="00E85258">
              <w:t xml:space="preserve">Drive belt (condition/adjustment); </w:t>
            </w:r>
          </w:p>
          <w:p w:rsidR="00000000" w:rsidRPr="00E85258" w:rsidP="00E85258">
            <w:pPr>
              <w:pStyle w:val="ListBullet2"/>
            </w:pPr>
            <w:r w:rsidRPr="00E85258">
              <w:t>Valve adj</w:t>
            </w:r>
            <w:r w:rsidRPr="00E85258">
              <w:t xml:space="preserve">ustments (if applicable); </w:t>
            </w:r>
          </w:p>
          <w:p w:rsidR="00000000" w:rsidRPr="00E85258" w:rsidP="00E85258">
            <w:pPr>
              <w:pStyle w:val="ListBullet2"/>
            </w:pPr>
            <w:r w:rsidRPr="00E85258">
              <w:t xml:space="preserve">Major and minor mechanical servicing by outside agents; </w:t>
            </w:r>
          </w:p>
          <w:p w:rsidR="00000000" w:rsidRPr="00E85258" w:rsidP="00E85258">
            <w:pPr>
              <w:pStyle w:val="ListBullet2"/>
            </w:pPr>
            <w:r w:rsidRPr="00E85258">
              <w:t>Air cleaner (both dry paper and oil bath types)</w:t>
            </w:r>
          </w:p>
        </w:tc>
      </w:tr>
    </w:tbl>
    <w:p w:rsidR="00000000" w:rsidRPr="00E85258" w:rsidP="00E85258">
      <w:pPr>
        <w:pStyle w:val="BodyText"/>
      </w:pPr>
    </w:p>
    <w:p w:rsidR="00000000" w:rsidRPr="00E85258" w:rsidP="00E85258">
      <w:pPr>
        <w:pStyle w:val="AllowPageBreak"/>
      </w:pPr>
    </w:p>
    <w:p w:rsidR="00000000" w:rsidRPr="00E85258" w:rsidP="00E85258">
      <w:pPr>
        <w:pStyle w:val="Heading1"/>
      </w:pPr>
      <w:bookmarkStart w:id="10" w:name="O_589236"/>
      <w:bookmarkEnd w:id="10"/>
      <w:r w:rsidRPr="00E85258">
        <w:t>Evidence Guide</w:t>
      </w:r>
    </w:p>
    <w:tbl>
      <w:tblPr>
        <w:tblW w:w="0" w:type="auto"/>
        <w:tblLayout w:type="fixed"/>
        <w:tblCellMar>
          <w:left w:w="62" w:type="dxa"/>
          <w:right w:w="62" w:type="dxa"/>
        </w:tblCellMar>
        <w:tblLook w:val="0000"/>
      </w:tblPr>
      <w:tblGrid>
        <w:gridCol w:w="8460"/>
      </w:tblGrid>
      <w:tr w:rsidTr="003920E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rPr>
                <w:rStyle w:val="SpecialBold"/>
              </w:rPr>
              <w:t>EVIDENCE GUIDE</w:t>
            </w:r>
          </w:p>
        </w:tc>
      </w:tr>
      <w:tr w:rsidTr="003920E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rPr>
                <w:rStyle w:val="SpecialBold"/>
              </w:rPr>
              <w:t>9)</w:t>
            </w:r>
            <w:r w:rsidRPr="00E85258">
              <w:t xml:space="preserve"> This provides essential advice for assessment of the unit and must be read in conjunction with the performance criteria and the range statement of the unit and the Training Package Assessment Guidelines.</w:t>
            </w:r>
          </w:p>
          <w:p w:rsidR="00000000" w:rsidRPr="00E85258" w:rsidP="00E85258">
            <w:pPr>
              <w:pStyle w:val="BodyText"/>
            </w:pPr>
            <w:r w:rsidRPr="00E85258">
              <w:t>The Evidence Guide forms an integral part of this u</w:t>
            </w:r>
            <w:r w:rsidRPr="00E85258">
              <w:t>nit. It must be used in conjunction with all parts of this unit and performed in accordance with the Assessment Guidelines of this Training Package.</w:t>
            </w:r>
          </w:p>
        </w:tc>
      </w:tr>
    </w:tbl>
    <w:p w:rsidR="00000000" w:rsidRPr="00E85258" w:rsidP="00E85258">
      <w:pPr>
        <w:pStyle w:val="BodyText"/>
      </w:pPr>
    </w:p>
    <w:tbl>
      <w:tblPr>
        <w:tblW w:w="0" w:type="auto"/>
        <w:tblLayout w:type="fixed"/>
        <w:tblCellMar>
          <w:left w:w="62" w:type="dxa"/>
          <w:right w:w="62" w:type="dxa"/>
        </w:tblCellMar>
        <w:tblLook w:val="0000"/>
      </w:tblPr>
      <w:tblGrid>
        <w:gridCol w:w="1890"/>
        <w:gridCol w:w="6570"/>
      </w:tblGrid>
      <w:tr w:rsidTr="003920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rPr>
                <w:rStyle w:val="SpecialBold"/>
              </w:rPr>
              <w:t>9.1)</w:t>
            </w:r>
          </w:p>
        </w:tc>
      </w:tr>
      <w:tr w:rsidTr="003920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t>Longitudinal competency development approaches to assessment, such as Profi</w:t>
            </w:r>
            <w:r w:rsidRPr="00E85258">
              <w:t>ling, require data to be reliably gathered in a form that can be consistently interpreted over time. This approach is best utilised in Apprenticeship programs and reduces assessment intervention. It is the industry-preferred model for apprenticeships. Howe</w:t>
            </w:r>
            <w:r w:rsidRPr="00E85258">
              <w:t>ver, where summative (or final) assessment is used it is to include the application of the competency in the normal work environment or, at a minimum, the application of the competency in a realistically simulated work environment. In some circumstances, a</w:t>
            </w:r>
            <w:r w:rsidRPr="00E85258">
              <w:t>ssessment in part or full can occur outside the workplace. However, it must be in accordance with industry and regulatory policy.</w:t>
            </w:r>
          </w:p>
          <w:p w:rsidR="00000000" w:rsidRPr="00E85258" w:rsidP="00E85258">
            <w:pPr>
              <w:pStyle w:val="BodyText"/>
            </w:pPr>
            <w:r w:rsidRPr="00E85258">
              <w:t xml:space="preserve">Methods chosen for a particular assessment will be influenced by various factors. These include the extent of the assessment, </w:t>
            </w:r>
            <w:r w:rsidRPr="00E85258">
              <w:t>the most effective locations for the assessment activities to take place, access to physical resources, additional safety measures that may be required and the critical nature of the competencies being assessed.</w:t>
            </w:r>
          </w:p>
          <w:p w:rsidR="00000000" w:rsidRPr="00E85258" w:rsidP="00E85258">
            <w:pPr>
              <w:pStyle w:val="BodyText"/>
            </w:pPr>
            <w:r w:rsidRPr="00E85258">
              <w:t>The critical safety issues inherent in worki</w:t>
            </w:r>
            <w:r w:rsidRPr="00E85258">
              <w:t>ng with electricity, electrical equipment, gas or any other hazardous substance/material present a challenge for those determining competence. Sources of evidence need to be ‘rich’ in nature to minimise error in judgment.</w:t>
            </w:r>
          </w:p>
          <w:p w:rsidR="00000000" w:rsidRPr="00E85258" w:rsidP="00E85258">
            <w:pPr>
              <w:pStyle w:val="BodyText"/>
            </w:pPr>
            <w:r w:rsidRPr="00E85258">
              <w:t>Activities associated with normal everyday work have a bearing on the decision as to how much and how detailed the data gathered will contribute to its ‘richness’. Some skills are more critical to safety and operational requirements while the same skills m</w:t>
            </w:r>
            <w:r w:rsidRPr="00E85258">
              <w:t>ay be more or less frequently practised. These points are raised for the assessors to consider when choosing an assessment method and developing assessment instruments. Sample assessment instruments are included for Assessors in the Assessment Guidelines o</w:t>
            </w:r>
            <w:r w:rsidRPr="00E85258">
              <w:t>f this Training Package.</w:t>
            </w:r>
          </w:p>
        </w:tc>
      </w:tr>
    </w:tbl>
    <w:p w:rsidR="00000000" w:rsidRPr="00E85258" w:rsidP="00E85258">
      <w:pPr>
        <w:pStyle w:val="BodyText"/>
      </w:pPr>
    </w:p>
    <w:tbl>
      <w:tblPr>
        <w:tblW w:w="0" w:type="auto"/>
        <w:tblLayout w:type="fixed"/>
        <w:tblCellMar>
          <w:left w:w="62" w:type="dxa"/>
          <w:right w:w="62" w:type="dxa"/>
        </w:tblCellMar>
        <w:tblLook w:val="0000"/>
      </w:tblPr>
      <w:tblGrid>
        <w:gridCol w:w="1890"/>
        <w:gridCol w:w="1530"/>
        <w:gridCol w:w="5040"/>
      </w:tblGrid>
      <w:tr w:rsidTr="003920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rPr>
                <w:rStyle w:val="SpecialBold"/>
              </w:rPr>
              <w:t>9.2)</w:t>
            </w:r>
          </w:p>
        </w:tc>
      </w:tr>
      <w:tr w:rsidTr="003920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t>Before the critical aspects of evidence are considered all prerequisites must be met.</w:t>
            </w:r>
          </w:p>
          <w:p w:rsidR="00000000" w:rsidRPr="00E85258" w:rsidP="00E85258">
            <w:pPr>
              <w:pStyle w:val="BodyText"/>
            </w:pPr>
            <w:r w:rsidRPr="00E85258">
              <w:t>Evidence for competence in this unit must be considered ho</w:t>
            </w:r>
            <w:r w:rsidRPr="00E85258">
              <w:t>listically.  Each element and associated performance criteria must be demonstrated on at least two occasions in accordance with the ‘Assessment Guidelines – UEE11’.  Evidence must  also comprise:</w:t>
            </w:r>
          </w:p>
          <w:p w:rsidR="00000000" w:rsidRPr="00E85258" w:rsidP="00E85258">
            <w:pPr>
              <w:pStyle w:val="ListBullet"/>
            </w:pPr>
            <w:r w:rsidRPr="00E85258">
              <w:t>A representative body of work performance demonstrated with</w:t>
            </w:r>
            <w:r w:rsidRPr="00E85258">
              <w:t>in the timeframes typically expected of the discipline, work function and industrial environment. In particular this must  incorporate evidence that shows a candidate is able to:</w:t>
            </w:r>
          </w:p>
          <w:p w:rsidR="00000000" w:rsidRPr="00E85258" w:rsidP="00E85258">
            <w:pPr>
              <w:pStyle w:val="ListBullet2"/>
            </w:pPr>
            <w:r w:rsidRPr="00E85258">
              <w:t>Implement Occupational Health and Safety workplace procedures and practices including the use of risk control measures as specified in the performance criteria and range statement</w:t>
            </w:r>
          </w:p>
          <w:p w:rsidR="00000000" w:rsidRPr="00E85258" w:rsidP="00E85258">
            <w:pPr>
              <w:pStyle w:val="ListBullet2"/>
            </w:pPr>
            <w:r w:rsidRPr="00E85258">
              <w:t>Apply sustainable energy principles and practices as specified in the perfor</w:t>
            </w:r>
            <w:r w:rsidRPr="00E85258">
              <w:t>mance criteria and range statement.</w:t>
            </w:r>
          </w:p>
          <w:p w:rsidR="00000000" w:rsidRPr="00E85258" w:rsidP="00E85258">
            <w:pPr>
              <w:pStyle w:val="ListBullet2"/>
            </w:pPr>
            <w:r w:rsidRPr="00E85258">
              <w:t>Demonstrate an understanding of the essential knowledge and associated skills as described in this unit.  It may be required by some jurisdictions that RTOs provide a percentile graded result for the purpose of regulator</w:t>
            </w:r>
            <w:r w:rsidRPr="00E85258">
              <w:t>y or licensing requirements.</w:t>
            </w:r>
          </w:p>
          <w:p w:rsidR="00000000" w:rsidRPr="00E85258" w:rsidP="00E85258">
            <w:pPr>
              <w:pStyle w:val="ListBullet2"/>
            </w:pPr>
            <w:r w:rsidRPr="00E85258">
              <w:t>Demonstrate an appropriate level of skills enabling employment</w:t>
            </w:r>
          </w:p>
          <w:p w:rsidR="00000000" w:rsidRPr="00E85258" w:rsidP="00E85258">
            <w:pPr>
              <w:pStyle w:val="ListBullet2"/>
            </w:pPr>
            <w:r w:rsidRPr="00E85258">
              <w:t>Conduct work observing the relevant Anti Discrimination legislation, regulations, polices and workplace procedures</w:t>
            </w:r>
          </w:p>
          <w:p w:rsidR="00000000" w:rsidRPr="00E85258" w:rsidP="00E85258">
            <w:pPr>
              <w:pStyle w:val="ListBullet"/>
            </w:pPr>
            <w:r w:rsidRPr="00E85258">
              <w:t>Demonstrated consistent performance across a rep</w:t>
            </w:r>
            <w:r w:rsidRPr="00E85258">
              <w:t>resentative range of contexts from the prescribed items below:</w:t>
            </w:r>
          </w:p>
          <w:p w:rsidR="00000000" w:rsidP="00E85258">
            <w:pPr>
              <w:pStyle w:val="ListBullet2"/>
              <w:rPr>
                <w:lang w:val="en-NZ"/>
              </w:rPr>
            </w:pPr>
            <w:r w:rsidRPr="00E85258">
              <w:t>Maintain and repair remote area power generation facilities as described in 8) and including:</w:t>
            </w:r>
          </w:p>
        </w:tc>
      </w:tr>
      <w:tr w:rsidTr="003920EE">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A</w:t>
            </w:r>
          </w:p>
        </w:tc>
        <w:tc>
          <w:tcPr>
            <w:tcW w:w="504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Understanding the location and nature of the work required</w:t>
            </w:r>
          </w:p>
        </w:tc>
      </w:tr>
      <w:tr w:rsidTr="003920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B</w:t>
            </w:r>
          </w:p>
        </w:tc>
        <w:tc>
          <w:tcPr>
            <w:tcW w:w="504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Correctly inspecting, repairing, replacing and adjusting items listed in the maintenance schedule</w:t>
            </w:r>
          </w:p>
        </w:tc>
      </w:tr>
      <w:tr w:rsidTr="003920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C</w:t>
            </w:r>
          </w:p>
        </w:tc>
        <w:tc>
          <w:tcPr>
            <w:tcW w:w="504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Cleaning fluid spills appropriately.</w:t>
            </w:r>
          </w:p>
        </w:tc>
      </w:tr>
      <w:tr w:rsidTr="003920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D</w:t>
            </w:r>
          </w:p>
        </w:tc>
        <w:tc>
          <w:tcPr>
            <w:tcW w:w="504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 xml:space="preserve">Removing and disposing of consumable following environmentally safe procedures. </w:t>
            </w:r>
          </w:p>
        </w:tc>
      </w:tr>
      <w:tr w:rsidTr="003920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E</w:t>
            </w:r>
          </w:p>
        </w:tc>
        <w:tc>
          <w:tcPr>
            <w:tcW w:w="504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 xml:space="preserve">Documenting work activities accurately </w:t>
            </w:r>
          </w:p>
        </w:tc>
      </w:tr>
      <w:tr w:rsidTr="003920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F</w:t>
            </w:r>
          </w:p>
        </w:tc>
        <w:tc>
          <w:tcPr>
            <w:tcW w:w="504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Dealing with unplanned events by drawing on essential knowledge and skills to provide appropriate solutions incorporated in a holistic assessment with the above listed items</w:t>
            </w:r>
          </w:p>
        </w:tc>
      </w:tr>
      <w:tr w:rsidTr="003920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t xml:space="preserve">Note: </w:t>
            </w:r>
          </w:p>
          <w:p w:rsidR="00000000" w:rsidRPr="00E85258" w:rsidP="00E85258">
            <w:pPr>
              <w:pStyle w:val="BodyText"/>
            </w:pPr>
            <w:r w:rsidRPr="00E85258">
              <w:t>Successful completion of rel</w:t>
            </w:r>
            <w:r w:rsidRPr="00E85258">
              <w:t>evant vendor training may be used to contribute to evidence on which competency is deemed. In these cases the alignment of outcomes of vendor training with performance criteria and critical aspects of evidence must be clearly identified</w:t>
            </w:r>
          </w:p>
        </w:tc>
      </w:tr>
    </w:tbl>
    <w:p w:rsidR="00000000" w:rsidRPr="00E85258" w:rsidP="00E85258">
      <w:pPr>
        <w:pStyle w:val="BodyText"/>
      </w:pPr>
    </w:p>
    <w:tbl>
      <w:tblPr>
        <w:tblW w:w="0" w:type="auto"/>
        <w:tblLayout w:type="fixed"/>
        <w:tblCellMar>
          <w:left w:w="62" w:type="dxa"/>
          <w:right w:w="62" w:type="dxa"/>
        </w:tblCellMar>
        <w:tblLook w:val="0000"/>
      </w:tblPr>
      <w:tblGrid>
        <w:gridCol w:w="1890"/>
        <w:gridCol w:w="6570"/>
      </w:tblGrid>
      <w:tr w:rsidTr="003920E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rPr>
                <w:rStyle w:val="SpecialBold"/>
              </w:rPr>
              <w:t>Context of and sp</w:t>
            </w:r>
            <w:r w:rsidRPr="00E85258">
              <w:rPr>
                <w:rStyle w:val="SpecialBold"/>
              </w:rPr>
              <w:t>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rPr>
                <w:rStyle w:val="SpecialBold"/>
              </w:rPr>
              <w:t>9.3)</w:t>
            </w:r>
          </w:p>
        </w:tc>
      </w:tr>
      <w:tr w:rsidTr="003920E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t>This unit should be assessed as it relates to normal work practice using procedures, information and resources typical of a workplace. This should include:</w:t>
            </w:r>
          </w:p>
          <w:p w:rsidR="00000000" w:rsidRPr="00E85258" w:rsidP="00E85258">
            <w:pPr>
              <w:pStyle w:val="ListBullet2"/>
            </w:pPr>
            <w:r w:rsidRPr="00E85258">
              <w:t>OHS policy and work procedures and instructions.</w:t>
            </w:r>
          </w:p>
          <w:p w:rsidR="00000000" w:rsidRPr="00E85258" w:rsidP="00E85258">
            <w:pPr>
              <w:pStyle w:val="ListBullet2"/>
            </w:pPr>
            <w:r w:rsidRPr="00E85258">
              <w:t>Suitable work environment, facilities, equipment and materials to undertake actual work as prescribed by this unit.</w:t>
            </w:r>
          </w:p>
          <w:p w:rsidR="00000000" w:rsidRPr="00E85258" w:rsidP="00E85258">
            <w:pPr>
              <w:pStyle w:val="BodyText"/>
            </w:pPr>
            <w:r w:rsidRPr="00E85258">
              <w:t>These should be part of the formal learning/assessment environment.</w:t>
            </w:r>
          </w:p>
          <w:p w:rsidR="00000000" w:rsidRPr="00E85258" w:rsidP="00E85258">
            <w:pPr>
              <w:pStyle w:val="BodyText"/>
            </w:pPr>
            <w:r w:rsidRPr="00E85258">
              <w:t>Note:</w:t>
            </w:r>
          </w:p>
          <w:p w:rsidR="00000000" w:rsidRPr="00E85258" w:rsidP="00E85258">
            <w:pPr>
              <w:pStyle w:val="BodyText"/>
            </w:pPr>
            <w:r w:rsidRPr="00E85258">
              <w:t>Where simulation is considered a suitable strategy for assessment,</w:t>
            </w:r>
            <w:r w:rsidRPr="00E85258">
              <w:t xml:space="preserve"> conditions must be authentic and as far as possible reproduce and replicate the workplace and be consistent with the approved industry simulation policy.</w:t>
            </w:r>
          </w:p>
          <w:p w:rsidR="00000000" w:rsidRPr="00E85258" w:rsidP="00E85258">
            <w:pPr>
              <w:pStyle w:val="BodyText"/>
            </w:pPr>
            <w:r w:rsidRPr="00E85258">
              <w:t>The resources used for assessment should reflect current industry practices in relation to maintainin</w:t>
            </w:r>
            <w:r w:rsidRPr="00E85258">
              <w:t>g and repairing facilities associated with remote area essential service operations.</w:t>
            </w:r>
          </w:p>
        </w:tc>
      </w:tr>
    </w:tbl>
    <w:p w:rsidR="00000000" w:rsidRPr="00E85258" w:rsidP="00E85258">
      <w:pPr>
        <w:pStyle w:val="BodyText"/>
      </w:pPr>
    </w:p>
    <w:tbl>
      <w:tblPr>
        <w:tblW w:w="0" w:type="auto"/>
        <w:tblLayout w:type="fixed"/>
        <w:tblCellMar>
          <w:left w:w="62" w:type="dxa"/>
          <w:right w:w="62" w:type="dxa"/>
        </w:tblCellMar>
        <w:tblLook w:val="0000"/>
      </w:tblPr>
      <w:tblGrid>
        <w:gridCol w:w="1890"/>
        <w:gridCol w:w="6570"/>
      </w:tblGrid>
      <w:tr w:rsidTr="003920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rPr>
                <w:rStyle w:val="SpecialBold"/>
              </w:rPr>
              <w:t>9.4)</w:t>
            </w:r>
          </w:p>
        </w:tc>
      </w:tr>
      <w:tr w:rsidTr="003920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t>This unit shall be assessed by methods given in Volume 1, Part 3 ‘Assessment Guidelines’.</w:t>
            </w:r>
          </w:p>
          <w:p w:rsidR="00000000" w:rsidRPr="00E85258" w:rsidP="00E85258">
            <w:pPr>
              <w:pStyle w:val="BodyText"/>
            </w:pPr>
            <w:r w:rsidRPr="00E85258">
              <w:t xml:space="preserve">Note: </w:t>
            </w:r>
          </w:p>
          <w:p w:rsidR="00000000" w:rsidRPr="00E85258" w:rsidP="00E85258">
            <w:pPr>
              <w:pStyle w:val="BodyText"/>
            </w:pPr>
            <w:r w:rsidRPr="00E85258">
              <w:t>Competent performance with inherent safe working practices is expected in the Industry to which this unit applies. This requires assessment in a structured environment which is intended primarily for learning/assessment and incorporates all necessary equip</w:t>
            </w:r>
            <w:r w:rsidRPr="00E85258">
              <w:t>ment and facilities for learners to develop and demonstrate the essential knowledge and skills described in this unit.</w:t>
            </w:r>
          </w:p>
        </w:tc>
      </w:tr>
    </w:tbl>
    <w:p w:rsidR="00000000" w:rsidRPr="00E85258" w:rsidP="00E85258">
      <w:pPr>
        <w:pStyle w:val="BodyText"/>
      </w:pPr>
    </w:p>
    <w:tbl>
      <w:tblPr>
        <w:tblW w:w="0" w:type="auto"/>
        <w:tblLayout w:type="fixed"/>
        <w:tblCellMar>
          <w:left w:w="62" w:type="dxa"/>
          <w:right w:w="62" w:type="dxa"/>
        </w:tblCellMar>
        <w:tblLook w:val="0000"/>
      </w:tblPr>
      <w:tblGrid>
        <w:gridCol w:w="1890"/>
        <w:gridCol w:w="6570"/>
      </w:tblGrid>
      <w:tr w:rsidTr="003920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rPr>
                <w:rStyle w:val="SpecialBold"/>
              </w:rPr>
              <w:t>9.5)</w:t>
            </w:r>
          </w:p>
        </w:tc>
      </w:tr>
      <w:tr w:rsidTr="003920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t>There are no concurrent assessment recommendations for this unit.</w:t>
            </w:r>
          </w:p>
        </w:tc>
      </w:tr>
      <w:tr w:rsidTr="003920E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t>The critical aspects of occupational health and safety covered in unit UEENEEE101A and other discipline specific occupational health and safety units shall be incorporated in relation to this unit.</w:t>
            </w:r>
          </w:p>
        </w:tc>
      </w:tr>
    </w:tbl>
    <w:p w:rsidR="00000000" w:rsidRPr="00E85258" w:rsidP="00E85258">
      <w:pPr>
        <w:pStyle w:val="BodyText"/>
      </w:pPr>
    </w:p>
    <w:p w:rsidR="00000000" w:rsidRPr="00E85258" w:rsidP="00E85258">
      <w:pPr>
        <w:pStyle w:val="AllowPageBreak"/>
      </w:pPr>
    </w:p>
    <w:p w:rsidR="00000000" w:rsidRPr="00E85258" w:rsidP="00E85258">
      <w:pPr>
        <w:pStyle w:val="Heading1"/>
      </w:pPr>
      <w:bookmarkStart w:id="11" w:name="O_589235"/>
      <w:bookmarkEnd w:id="11"/>
      <w:r w:rsidRPr="00E85258">
        <w:t>Range Statement</w:t>
      </w:r>
    </w:p>
    <w:tbl>
      <w:tblPr>
        <w:tblW w:w="0" w:type="auto"/>
        <w:tblLayout w:type="fixed"/>
        <w:tblCellMar>
          <w:left w:w="62" w:type="dxa"/>
          <w:right w:w="62" w:type="dxa"/>
        </w:tblCellMar>
        <w:tblLook w:val="0000"/>
      </w:tblPr>
      <w:tblGrid>
        <w:gridCol w:w="8460"/>
      </w:tblGrid>
      <w:tr w:rsidTr="003920E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rPr>
                <w:rStyle w:val="SpecialBold"/>
              </w:rPr>
              <w:t>RANGE STATEMENT</w:t>
            </w:r>
          </w:p>
        </w:tc>
      </w:tr>
      <w:tr w:rsidTr="003920E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rPr>
                <w:rStyle w:val="SpecialBold"/>
              </w:rPr>
              <w:t>10)</w:t>
            </w:r>
            <w:r w:rsidRPr="00E85258">
              <w:t xml:space="preserve"> Th</w:t>
            </w:r>
            <w:r w:rsidRPr="00E85258">
              <w:t>is relates to the unit as a whole providing the range of contexts and conditions to which the performance criteria apply. It allows for different work environments and situations that will affect performance.</w:t>
            </w:r>
          </w:p>
          <w:p w:rsidR="00000000" w:rsidRPr="00E85258" w:rsidP="00E85258">
            <w:pPr>
              <w:pStyle w:val="BodyText"/>
            </w:pPr>
            <w:r w:rsidRPr="00E85258">
              <w:t>This unit must be demonstrated in relation to l</w:t>
            </w:r>
            <w:r w:rsidRPr="00E85258">
              <w:t>east two different remote area power generation facilities.</w:t>
            </w:r>
          </w:p>
          <w:p w:rsidR="00000000" w:rsidRPr="00E85258" w:rsidP="00E85258">
            <w:pPr>
              <w:pStyle w:val="BodyText"/>
            </w:pPr>
            <w:r w:rsidRPr="00E85258">
              <w:t xml:space="preserve">Generic terms used throughout this Vocational Standard shall be regarded as part of the Range Statement in which competency is demonstrated. The definition of these and other terms that apply are </w:t>
            </w:r>
            <w:r w:rsidRPr="00E85258">
              <w:t>given in Volume 2, Part 2.1.</w:t>
            </w:r>
          </w:p>
        </w:tc>
      </w:tr>
    </w:tbl>
    <w:p w:rsidR="00000000" w:rsidRPr="00E85258" w:rsidP="00E85258">
      <w:pPr>
        <w:pStyle w:val="BodyText"/>
      </w:pPr>
    </w:p>
    <w:p w:rsidR="00000000" w:rsidRPr="00E85258" w:rsidP="00E85258">
      <w:pPr>
        <w:pStyle w:val="AllowPageBreak"/>
      </w:pPr>
    </w:p>
    <w:p w:rsidR="00000000" w:rsidRPr="00E85258" w:rsidP="00E85258">
      <w:pPr>
        <w:pStyle w:val="Heading1"/>
      </w:pPr>
      <w:bookmarkStart w:id="12" w:name="O_589234"/>
      <w:bookmarkEnd w:id="12"/>
      <w:r w:rsidRPr="00E85258">
        <w:t>Unit Sector(s)</w:t>
      </w:r>
    </w:p>
    <w:p w:rsidR="00000000" w:rsidRPr="00E85258" w:rsidP="00E85258">
      <w:pPr>
        <w:pStyle w:val="BodyText"/>
      </w:pPr>
      <w:r w:rsidRPr="00E85258">
        <w:t>Not applicable.</w:t>
      </w:r>
    </w:p>
    <w:p w:rsidR="00000000" w:rsidRPr="00E85258" w:rsidP="00E85258">
      <w:pPr>
        <w:pStyle w:val="AllowPageBreak"/>
      </w:pPr>
    </w:p>
    <w:p w:rsidR="00000000" w:rsidRPr="00E85258" w:rsidP="00E85258">
      <w:pPr>
        <w:pStyle w:val="Heading1"/>
      </w:pPr>
      <w:bookmarkStart w:id="13" w:name="O_589233"/>
      <w:bookmarkEnd w:id="13"/>
      <w:r w:rsidRPr="00E85258">
        <w:t>Competency Field</w:t>
      </w:r>
    </w:p>
    <w:tbl>
      <w:tblPr>
        <w:tblW w:w="0" w:type="auto"/>
        <w:tblLayout w:type="fixed"/>
        <w:tblCellMar>
          <w:left w:w="62" w:type="dxa"/>
          <w:right w:w="62" w:type="dxa"/>
        </w:tblCellMar>
        <w:tblLook w:val="0000"/>
      </w:tblPr>
      <w:tblGrid>
        <w:gridCol w:w="2700"/>
        <w:gridCol w:w="5760"/>
      </w:tblGrid>
      <w:tr w:rsidTr="003920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85258">
            <w:pPr>
              <w:pStyle w:val="BodyText"/>
              <w:rPr>
                <w:lang w:val="en-NZ"/>
              </w:rPr>
            </w:pPr>
            <w:r w:rsidRPr="00E85258">
              <w:rPr>
                <w:rStyle w:val="SpecialBold"/>
              </w:rPr>
              <w:t xml:space="preserve">11) </w:t>
            </w:r>
          </w:p>
        </w:tc>
      </w:tr>
      <w:tr w:rsidTr="003920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5258" w:rsidP="00E85258">
            <w:pPr>
              <w:pStyle w:val="BodyText"/>
            </w:pPr>
            <w:r w:rsidRPr="00E85258">
              <w:t>Renewable and Sustainable Energy</w:t>
            </w:r>
          </w:p>
        </w:tc>
      </w:tr>
    </w:tbl>
    <w:p w:rsidR="00000000" w:rsidRPr="00E85258" w:rsidP="00E85258">
      <w:pPr>
        <w:pStyle w:val="BodyText"/>
      </w:pPr>
    </w:p>
    <w:p w:rsidR="00000000" w:rsidRPr="00E85258" w:rsidP="00E85258"/>
    <w:sectPr w:rsidSect="00E852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2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258" w:rsidRPr="003920EE" w:rsidP="003920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2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0EE" w:rsidP="00E852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920EE" w:rsidP="00E8525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920EE" w:rsidP="00E852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2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258" w:rsidRPr="003920EE" w:rsidP="003920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2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0EE" w:rsidRPr="002D2AF8" w:rsidP="00E85258">
    <w:pPr>
      <w:pStyle w:val="Header"/>
      <w:framePr w:wrap="around"/>
    </w:pPr>
    <w:r>
      <w:fldChar w:fldCharType="begin"/>
    </w:r>
    <w:r>
      <w:instrText xml:space="preserve"> TITLE   \* MERGEFORMAT </w:instrText>
    </w:r>
    <w:r>
      <w:fldChar w:fldCharType="separate"/>
    </w:r>
    <w:r>
      <w:t>UEENEEK116A Maintain and repair remote area power generation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3920EE" w:rsidP="00E852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FEFD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8809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0CDA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2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5258"/>
    <w:pPr>
      <w:spacing w:before="360" w:after="60"/>
      <w:outlineLvl w:val="0"/>
    </w:pPr>
    <w:rPr>
      <w:sz w:val="32"/>
    </w:rPr>
  </w:style>
  <w:style w:type="paragraph" w:styleId="Heading2">
    <w:name w:val="heading 2"/>
    <w:basedOn w:val="HeadingBase"/>
    <w:next w:val="BodyText"/>
    <w:link w:val="Heading2Char"/>
    <w:qFormat/>
    <w:rsid w:val="00E85258"/>
    <w:pPr>
      <w:keepLines/>
      <w:spacing w:before="240" w:after="120"/>
      <w:outlineLvl w:val="1"/>
    </w:pPr>
    <w:rPr>
      <w:sz w:val="28"/>
      <w:szCs w:val="40"/>
    </w:rPr>
  </w:style>
  <w:style w:type="paragraph" w:styleId="Heading3">
    <w:name w:val="heading 3"/>
    <w:basedOn w:val="HeadingBase"/>
    <w:next w:val="BodyText"/>
    <w:link w:val="Heading3Char"/>
    <w:qFormat/>
    <w:rsid w:val="00E85258"/>
    <w:pPr>
      <w:spacing w:before="180" w:after="120"/>
      <w:outlineLvl w:val="2"/>
    </w:pPr>
    <w:rPr>
      <w:spacing w:val="-10"/>
      <w:kern w:val="32"/>
    </w:rPr>
  </w:style>
  <w:style w:type="paragraph" w:styleId="Heading4">
    <w:name w:val="heading 4"/>
    <w:basedOn w:val="HeadingBase"/>
    <w:next w:val="BodyText"/>
    <w:link w:val="Heading4Char"/>
    <w:qFormat/>
    <w:rsid w:val="00E85258"/>
    <w:pPr>
      <w:spacing w:before="160" w:after="120"/>
      <w:outlineLvl w:val="3"/>
    </w:pPr>
    <w:rPr>
      <w:sz w:val="22"/>
    </w:rPr>
  </w:style>
  <w:style w:type="paragraph" w:styleId="Heading5">
    <w:name w:val="heading 5"/>
    <w:basedOn w:val="HeadingBase"/>
    <w:next w:val="Normal"/>
    <w:link w:val="Heading5Char"/>
    <w:qFormat/>
    <w:rsid w:val="00E85258"/>
    <w:pPr>
      <w:spacing w:before="80"/>
      <w:outlineLvl w:val="4"/>
    </w:pPr>
    <w:rPr>
      <w:color w:val="918585"/>
      <w:sz w:val="20"/>
    </w:rPr>
  </w:style>
  <w:style w:type="paragraph" w:styleId="Heading6">
    <w:name w:val="heading 6"/>
    <w:basedOn w:val="HeadingBase"/>
    <w:next w:val="Normal"/>
    <w:link w:val="Heading6Char"/>
    <w:qFormat/>
    <w:rsid w:val="00E85258"/>
    <w:pPr>
      <w:spacing w:before="60"/>
      <w:outlineLvl w:val="5"/>
    </w:pPr>
    <w:rPr>
      <w:color w:val="918585"/>
      <w:sz w:val="20"/>
    </w:rPr>
  </w:style>
  <w:style w:type="paragraph" w:styleId="Heading7">
    <w:name w:val="heading 7"/>
    <w:basedOn w:val="Normal"/>
    <w:next w:val="Normal"/>
    <w:link w:val="Heading7Char"/>
    <w:qFormat/>
    <w:rsid w:val="00E85258"/>
    <w:pPr>
      <w:ind w:left="720"/>
      <w:outlineLvl w:val="6"/>
    </w:pPr>
    <w:rPr>
      <w:i/>
    </w:rPr>
  </w:style>
  <w:style w:type="paragraph" w:styleId="Heading8">
    <w:name w:val="heading 8"/>
    <w:basedOn w:val="Normal"/>
    <w:next w:val="Normal"/>
    <w:link w:val="Heading8Char"/>
    <w:qFormat/>
    <w:rsid w:val="00E85258"/>
    <w:pPr>
      <w:ind w:left="720"/>
      <w:outlineLvl w:val="7"/>
    </w:pPr>
    <w:rPr>
      <w:i/>
    </w:rPr>
  </w:style>
  <w:style w:type="paragraph" w:styleId="Heading9">
    <w:name w:val="heading 9"/>
    <w:basedOn w:val="Normal"/>
    <w:next w:val="Normal"/>
    <w:link w:val="Heading9Char"/>
    <w:qFormat/>
    <w:rsid w:val="00E85258"/>
    <w:pPr>
      <w:ind w:left="720"/>
      <w:outlineLvl w:val="8"/>
    </w:pPr>
    <w:rPr>
      <w:i/>
    </w:rPr>
  </w:style>
  <w:style w:type="character" w:default="1" w:styleId="DefaultParagraphFont">
    <w:name w:val="Default Paragraph Font"/>
    <w:uiPriority w:val="1"/>
    <w:unhideWhenUsed/>
    <w:rsid w:val="00E852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5258"/>
  </w:style>
  <w:style w:type="character" w:customStyle="1" w:styleId="Heading1Char">
    <w:name w:val="Heading 1 Char"/>
    <w:basedOn w:val="DefaultParagraphFont"/>
    <w:link w:val="Heading1"/>
    <w:rsid w:val="00E85258"/>
    <w:rPr>
      <w:rFonts w:ascii="Times New Roman" w:eastAsia="Times New Roman" w:hAnsi="Times New Roman" w:cs="Times New Roman"/>
      <w:b/>
      <w:sz w:val="32"/>
      <w:szCs w:val="20"/>
      <w:lang w:eastAsia="en-US"/>
    </w:rPr>
  </w:style>
  <w:style w:type="paragraph" w:styleId="BodyText">
    <w:name w:val="Body Text"/>
    <w:basedOn w:val="Normal"/>
    <w:link w:val="BodyTextChar"/>
    <w:rsid w:val="00E852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5258"/>
    <w:rPr>
      <w:rFonts w:ascii="Times New Roman" w:eastAsia="Times New Roman" w:hAnsi="Times New Roman" w:cs="Times New Roman"/>
      <w:sz w:val="24"/>
      <w:lang w:eastAsia="en-US"/>
    </w:rPr>
  </w:style>
  <w:style w:type="paragraph" w:styleId="ListBullet">
    <w:name w:val="List Bullet"/>
    <w:basedOn w:val="List"/>
    <w:rsid w:val="00E85258"/>
    <w:pPr>
      <w:numPr>
        <w:numId w:val="14"/>
      </w:numPr>
      <w:tabs>
        <w:tab w:val="clear" w:pos="340"/>
      </w:tabs>
      <w:spacing w:before="40" w:after="40"/>
    </w:pPr>
  </w:style>
  <w:style w:type="character" w:customStyle="1" w:styleId="SpecialBold">
    <w:name w:val="Special Bold"/>
    <w:basedOn w:val="DefaultParagraphFont"/>
    <w:rsid w:val="00E85258"/>
    <w:rPr>
      <w:b/>
      <w:spacing w:val="0"/>
    </w:rPr>
  </w:style>
  <w:style w:type="paragraph" w:styleId="ListBullet2">
    <w:name w:val="List Bullet 2"/>
    <w:basedOn w:val="List2"/>
    <w:rsid w:val="00E85258"/>
    <w:pPr>
      <w:numPr>
        <w:numId w:val="15"/>
      </w:numPr>
      <w:tabs>
        <w:tab w:val="clear" w:pos="680"/>
      </w:tabs>
    </w:pPr>
  </w:style>
  <w:style w:type="paragraph" w:customStyle="1" w:styleId="SuperHeading">
    <w:name w:val="SuperHeading"/>
    <w:basedOn w:val="Normal"/>
    <w:rsid w:val="00E85258"/>
    <w:pPr>
      <w:spacing w:before="240" w:after="120"/>
      <w:outlineLvl w:val="0"/>
    </w:pPr>
    <w:rPr>
      <w:rFonts w:ascii="Times New Roman" w:hAnsi="Times New Roman"/>
      <w:b/>
      <w:sz w:val="32"/>
    </w:rPr>
  </w:style>
  <w:style w:type="paragraph" w:customStyle="1" w:styleId="AllowPageBreak">
    <w:name w:val="AllowPageBreak"/>
    <w:rsid w:val="00E8525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85258"/>
    <w:pPr>
      <w:numPr>
        <w:numId w:val="3"/>
      </w:numPr>
      <w:tabs>
        <w:tab w:val="clear" w:pos="1021"/>
      </w:tabs>
      <w:ind w:left="1037" w:hanging="357"/>
    </w:pPr>
  </w:style>
  <w:style w:type="character" w:customStyle="1" w:styleId="Heading2Char">
    <w:name w:val="Heading 2 Char"/>
    <w:basedOn w:val="DefaultParagraphFont"/>
    <w:link w:val="Heading2"/>
    <w:rsid w:val="00E852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52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52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52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52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52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52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5258"/>
    <w:rPr>
      <w:rFonts w:ascii="Courier New" w:eastAsia="Times New Roman" w:hAnsi="Courier New" w:cs="Times New Roman"/>
      <w:i/>
      <w:szCs w:val="20"/>
      <w:lang w:eastAsia="en-US"/>
    </w:rPr>
  </w:style>
  <w:style w:type="paragraph" w:customStyle="1" w:styleId="HeadingBase">
    <w:name w:val="Heading Base"/>
    <w:rsid w:val="00E852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5258"/>
    <w:pPr>
      <w:tabs>
        <w:tab w:val="right" w:leader="dot" w:pos="9072"/>
      </w:tabs>
      <w:ind w:left="567"/>
    </w:pPr>
    <w:rPr>
      <w:szCs w:val="22"/>
    </w:rPr>
  </w:style>
  <w:style w:type="paragraph" w:customStyle="1" w:styleId="TOCBase">
    <w:name w:val="TOC Base"/>
    <w:rsid w:val="00E852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5258"/>
    <w:pPr>
      <w:tabs>
        <w:tab w:val="right" w:leader="dot" w:pos="9072"/>
      </w:tabs>
      <w:spacing w:before="40" w:after="40"/>
      <w:ind w:left="284"/>
    </w:pPr>
    <w:rPr>
      <w:rFonts w:ascii="Times New Roman" w:hAnsi="Times New Roman"/>
    </w:rPr>
  </w:style>
  <w:style w:type="paragraph" w:styleId="TOC1">
    <w:name w:val="toc 1"/>
    <w:basedOn w:val="TOCBase"/>
    <w:next w:val="Normal"/>
    <w:rsid w:val="00E852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52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5258"/>
    <w:rPr>
      <w:rFonts w:ascii="Times New Roman" w:eastAsia="Times New Roman" w:hAnsi="Times New Roman" w:cs="Times New Roman"/>
      <w:sz w:val="16"/>
      <w:lang w:eastAsia="en-US"/>
    </w:rPr>
  </w:style>
  <w:style w:type="paragraph" w:styleId="Title">
    <w:name w:val="Title"/>
    <w:basedOn w:val="HeadingBase"/>
    <w:link w:val="TitleChar"/>
    <w:qFormat/>
    <w:rsid w:val="00E85258"/>
    <w:pPr>
      <w:spacing w:before="5040"/>
      <w:jc w:val="center"/>
    </w:pPr>
    <w:rPr>
      <w:sz w:val="48"/>
      <w:szCs w:val="72"/>
      <w:lang w:val="en-US"/>
    </w:rPr>
  </w:style>
  <w:style w:type="character" w:customStyle="1" w:styleId="TitleChar">
    <w:name w:val="Title Char"/>
    <w:basedOn w:val="DefaultParagraphFont"/>
    <w:link w:val="Title"/>
    <w:rsid w:val="00E852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5258"/>
    <w:pPr>
      <w:tabs>
        <w:tab w:val="left" w:pos="3600"/>
        <w:tab w:val="left" w:pos="3958"/>
      </w:tabs>
    </w:pPr>
  </w:style>
  <w:style w:type="paragraph" w:styleId="List">
    <w:name w:val="List"/>
    <w:basedOn w:val="BodyText"/>
    <w:next w:val="BodyText"/>
    <w:rsid w:val="00E85258"/>
    <w:pPr>
      <w:tabs>
        <w:tab w:val="left" w:pos="340"/>
      </w:tabs>
      <w:spacing w:before="60" w:after="60"/>
      <w:ind w:left="340" w:hanging="340"/>
    </w:pPr>
  </w:style>
  <w:style w:type="paragraph" w:customStyle="1" w:styleId="Note">
    <w:name w:val="Note"/>
    <w:basedOn w:val="BodyText"/>
    <w:rsid w:val="00E852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5258"/>
    <w:pPr>
      <w:framePr w:wrap="auto" w:hAnchor="text" w:y="6049"/>
    </w:pPr>
    <w:rPr>
      <w:color w:val="000000"/>
      <w:sz w:val="40"/>
    </w:rPr>
  </w:style>
  <w:style w:type="paragraph" w:customStyle="1" w:styleId="TOCTitle">
    <w:name w:val="TOCTitle"/>
    <w:basedOn w:val="Heading1"/>
    <w:rsid w:val="00E85258"/>
    <w:pPr>
      <w:spacing w:after="240"/>
      <w:jc w:val="center"/>
      <w:outlineLvl w:val="9"/>
    </w:pPr>
    <w:rPr>
      <w:caps/>
    </w:rPr>
  </w:style>
  <w:style w:type="paragraph" w:customStyle="1" w:styleId="Version">
    <w:name w:val="Version"/>
    <w:rsid w:val="00E852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5258"/>
    <w:pPr>
      <w:keepNext w:val="0"/>
      <w:tabs>
        <w:tab w:val="right" w:pos="4176"/>
      </w:tabs>
      <w:ind w:left="198" w:hanging="198"/>
    </w:pPr>
    <w:rPr>
      <w:rFonts w:ascii="Garamond" w:hAnsi="Garamond"/>
    </w:rPr>
  </w:style>
  <w:style w:type="paragraph" w:styleId="IndexHeading">
    <w:name w:val="index heading"/>
    <w:basedOn w:val="Normal"/>
    <w:next w:val="Index1"/>
    <w:semiHidden/>
    <w:rsid w:val="00E85258"/>
    <w:pPr>
      <w:spacing w:before="120" w:after="120"/>
    </w:pPr>
    <w:rPr>
      <w:rFonts w:ascii="Arial" w:hAnsi="Arial"/>
      <w:b/>
      <w:color w:val="918585"/>
      <w:sz w:val="24"/>
    </w:rPr>
  </w:style>
  <w:style w:type="paragraph" w:styleId="Header">
    <w:name w:val="header"/>
    <w:basedOn w:val="Normal"/>
    <w:link w:val="HeaderChar"/>
    <w:rsid w:val="00E852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5258"/>
    <w:rPr>
      <w:rFonts w:ascii="Times New Roman" w:eastAsia="Times New Roman" w:hAnsi="Times New Roman" w:cs="Times New Roman"/>
      <w:sz w:val="16"/>
      <w:szCs w:val="20"/>
      <w:lang w:val="en-GB" w:eastAsia="en-US"/>
    </w:rPr>
  </w:style>
  <w:style w:type="paragraph" w:customStyle="1" w:styleId="Chapter">
    <w:name w:val="Chapter"/>
    <w:basedOn w:val="Normal"/>
    <w:rsid w:val="00E85258"/>
    <w:pPr>
      <w:spacing w:before="240"/>
    </w:pPr>
    <w:rPr>
      <w:rFonts w:ascii="Times New Roman" w:hAnsi="Times New Roman"/>
      <w:smallCaps/>
      <w:spacing w:val="80"/>
      <w:sz w:val="28"/>
    </w:rPr>
  </w:style>
  <w:style w:type="paragraph" w:customStyle="1" w:styleId="InChapter">
    <w:name w:val="InChapter"/>
    <w:basedOn w:val="Heading3"/>
    <w:rsid w:val="00E85258"/>
    <w:pPr>
      <w:spacing w:after="240"/>
      <w:outlineLvl w:val="9"/>
    </w:pPr>
    <w:rPr>
      <w:noProof/>
    </w:rPr>
  </w:style>
  <w:style w:type="paragraph" w:styleId="Index2">
    <w:name w:val="index 2"/>
    <w:basedOn w:val="Normal"/>
    <w:next w:val="Normal"/>
    <w:semiHidden/>
    <w:rsid w:val="00E85258"/>
    <w:pPr>
      <w:tabs>
        <w:tab w:val="right" w:pos="4176"/>
      </w:tabs>
      <w:ind w:left="568" w:hanging="284"/>
    </w:pPr>
    <w:rPr>
      <w:rFonts w:ascii="Garamond" w:hAnsi="Garamond"/>
    </w:rPr>
  </w:style>
  <w:style w:type="paragraph" w:customStyle="1" w:styleId="Byline">
    <w:name w:val="Byline"/>
    <w:rsid w:val="00E852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5258"/>
    <w:pPr>
      <w:tabs>
        <w:tab w:val="clear" w:pos="3600"/>
        <w:tab w:val="clear" w:pos="3958"/>
      </w:tabs>
      <w:jc w:val="right"/>
    </w:pPr>
  </w:style>
  <w:style w:type="character" w:styleId="Emphasis">
    <w:name w:val="Emphasis"/>
    <w:basedOn w:val="DefaultParagraphFont"/>
    <w:qFormat/>
    <w:rsid w:val="00E85258"/>
    <w:rPr>
      <w:i/>
    </w:rPr>
  </w:style>
  <w:style w:type="paragraph" w:styleId="Caption">
    <w:name w:val="caption"/>
    <w:basedOn w:val="BodyText"/>
    <w:next w:val="Normal"/>
    <w:qFormat/>
    <w:rsid w:val="00E85258"/>
    <w:pPr>
      <w:framePr w:w="2268" w:hSpace="181" w:vSpace="181" w:wrap="around" w:vAnchor="text" w:hAnchor="page" w:x="1135" w:y="285" w:anchorLock="1"/>
    </w:pPr>
    <w:rPr>
      <w:i/>
    </w:rPr>
  </w:style>
  <w:style w:type="paragraph" w:customStyle="1" w:styleId="MiniTOCTitle">
    <w:name w:val="MiniTOCTitle"/>
    <w:basedOn w:val="Heading4"/>
    <w:rsid w:val="00E85258"/>
    <w:pPr>
      <w:spacing w:before="240"/>
      <w:outlineLvl w:val="9"/>
    </w:pPr>
    <w:rPr>
      <w:noProof/>
      <w:sz w:val="24"/>
    </w:rPr>
  </w:style>
  <w:style w:type="paragraph" w:customStyle="1" w:styleId="MiniTOCItem">
    <w:name w:val="MiniTOCItem"/>
    <w:basedOn w:val="ListBullet"/>
    <w:rsid w:val="00E85258"/>
    <w:pPr>
      <w:numPr>
        <w:numId w:val="0"/>
      </w:numPr>
      <w:tabs>
        <w:tab w:val="right" w:leader="dot" w:pos="6521"/>
      </w:tabs>
      <w:spacing w:before="0" w:after="0"/>
    </w:pPr>
  </w:style>
  <w:style w:type="paragraph" w:customStyle="1" w:styleId="TOFTitle">
    <w:name w:val="TOFTitle"/>
    <w:basedOn w:val="TOCTitle"/>
    <w:rsid w:val="00E85258"/>
  </w:style>
  <w:style w:type="paragraph" w:styleId="TableofFigures">
    <w:name w:val="table of figures"/>
    <w:basedOn w:val="Normal"/>
    <w:next w:val="Normal"/>
    <w:semiHidden/>
    <w:rsid w:val="00E85258"/>
    <w:pPr>
      <w:tabs>
        <w:tab w:val="right" w:leader="dot" w:pos="9072"/>
      </w:tabs>
      <w:ind w:left="970" w:hanging="403"/>
    </w:pPr>
    <w:rPr>
      <w:rFonts w:ascii="Times New Roman" w:hAnsi="Times New Roman"/>
      <w:b/>
    </w:rPr>
  </w:style>
  <w:style w:type="paragraph" w:styleId="ListNumber">
    <w:name w:val="List Number"/>
    <w:basedOn w:val="List"/>
    <w:rsid w:val="00E85258"/>
    <w:pPr>
      <w:numPr>
        <w:numId w:val="12"/>
      </w:numPr>
    </w:pPr>
  </w:style>
  <w:style w:type="character" w:customStyle="1" w:styleId="WingdingSymbols">
    <w:name w:val="Wingding Symbols"/>
    <w:rsid w:val="00E85258"/>
    <w:rPr>
      <w:rFonts w:ascii="Wingdings" w:hAnsi="Wingdings"/>
    </w:rPr>
  </w:style>
  <w:style w:type="paragraph" w:customStyle="1" w:styleId="TableHeading">
    <w:name w:val="Table Heading"/>
    <w:basedOn w:val="HeadingBase"/>
    <w:rsid w:val="00E85258"/>
    <w:pPr>
      <w:keepLines/>
      <w:pBdr>
        <w:bottom w:val="single" w:sz="6" w:space="1" w:color="918585"/>
      </w:pBdr>
      <w:spacing w:before="240"/>
    </w:pPr>
  </w:style>
  <w:style w:type="character" w:customStyle="1" w:styleId="HotSpot">
    <w:name w:val="HotSpot"/>
    <w:rsid w:val="00E85258"/>
    <w:rPr>
      <w:color w:val="0033CC"/>
      <w:u w:val="none"/>
    </w:rPr>
  </w:style>
  <w:style w:type="paragraph" w:customStyle="1" w:styleId="BodyTextRight">
    <w:name w:val="Body Text Right"/>
    <w:basedOn w:val="BodyText"/>
    <w:rsid w:val="00E85258"/>
    <w:pPr>
      <w:spacing w:before="0" w:after="0"/>
      <w:jc w:val="right"/>
    </w:pPr>
  </w:style>
  <w:style w:type="paragraph" w:styleId="Index3">
    <w:name w:val="index 3"/>
    <w:basedOn w:val="ListNumber2"/>
    <w:next w:val="Normal"/>
    <w:semiHidden/>
    <w:rsid w:val="00E85258"/>
    <w:pPr>
      <w:numPr>
        <w:numId w:val="0"/>
      </w:numPr>
      <w:tabs>
        <w:tab w:val="right" w:leader="dot" w:pos="4176"/>
      </w:tabs>
    </w:pPr>
  </w:style>
  <w:style w:type="paragraph" w:styleId="ListNumber2">
    <w:name w:val="List Number 2"/>
    <w:basedOn w:val="List2"/>
    <w:rsid w:val="00E85258"/>
    <w:pPr>
      <w:numPr>
        <w:numId w:val="11"/>
      </w:numPr>
      <w:tabs>
        <w:tab w:val="clear" w:pos="1060"/>
      </w:tabs>
    </w:pPr>
  </w:style>
  <w:style w:type="paragraph" w:customStyle="1" w:styleId="MarginNote">
    <w:name w:val="Margin Note"/>
    <w:basedOn w:val="BodyText"/>
    <w:rsid w:val="00E852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52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52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5258"/>
    <w:rPr>
      <w:sz w:val="32"/>
    </w:rPr>
  </w:style>
  <w:style w:type="paragraph" w:customStyle="1" w:styleId="HeadingProcedure">
    <w:name w:val="Heading Procedure"/>
    <w:basedOn w:val="HeadingBase"/>
    <w:next w:val="Normal"/>
    <w:rsid w:val="00E85258"/>
    <w:pPr>
      <w:tabs>
        <w:tab w:val="left" w:pos="0"/>
      </w:tabs>
      <w:spacing w:before="120" w:after="60"/>
    </w:pPr>
    <w:rPr>
      <w:i/>
      <w:color w:val="918585"/>
      <w:sz w:val="22"/>
    </w:rPr>
  </w:style>
  <w:style w:type="paragraph" w:customStyle="1" w:styleId="TableBodyText">
    <w:name w:val="Table Body Text"/>
    <w:basedOn w:val="BodyText"/>
    <w:rsid w:val="00E85258"/>
    <w:pPr>
      <w:spacing w:before="60" w:after="60"/>
    </w:pPr>
  </w:style>
  <w:style w:type="paragraph" w:styleId="ListContinue">
    <w:name w:val="List Continue"/>
    <w:basedOn w:val="List"/>
    <w:rsid w:val="00E85258"/>
    <w:pPr>
      <w:ind w:firstLine="0"/>
    </w:pPr>
  </w:style>
  <w:style w:type="paragraph" w:customStyle="1" w:styleId="ListNote">
    <w:name w:val="List Note"/>
    <w:basedOn w:val="List"/>
    <w:rsid w:val="00E85258"/>
    <w:pPr>
      <w:pBdr>
        <w:top w:val="single" w:sz="6" w:space="2" w:color="918585"/>
        <w:bottom w:val="single" w:sz="6" w:space="2" w:color="918585"/>
      </w:pBdr>
      <w:tabs>
        <w:tab w:val="left" w:pos="1021"/>
      </w:tabs>
      <w:ind w:firstLine="0"/>
    </w:pPr>
  </w:style>
  <w:style w:type="paragraph" w:customStyle="1" w:styleId="Warning">
    <w:name w:val="Warning"/>
    <w:basedOn w:val="BodyText"/>
    <w:rsid w:val="00E85258"/>
    <w:pPr>
      <w:shd w:val="clear" w:color="auto" w:fill="D9D9D9"/>
      <w:tabs>
        <w:tab w:val="left" w:pos="992"/>
      </w:tabs>
      <w:ind w:left="119" w:right="119"/>
    </w:pPr>
    <w:rPr>
      <w:sz w:val="20"/>
    </w:rPr>
  </w:style>
  <w:style w:type="paragraph" w:customStyle="1" w:styleId="MarginIcons">
    <w:name w:val="Margin Icons"/>
    <w:basedOn w:val="BodyText"/>
    <w:rsid w:val="00E852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5258"/>
    <w:rPr>
      <w:rFonts w:ascii="Courier New" w:hAnsi="Courier New"/>
    </w:rPr>
  </w:style>
  <w:style w:type="paragraph" w:customStyle="1" w:styleId="NoteBullet">
    <w:name w:val="Note Bullet"/>
    <w:basedOn w:val="Note"/>
    <w:rsid w:val="00E85258"/>
    <w:pPr>
      <w:tabs>
        <w:tab w:val="clear" w:pos="680"/>
      </w:tabs>
      <w:spacing w:before="60" w:after="60"/>
    </w:pPr>
  </w:style>
  <w:style w:type="paragraph" w:customStyle="1" w:styleId="SubHeading2">
    <w:name w:val="SubHeading2"/>
    <w:basedOn w:val="HeadingBase"/>
    <w:rsid w:val="00E85258"/>
    <w:pPr>
      <w:spacing w:before="240" w:after="60"/>
    </w:pPr>
    <w:rPr>
      <w:sz w:val="20"/>
    </w:rPr>
  </w:style>
  <w:style w:type="paragraph" w:customStyle="1" w:styleId="SubHeading1">
    <w:name w:val="SubHeading1"/>
    <w:basedOn w:val="HeadingBase"/>
    <w:rsid w:val="00E85258"/>
    <w:pPr>
      <w:spacing w:before="240" w:after="60"/>
    </w:pPr>
    <w:rPr>
      <w:color w:val="918585"/>
      <w:sz w:val="22"/>
    </w:rPr>
  </w:style>
  <w:style w:type="paragraph" w:customStyle="1" w:styleId="SideHeading">
    <w:name w:val="Side Heading"/>
    <w:basedOn w:val="HeadingBase"/>
    <w:rsid w:val="00E852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5258"/>
    <w:pPr>
      <w:numPr>
        <w:numId w:val="13"/>
      </w:numPr>
    </w:pPr>
  </w:style>
  <w:style w:type="paragraph" w:styleId="PlainText">
    <w:name w:val="Plain Text"/>
    <w:basedOn w:val="Normal"/>
    <w:link w:val="PlainTextChar"/>
    <w:rsid w:val="00E85258"/>
    <w:rPr>
      <w:sz w:val="20"/>
    </w:rPr>
  </w:style>
  <w:style w:type="character" w:customStyle="1" w:styleId="PlainTextChar">
    <w:name w:val="Plain Text Char"/>
    <w:basedOn w:val="DefaultParagraphFont"/>
    <w:link w:val="PlainText"/>
    <w:rsid w:val="00E85258"/>
    <w:rPr>
      <w:rFonts w:ascii="Courier New" w:eastAsia="Times New Roman" w:hAnsi="Courier New" w:cs="Times New Roman"/>
      <w:sz w:val="20"/>
      <w:szCs w:val="20"/>
      <w:lang w:eastAsia="en-US"/>
    </w:rPr>
  </w:style>
  <w:style w:type="character" w:customStyle="1" w:styleId="MenuOption">
    <w:name w:val="Menu Option"/>
    <w:basedOn w:val="DefaultParagraphFont"/>
    <w:rsid w:val="00E85258"/>
    <w:rPr>
      <w:b/>
      <w:smallCaps/>
    </w:rPr>
  </w:style>
  <w:style w:type="paragraph" w:customStyle="1" w:styleId="TableListNumber">
    <w:name w:val="Table List Number"/>
    <w:basedOn w:val="ListNumber"/>
    <w:rsid w:val="00E85258"/>
    <w:pPr>
      <w:numPr>
        <w:numId w:val="0"/>
      </w:numPr>
    </w:pPr>
  </w:style>
  <w:style w:type="paragraph" w:styleId="TOC4">
    <w:name w:val="toc 4"/>
    <w:basedOn w:val="TOCBase"/>
    <w:next w:val="Normal"/>
    <w:semiHidden/>
    <w:rsid w:val="00E85258"/>
    <w:pPr>
      <w:tabs>
        <w:tab w:val="right" w:leader="dot" w:pos="9071"/>
      </w:tabs>
      <w:ind w:left="1701"/>
    </w:pPr>
  </w:style>
  <w:style w:type="paragraph" w:customStyle="1" w:styleId="ListAlpha">
    <w:name w:val="List Alpha"/>
    <w:basedOn w:val="List"/>
    <w:rsid w:val="00E85258"/>
    <w:pPr>
      <w:numPr>
        <w:numId w:val="10"/>
      </w:numPr>
    </w:pPr>
  </w:style>
  <w:style w:type="paragraph" w:customStyle="1" w:styleId="ListAlpha2">
    <w:name w:val="List Alpha 2"/>
    <w:basedOn w:val="List2"/>
    <w:rsid w:val="00E85258"/>
    <w:pPr>
      <w:numPr>
        <w:numId w:val="9"/>
      </w:numPr>
    </w:pPr>
  </w:style>
  <w:style w:type="paragraph" w:styleId="List2">
    <w:name w:val="List 2"/>
    <w:basedOn w:val="BodyText"/>
    <w:rsid w:val="00E85258"/>
    <w:pPr>
      <w:tabs>
        <w:tab w:val="left" w:pos="680"/>
      </w:tabs>
      <w:spacing w:before="60" w:after="60"/>
      <w:ind w:left="680" w:hanging="340"/>
    </w:pPr>
  </w:style>
  <w:style w:type="paragraph" w:styleId="List3">
    <w:name w:val="List 3"/>
    <w:basedOn w:val="BodyText"/>
    <w:rsid w:val="00E85258"/>
    <w:pPr>
      <w:tabs>
        <w:tab w:val="left" w:pos="1021"/>
      </w:tabs>
      <w:spacing w:before="60" w:after="60"/>
      <w:ind w:left="1020" w:hanging="340"/>
    </w:pPr>
  </w:style>
  <w:style w:type="paragraph" w:styleId="List4">
    <w:name w:val="List 4"/>
    <w:basedOn w:val="BodyText"/>
    <w:rsid w:val="00E85258"/>
    <w:pPr>
      <w:tabs>
        <w:tab w:val="left" w:pos="1361"/>
      </w:tabs>
      <w:spacing w:before="60" w:after="60"/>
      <w:ind w:left="1361" w:hanging="340"/>
    </w:pPr>
  </w:style>
  <w:style w:type="paragraph" w:styleId="List5">
    <w:name w:val="List 5"/>
    <w:basedOn w:val="BodyText"/>
    <w:rsid w:val="00E85258"/>
    <w:pPr>
      <w:tabs>
        <w:tab w:val="left" w:pos="1701"/>
      </w:tabs>
      <w:spacing w:before="60" w:after="60"/>
      <w:ind w:left="1701" w:hanging="340"/>
    </w:pPr>
  </w:style>
  <w:style w:type="paragraph" w:styleId="ListBullet4">
    <w:name w:val="List Bullet 4"/>
    <w:basedOn w:val="List4"/>
    <w:rsid w:val="00E85258"/>
    <w:pPr>
      <w:numPr>
        <w:numId w:val="4"/>
      </w:numPr>
    </w:pPr>
  </w:style>
  <w:style w:type="paragraph" w:styleId="ListBullet5">
    <w:name w:val="List Bullet 5"/>
    <w:basedOn w:val="List5"/>
    <w:rsid w:val="00E85258"/>
    <w:pPr>
      <w:numPr>
        <w:numId w:val="5"/>
      </w:numPr>
    </w:pPr>
  </w:style>
  <w:style w:type="paragraph" w:styleId="ListContinue2">
    <w:name w:val="List Continue 2"/>
    <w:basedOn w:val="List2"/>
    <w:rsid w:val="00E85258"/>
    <w:pPr>
      <w:ind w:firstLine="0"/>
    </w:pPr>
  </w:style>
  <w:style w:type="paragraph" w:styleId="ListContinue3">
    <w:name w:val="List Continue 3"/>
    <w:basedOn w:val="List3"/>
    <w:rsid w:val="00E85258"/>
    <w:pPr>
      <w:ind w:left="1021" w:firstLine="0"/>
    </w:pPr>
  </w:style>
  <w:style w:type="paragraph" w:styleId="ListContinue4">
    <w:name w:val="List Continue 4"/>
    <w:basedOn w:val="List4"/>
    <w:rsid w:val="00E85258"/>
    <w:pPr>
      <w:ind w:firstLine="0"/>
    </w:pPr>
  </w:style>
  <w:style w:type="paragraph" w:styleId="ListContinue5">
    <w:name w:val="List Continue 5"/>
    <w:basedOn w:val="List5"/>
    <w:rsid w:val="00E85258"/>
    <w:pPr>
      <w:ind w:firstLine="0"/>
    </w:pPr>
  </w:style>
  <w:style w:type="paragraph" w:styleId="ListNumber3">
    <w:name w:val="List Number 3"/>
    <w:basedOn w:val="List3"/>
    <w:rsid w:val="00E85258"/>
    <w:pPr>
      <w:numPr>
        <w:numId w:val="6"/>
      </w:numPr>
    </w:pPr>
  </w:style>
  <w:style w:type="paragraph" w:styleId="ListNumber4">
    <w:name w:val="List Number 4"/>
    <w:basedOn w:val="List4"/>
    <w:rsid w:val="00E85258"/>
    <w:pPr>
      <w:numPr>
        <w:numId w:val="7"/>
      </w:numPr>
    </w:pPr>
  </w:style>
  <w:style w:type="paragraph" w:styleId="ListNumber5">
    <w:name w:val="List Number 5"/>
    <w:basedOn w:val="List5"/>
    <w:rsid w:val="00E85258"/>
    <w:pPr>
      <w:numPr>
        <w:numId w:val="8"/>
      </w:numPr>
    </w:pPr>
  </w:style>
  <w:style w:type="paragraph" w:styleId="BlockText">
    <w:name w:val="Block Text"/>
    <w:basedOn w:val="Normal"/>
    <w:rsid w:val="00E85258"/>
    <w:pPr>
      <w:spacing w:after="120"/>
      <w:ind w:left="1440" w:right="1440"/>
    </w:pPr>
  </w:style>
  <w:style w:type="character" w:customStyle="1" w:styleId="Subscript">
    <w:name w:val="Subscript"/>
    <w:basedOn w:val="DefaultParagraphFont"/>
    <w:rsid w:val="00E85258"/>
    <w:rPr>
      <w:sz w:val="16"/>
      <w:vertAlign w:val="subscript"/>
    </w:rPr>
  </w:style>
  <w:style w:type="character" w:customStyle="1" w:styleId="Superscript">
    <w:name w:val="Superscript"/>
    <w:basedOn w:val="DefaultParagraphFont"/>
    <w:rsid w:val="00E85258"/>
    <w:rPr>
      <w:sz w:val="16"/>
      <w:vertAlign w:val="superscript"/>
    </w:rPr>
  </w:style>
  <w:style w:type="character" w:customStyle="1" w:styleId="Symbols">
    <w:name w:val="Symbols"/>
    <w:basedOn w:val="DefaultParagraphFont"/>
    <w:rsid w:val="00E85258"/>
    <w:rPr>
      <w:rFonts w:ascii="Symbol" w:hAnsi="Symbol"/>
    </w:rPr>
  </w:style>
  <w:style w:type="character" w:customStyle="1" w:styleId="MenuOptions">
    <w:name w:val="Menu Options"/>
    <w:basedOn w:val="DefaultParagraphFont"/>
    <w:rsid w:val="00E85258"/>
    <w:rPr>
      <w:rFonts w:ascii="Arial Narrow" w:hAnsi="Arial Narrow"/>
      <w:smallCaps/>
    </w:rPr>
  </w:style>
  <w:style w:type="character" w:customStyle="1" w:styleId="Buttons">
    <w:name w:val="Buttons"/>
    <w:basedOn w:val="DefaultParagraphFont"/>
    <w:rsid w:val="00E85258"/>
    <w:rPr>
      <w:b/>
    </w:rPr>
  </w:style>
  <w:style w:type="character" w:customStyle="1" w:styleId="Underlined">
    <w:name w:val="Underlined"/>
    <w:basedOn w:val="DefaultParagraphFont"/>
    <w:rsid w:val="00E85258"/>
    <w:rPr>
      <w:u w:val="single"/>
    </w:rPr>
  </w:style>
  <w:style w:type="paragraph" w:customStyle="1" w:styleId="TableBodyTextRight">
    <w:name w:val="Table Body Text Right"/>
    <w:basedOn w:val="TableBodyText"/>
    <w:rsid w:val="00E85258"/>
    <w:pPr>
      <w:widowControl w:val="0"/>
      <w:autoSpaceDE w:val="0"/>
      <w:autoSpaceDN w:val="0"/>
      <w:adjustRightInd w:val="0"/>
      <w:jc w:val="right"/>
    </w:pPr>
    <w:rPr>
      <w:rFonts w:cs="Arial"/>
      <w:szCs w:val="18"/>
    </w:rPr>
  </w:style>
  <w:style w:type="paragraph" w:customStyle="1" w:styleId="CopyrightText">
    <w:name w:val="Copyright Text"/>
    <w:basedOn w:val="BodyText"/>
    <w:rsid w:val="00E85258"/>
    <w:rPr>
      <w:sz w:val="18"/>
    </w:rPr>
  </w:style>
  <w:style w:type="paragraph" w:customStyle="1" w:styleId="BodySmallRight">
    <w:name w:val="Body Small Right"/>
    <w:basedOn w:val="BodyTextRight"/>
    <w:rsid w:val="00E85258"/>
    <w:rPr>
      <w:sz w:val="18"/>
      <w:szCs w:val="18"/>
    </w:rPr>
  </w:style>
  <w:style w:type="paragraph" w:customStyle="1" w:styleId="MarginEdition">
    <w:name w:val="Margin Edition"/>
    <w:basedOn w:val="MarginNote"/>
    <w:rsid w:val="00E85258"/>
    <w:pPr>
      <w:spacing w:before="0" w:after="0"/>
    </w:pPr>
    <w:rPr>
      <w:rFonts w:ascii="Times New Roman" w:hAnsi="Times New Roman"/>
      <w:color w:val="999999"/>
    </w:rPr>
  </w:style>
  <w:style w:type="paragraph" w:customStyle="1" w:styleId="Spacer">
    <w:name w:val="Spacer"/>
    <w:basedOn w:val="Normal"/>
    <w:rsid w:val="00E85258"/>
    <w:rPr>
      <w:sz w:val="2"/>
      <w:szCs w:val="2"/>
    </w:rPr>
  </w:style>
  <w:style w:type="character" w:customStyle="1" w:styleId="Small">
    <w:name w:val="Small"/>
    <w:basedOn w:val="DefaultParagraphFont"/>
    <w:rsid w:val="00E85258"/>
    <w:rPr>
      <w:sz w:val="16"/>
    </w:rPr>
  </w:style>
  <w:style w:type="paragraph" w:customStyle="1" w:styleId="WideTable">
    <w:name w:val="Wide Table"/>
    <w:basedOn w:val="Normal"/>
    <w:rsid w:val="00E85258"/>
    <w:pPr>
      <w:ind w:left="-1418"/>
    </w:pPr>
    <w:rPr>
      <w:sz w:val="2"/>
      <w:szCs w:val="2"/>
    </w:rPr>
  </w:style>
  <w:style w:type="character" w:styleId="PageNumber">
    <w:name w:val="page number"/>
    <w:basedOn w:val="DefaultParagraphFont"/>
    <w:rsid w:val="00E85258"/>
  </w:style>
  <w:style w:type="paragraph" w:styleId="Quote">
    <w:name w:val="Quote"/>
    <w:basedOn w:val="Heading1"/>
    <w:link w:val="QuoteChar"/>
    <w:qFormat/>
    <w:rsid w:val="00E85258"/>
    <w:rPr>
      <w:b w:val="0"/>
      <w:sz w:val="72"/>
      <w:szCs w:val="72"/>
      <w:lang w:val="en-NZ"/>
    </w:rPr>
  </w:style>
  <w:style w:type="character" w:customStyle="1" w:styleId="QuoteChar">
    <w:name w:val="Quote Char"/>
    <w:basedOn w:val="DefaultParagraphFont"/>
    <w:link w:val="Quote"/>
    <w:rsid w:val="00E852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5258"/>
    <w:pPr>
      <w:pageBreakBefore/>
    </w:pPr>
  </w:style>
  <w:style w:type="paragraph" w:customStyle="1" w:styleId="Border">
    <w:name w:val="Border"/>
    <w:basedOn w:val="Normal"/>
    <w:qFormat/>
    <w:rsid w:val="00E852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5258"/>
    <w:rPr>
      <w:b/>
      <w:bCs/>
      <w:i/>
      <w:iCs/>
      <w:color w:val="auto"/>
    </w:rPr>
  </w:style>
  <w:style w:type="paragraph" w:styleId="IntenseQuote">
    <w:name w:val="Intense Quote"/>
    <w:basedOn w:val="Normal"/>
    <w:next w:val="Normal"/>
    <w:link w:val="IntenseQuoteChar"/>
    <w:uiPriority w:val="30"/>
    <w:qFormat/>
    <w:rsid w:val="00E852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52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5258"/>
    <w:rPr>
      <w:smallCaps/>
      <w:color w:val="auto"/>
      <w:u w:val="single"/>
    </w:rPr>
  </w:style>
  <w:style w:type="character" w:styleId="IntenseReference">
    <w:name w:val="Intense Reference"/>
    <w:basedOn w:val="DefaultParagraphFont"/>
    <w:uiPriority w:val="32"/>
    <w:qFormat/>
    <w:rsid w:val="00E85258"/>
    <w:rPr>
      <w:b/>
      <w:bCs/>
      <w:smallCaps/>
      <w:color w:val="auto"/>
      <w:spacing w:val="5"/>
      <w:u w:val="single"/>
    </w:rPr>
  </w:style>
  <w:style w:type="paragraph" w:customStyle="1" w:styleId="2ColumnHeading">
    <w:name w:val="2Column Heading"/>
    <w:basedOn w:val="BodyText"/>
    <w:qFormat/>
    <w:rsid w:val="00E85258"/>
    <w:pPr>
      <w:spacing w:after="60"/>
      <w:ind w:left="-2268"/>
    </w:pPr>
    <w:rPr>
      <w:b/>
    </w:rPr>
  </w:style>
  <w:style w:type="paragraph" w:customStyle="1" w:styleId="Heading1TOC">
    <w:name w:val="Heading1 TOC"/>
    <w:basedOn w:val="Normal"/>
    <w:qFormat/>
    <w:rsid w:val="00E85258"/>
    <w:pPr>
      <w:spacing w:before="240" w:after="120"/>
    </w:pPr>
    <w:rPr>
      <w:rFonts w:ascii="Times New Roman" w:hAnsi="Times New Roman"/>
      <w:b/>
      <w:sz w:val="32"/>
    </w:rPr>
  </w:style>
  <w:style w:type="paragraph" w:customStyle="1" w:styleId="Heading2TOC">
    <w:name w:val="Heading2 TOC"/>
    <w:basedOn w:val="Normal"/>
    <w:qFormat/>
    <w:rsid w:val="00E85258"/>
    <w:pPr>
      <w:spacing w:before="240" w:after="60"/>
    </w:pPr>
    <w:rPr>
      <w:rFonts w:ascii="Times New Roman" w:hAnsi="Times New Roman"/>
      <w:b/>
      <w:sz w:val="28"/>
    </w:rPr>
  </w:style>
  <w:style w:type="character" w:customStyle="1" w:styleId="Underline">
    <w:name w:val="Underline"/>
    <w:basedOn w:val="DefaultParagraphFont"/>
    <w:qFormat/>
    <w:rsid w:val="00E85258"/>
    <w:rPr>
      <w:u w:val="single"/>
    </w:rPr>
  </w:style>
  <w:style w:type="character" w:customStyle="1" w:styleId="BoldandItalics">
    <w:name w:val="Bold and Italics"/>
    <w:qFormat/>
    <w:rsid w:val="00E85258"/>
    <w:rPr>
      <w:b/>
      <w:i/>
      <w:u w:val="none"/>
    </w:rPr>
  </w:style>
  <w:style w:type="paragraph" w:styleId="BalloonText">
    <w:name w:val="Balloon Text"/>
    <w:basedOn w:val="Normal"/>
    <w:link w:val="BalloonTextChar"/>
    <w:rsid w:val="00E85258"/>
    <w:rPr>
      <w:rFonts w:ascii="Tahoma" w:hAnsi="Tahoma" w:cs="Tahoma"/>
      <w:sz w:val="16"/>
      <w:szCs w:val="16"/>
    </w:rPr>
  </w:style>
  <w:style w:type="character" w:customStyle="1" w:styleId="BalloonTextChar">
    <w:name w:val="Balloon Text Char"/>
    <w:basedOn w:val="DefaultParagraphFont"/>
    <w:link w:val="BalloonText"/>
    <w:rsid w:val="00E852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52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52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5258"/>
    <w:rPr>
      <w:b/>
      <w:color w:val="660033"/>
      <w:spacing w:val="0"/>
    </w:rPr>
  </w:style>
  <w:style w:type="paragraph" w:customStyle="1" w:styleId="Nameditemlist">
    <w:name w:val="Named item list"/>
    <w:basedOn w:val="BodyText"/>
    <w:qFormat/>
    <w:rsid w:val="00E852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2192</Words>
  <Characters>13138</Characters>
  <Application>Microsoft Office Word</Application>
  <DocSecurity>0</DocSecurity>
  <Lines>532</Lines>
  <Paragraphs>210</Paragraphs>
  <ScaleCrop>false</ScaleCrop>
  <Company>Author-it Software Corporation Ltd.</Company>
  <LinksUpToDate>false</LinksUpToDate>
  <CharactersWithSpaces>15172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UEENEEK116A Maintain and repair remote area power generation facilities</dc:title>
  <dc:subject>Approved</dc:subject>
  <dc:creator>E-OZ Training Standards</dc:creator>
  <cp:keywords>Release: 3</cp:keywords>
  <dc:description>Review Date: 12 April 2008</dc:description>
  <cp:lastModifiedBy>TPCMS</cp:lastModifiedBy>
  <cp:revision>3</cp:revision>
  <dcterms:created xsi:type="dcterms:W3CDTF">2013-08-14T07:42:00Z</dcterms:created>
  <dcterms:modified xsi:type="dcterms:W3CDTF">2013-08-14T07:42:00Z</dcterms:modified>
</cp:coreProperties>
</file>