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0C4" w:rsidP="003330C4">
      <w:pPr>
        <w:pStyle w:val="Title"/>
      </w:pPr>
      <w:r>
        <w:fldChar w:fldCharType="begin"/>
      </w:r>
      <w:r>
        <w:instrText xml:space="preserve"> TITLE   \* MERGEFORMAT </w:instrText>
      </w:r>
      <w:r>
        <w:fldChar w:fldCharType="separate"/>
      </w:r>
      <w:r>
        <w:t>UEENEEK111A Assemble and connect remote area power supplies</w:t>
      </w:r>
      <w:r>
        <w:fldChar w:fldCharType="end"/>
      </w:r>
    </w:p>
    <w:p w:rsidR="003330C4" w:rsidP="003330C4">
      <w:pPr>
        <w:pStyle w:val="Version"/>
        <w:sectPr w:rsidSect="00EA4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49B4" w:rsidP="00EA49B4">
      <w:pPr>
        <w:pStyle w:val="SuperHeading"/>
      </w:pPr>
      <w:r w:rsidRPr="00EA49B4">
        <w:t>UEENEEK111A Assemble and connect remote area power supplies</w:t>
      </w:r>
    </w:p>
    <w:p w:rsidR="00000000" w:rsidRPr="00EA49B4" w:rsidP="00EA49B4">
      <w:pPr>
        <w:pStyle w:val="Heading1"/>
      </w:pPr>
      <w:bookmarkStart w:id="1" w:name="O_589231"/>
      <w:bookmarkEnd w:id="1"/>
      <w:r w:rsidRPr="00EA49B4">
        <w:t>Modification History</w:t>
      </w:r>
    </w:p>
    <w:p w:rsidR="00000000" w:rsidRPr="00EA49B4" w:rsidP="00EA49B4">
      <w:pPr>
        <w:pStyle w:val="BodyText"/>
      </w:pPr>
      <w:r w:rsidRPr="00EA49B4">
        <w:t>Not applicable.</w:t>
      </w:r>
    </w:p>
    <w:p w:rsidR="00000000" w:rsidRPr="00EA49B4" w:rsidP="00EA49B4">
      <w:pPr>
        <w:pStyle w:val="AllowPageBreak"/>
      </w:pPr>
    </w:p>
    <w:p w:rsidR="00000000" w:rsidRPr="00EA49B4" w:rsidP="00EA49B4">
      <w:pPr>
        <w:pStyle w:val="Heading1"/>
      </w:pPr>
      <w:bookmarkStart w:id="2" w:name="O_589230"/>
      <w:bookmarkEnd w:id="2"/>
      <w:r w:rsidRPr="00EA49B4">
        <w:t>Unit Descriptor</w:t>
      </w:r>
    </w:p>
    <w:tbl>
      <w:tblPr>
        <w:tblW w:w="0" w:type="auto"/>
        <w:tblLayout w:type="fixed"/>
        <w:tblCellMar>
          <w:left w:w="62" w:type="dxa"/>
          <w:right w:w="62" w:type="dxa"/>
        </w:tblCellMar>
        <w:tblLook w:val="0000"/>
      </w:tblPr>
      <w:tblGrid>
        <w:gridCol w:w="2700"/>
        <w:gridCol w:w="5760"/>
      </w:tblGrid>
      <w:tr w:rsidTr="003330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1)</w:t>
            </w:r>
            <w:r w:rsidRPr="00EA49B4">
              <w:t xml:space="preserve"> </w:t>
            </w:r>
            <w:r w:rsidRPr="00EA49B4">
              <w:rPr>
                <w:rStyle w:val="SpecialBold"/>
              </w:rPr>
              <w:t>Scope:</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49B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1.1) Descriptor</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 xml:space="preserve">This unit covers installation of remote area power supply (RAPS) systems where the exposed voltage is not greater than 50 V </w:t>
            </w:r>
            <w:r w:rsidRPr="00EA49B4">
              <w:t>a.c. or 120 V d.c. It encompasses working safely and to installation standards, matching equipment with that specified for a given location, placing and securing equipment accurately, making required circuit connections and completing the necessary install</w:t>
            </w:r>
            <w:r w:rsidRPr="00EA49B4">
              <w:t>ation documentation.</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3" w:name="O_589229"/>
      <w:bookmarkEnd w:id="3"/>
      <w:r w:rsidRPr="00EA49B4">
        <w:t>Application of the Unit</w:t>
      </w:r>
    </w:p>
    <w:tbl>
      <w:tblPr>
        <w:tblW w:w="0" w:type="auto"/>
        <w:tblLayout w:type="fixed"/>
        <w:tblCellMar>
          <w:left w:w="62" w:type="dxa"/>
          <w:right w:w="62" w:type="dxa"/>
        </w:tblCellMar>
        <w:tblLook w:val="0000"/>
      </w:tblPr>
      <w:tblGrid>
        <w:gridCol w:w="2672"/>
        <w:gridCol w:w="5699"/>
      </w:tblGrid>
      <w:tr w:rsidTr="003330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2)</w:t>
            </w:r>
          </w:p>
        </w:tc>
      </w:tr>
      <w:tr w:rsidTr="003330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This unit is intended for competency development entry-level employment-based programs incorporated in approved contracts of training.</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4" w:name="O_589228"/>
      <w:bookmarkEnd w:id="4"/>
      <w:r w:rsidRPr="00EA49B4">
        <w:t>Licensing/Regulatory Information</w:t>
      </w:r>
    </w:p>
    <w:tbl>
      <w:tblPr>
        <w:tblW w:w="0" w:type="auto"/>
        <w:tblLayout w:type="fixed"/>
        <w:tblCellMar>
          <w:left w:w="62" w:type="dxa"/>
          <w:right w:w="62" w:type="dxa"/>
        </w:tblCellMar>
        <w:tblLook w:val="0000"/>
      </w:tblPr>
      <w:tblGrid>
        <w:gridCol w:w="2700"/>
        <w:gridCol w:w="5760"/>
      </w:tblGrid>
      <w:tr w:rsidTr="003330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 xml:space="preserve">3) </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The skills and knowledge described in this unit do not require a license to practice in the workplace. However, practice in this unit is subject to regulations directly related to occupational heal</w:t>
            </w:r>
            <w:r w:rsidRPr="00EA49B4">
              <w:t>th and safety and contracts of training such as new apprenticeships.</w:t>
            </w:r>
          </w:p>
          <w:p w:rsidR="00000000" w:rsidRPr="00EA49B4" w:rsidP="00EA49B4">
            <w:pPr>
              <w:pStyle w:val="BodyText"/>
            </w:pPr>
            <w:r w:rsidRPr="00EA49B4">
              <w:t xml:space="preserve">Note: </w:t>
            </w:r>
          </w:p>
          <w:p w:rsidR="00000000" w:rsidRPr="00EA49B4" w:rsidP="00EA49B4">
            <w:pPr>
              <w:pStyle w:val="BodyText"/>
            </w:pPr>
            <w:r w:rsidRPr="00EA49B4">
              <w:t>1. Compliance with permits may be required in various jurisdictions and typica</w:t>
            </w:r>
            <w:r w:rsidRPr="00EA49B4">
              <w:t>lly relates to the operation of plant, machinery and equipment such as elevating work platforms, powder operated fixing tools, power operated tools, vehicles, road signage and traffic control and lifting equipment. Permits may also be required for some wor</w:t>
            </w:r>
            <w:r w:rsidRPr="00EA49B4">
              <w:t>k environments such as confined spaces, working aloft, near live electrical apparatus and site rehabilitation.</w:t>
            </w:r>
          </w:p>
          <w:p w:rsidR="00000000" w:rsidRPr="00EA49B4" w:rsidP="00EA49B4">
            <w:pPr>
              <w:pStyle w:val="BodyText"/>
            </w:pPr>
            <w:r w:rsidRPr="00EA49B4">
              <w:t xml:space="preserve">2. Compliance may be required in various jurisdictions relating to currency in First Aid, confined space, lifting, risk safety measures etc </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5" w:name="O_589227"/>
      <w:bookmarkEnd w:id="5"/>
      <w:r w:rsidRPr="00EA49B4">
        <w:t>Pre-Requisites</w:t>
      </w:r>
    </w:p>
    <w:tbl>
      <w:tblPr>
        <w:tblW w:w="0" w:type="auto"/>
        <w:tblLayout w:type="fixed"/>
        <w:tblCellMar>
          <w:left w:w="62" w:type="dxa"/>
          <w:right w:w="62" w:type="dxa"/>
        </w:tblCellMar>
        <w:tblLook w:val="0000"/>
      </w:tblPr>
      <w:tblGrid>
        <w:gridCol w:w="2700"/>
        <w:gridCol w:w="1440"/>
        <w:gridCol w:w="4320"/>
      </w:tblGrid>
      <w:tr w:rsidTr="003330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 xml:space="preserve">4) </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4.1)</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Granting competency in this unit shall be made only after competency in the following unit(s) has/have been confirmed.</w:t>
            </w:r>
          </w:p>
        </w:tc>
      </w:tr>
      <w:tr w:rsidTr="003330C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UEENEEE101A</w:t>
            </w:r>
          </w:p>
        </w:tc>
        <w:tc>
          <w:tcPr>
            <w:tcW w:w="432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Apply Occupational Health and Safety regulations, codes and practices in the workplace</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UEENEEE102A</w:t>
            </w:r>
          </w:p>
        </w:tc>
        <w:tc>
          <w:tcPr>
            <w:tcW w:w="432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Fabricate, assemble and dismantle utilities industry components</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UEENEEE107A</w:t>
            </w:r>
          </w:p>
        </w:tc>
        <w:tc>
          <w:tcPr>
            <w:tcW w:w="432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Use drawings, diagrams, schedules, standards, codes and specifications</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UEENEEE108A</w:t>
            </w:r>
          </w:p>
        </w:tc>
        <w:tc>
          <w:tcPr>
            <w:tcW w:w="432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Lay wiring/cabling and terminate accessories for extra-low voltage (ELV) circuits</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And</w:t>
            </w:r>
          </w:p>
        </w:tc>
        <w:tc>
          <w:tcPr>
            <w:tcW w:w="432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UEENEEE131A</w:t>
            </w:r>
          </w:p>
        </w:tc>
        <w:tc>
          <w:tcPr>
            <w:tcW w:w="432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Solve problems in ELV circuits for non electrical workers</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OR</w:t>
            </w:r>
          </w:p>
        </w:tc>
        <w:tc>
          <w:tcPr>
            <w:tcW w:w="432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UEENEEE1</w:t>
            </w:r>
            <w:r w:rsidRPr="00EA49B4">
              <w:t>04A</w:t>
            </w:r>
          </w:p>
        </w:tc>
        <w:tc>
          <w:tcPr>
            <w:tcW w:w="432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 xml:space="preserve">Solve problems in d.c. circuits </w:t>
            </w:r>
          </w:p>
        </w:tc>
      </w:tr>
    </w:tbl>
    <w:p w:rsidR="00000000" w:rsidRPr="00EA49B4" w:rsidP="00EA49B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330C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 xml:space="preserve">4.2) </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Participants are best equipped to achieve competency in this unit if they have reading, writing and numeracy skills indicated by the following scales. Description of each scale is given in Volume 2, Part 3 ‘Literacy and Numeracy’</w:t>
            </w:r>
          </w:p>
        </w:tc>
      </w:tr>
      <w:tr w:rsidTr="003330C4">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Reading</w:t>
            </w:r>
          </w:p>
        </w:tc>
        <w:tc>
          <w:tcPr>
            <w:tcW w:w="81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3</w:t>
            </w:r>
          </w:p>
        </w:tc>
        <w:tc>
          <w:tcPr>
            <w:tcW w:w="99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Writing</w:t>
            </w: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3</w:t>
            </w:r>
          </w:p>
        </w:tc>
        <w:tc>
          <w:tcPr>
            <w:tcW w:w="12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Numeracy</w:t>
            </w:r>
          </w:p>
        </w:tc>
        <w:tc>
          <w:tcPr>
            <w:tcW w:w="72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3</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6" w:name="O_589226"/>
      <w:bookmarkEnd w:id="6"/>
      <w:r w:rsidRPr="00EA49B4">
        <w:t>Employability Skills Information</w:t>
      </w:r>
    </w:p>
    <w:tbl>
      <w:tblPr>
        <w:tblW w:w="0" w:type="auto"/>
        <w:tblLayout w:type="fixed"/>
        <w:tblCellMar>
          <w:left w:w="62" w:type="dxa"/>
          <w:right w:w="62" w:type="dxa"/>
        </w:tblCellMar>
        <w:tblLook w:val="0000"/>
      </w:tblPr>
      <w:tblGrid>
        <w:gridCol w:w="2700"/>
        <w:gridCol w:w="5760"/>
      </w:tblGrid>
      <w:tr w:rsidTr="003330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 xml:space="preserve">5) </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 xml:space="preserve">The required outcomes described in this unit of competency contain applicable facets of Employability Skills. The Employability Skills Summary </w:t>
            </w:r>
            <w:r w:rsidRPr="00EA49B4">
              <w:t>of the qualification in which this unit of competency is packaged will assist in identifying Employability Skill requirements.</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7" w:name="O_589225"/>
      <w:bookmarkEnd w:id="7"/>
      <w:r w:rsidRPr="00EA49B4">
        <w:t>Elements and Performance Criteria Pre-Content</w:t>
      </w:r>
    </w:p>
    <w:tbl>
      <w:tblPr>
        <w:tblW w:w="0" w:type="auto"/>
        <w:tblLayout w:type="fixed"/>
        <w:tblCellMar>
          <w:left w:w="62" w:type="dxa"/>
          <w:right w:w="62" w:type="dxa"/>
        </w:tblCellMar>
        <w:tblLook w:val="0000"/>
      </w:tblPr>
      <w:tblGrid>
        <w:gridCol w:w="2700"/>
        <w:gridCol w:w="5760"/>
      </w:tblGrid>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6)</w:t>
            </w:r>
            <w:r w:rsidRPr="00EA49B4">
              <w:t xml:space="preserve"> Elements describe the essential outcomes of a competency stan</w:t>
            </w:r>
            <w:r w:rsidRPr="00EA49B4">
              <w:t>dard unit</w:t>
            </w:r>
          </w:p>
        </w:tc>
        <w:tc>
          <w:tcPr>
            <w:tcW w:w="57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Performance Criteria describe the required performance needed to demonstrate achievement of the element. Assessment of performance is to be consistent with the Evidence Guide.</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8" w:name="O_589224"/>
      <w:bookmarkEnd w:id="8"/>
      <w:r w:rsidRPr="00EA49B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330C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PERFORMANCE CRITERIA</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w:t>
            </w:r>
          </w:p>
        </w:tc>
        <w:tc>
          <w:tcPr>
            <w:tcW w:w="2296" w:type="dxa"/>
            <w:vMerge w:val="restart"/>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Prepare to install remote area power supplies</w:t>
            </w: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1.1</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 xml:space="preserve">OHS procedures for a given work area are identified, obtained and understood </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1.2</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 xml:space="preserve">Health and safety risks are identified, and established risk control measures and procedures are followed in preparation for the work </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1.3</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Safety hazards that have not previously been identified are noted, and established risk control measures are imple</w:t>
            </w:r>
            <w:r w:rsidRPr="00EA49B4">
              <w:t>mented</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1.4</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 xml:space="preserve">Installation of apparatus is prepared in consultation with others effected by the work and sequenced appropriately </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1.5</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The nature and location of the work is determined from documentation or appropriate persons to establish the scope of work to be undertaken</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1.6</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 xml:space="preserve">Locations of apparatus and associated equipment is planned within the constraints of the building structure, </w:t>
            </w:r>
            <w:r w:rsidRPr="00EA49B4">
              <w:t>significants and regulations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1.7</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Advice is sought from appropriate persons to ensure the work is coordinated effectively with others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1.8</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Material needed for the installation work is obtained in accordance with established procedures and checked again</w:t>
            </w:r>
            <w:r w:rsidRPr="00EA49B4">
              <w:t>st job requirements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1.9</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Tools, equipment and testing devices needed for the installation work are obtained in accordance with established procedures and checked for correct operation and safety</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1.10</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Preparatory work is checked to ensure no damage has occurred and that it complies with requirements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w:t>
            </w:r>
          </w:p>
        </w:tc>
        <w:tc>
          <w:tcPr>
            <w:tcW w:w="2296" w:type="dxa"/>
            <w:vMerge w:val="restart"/>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Install remote area power supplies</w:t>
            </w: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2.1</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OHS risk control measures and procedures for carrying out the work are followed</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2.2</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The need to test or measure</w:t>
            </w:r>
            <w:r w:rsidRPr="00EA49B4">
              <w:t xml:space="preserve"> live is determined in strict accordance with OHS requirements and when necessary conducted within established safety procedures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2.3</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Circuits/machines/plant are checked as being isolated where necessary in strict accordance OHS requirements and procedures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2.4</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Apparatus and associated equipment are installed to comply with technical standards and job specifications and requirements wi</w:t>
            </w:r>
            <w:r w:rsidRPr="00EA49B4">
              <w:t>th sufficient access to affect terminations, adjustment and maintenance</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2.5</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Wiring is terminated at apparatus and associated equipment in accordance with manufacturer specifications and functional and regulatory requirements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2.6</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Established methods for dealing with unexpected situations are discussed with appropriate person or persons and documented</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2.7</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Unexpected situations are dealt with safely and with the approval of an authorised person.</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2.8</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Ongoing checks of the qualit</w:t>
            </w:r>
            <w:r w:rsidRPr="00EA49B4">
              <w:t>y of installed apparatus are undertaken in accordance with established procedures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2.9</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Apparatus installation is carried out efficiently without waste of materials or damage to apparatus, circuits, the surrounding environment or services and using sustai</w:t>
            </w:r>
            <w:r w:rsidRPr="00EA49B4">
              <w:t>nable energy principles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3</w:t>
            </w:r>
          </w:p>
        </w:tc>
        <w:tc>
          <w:tcPr>
            <w:tcW w:w="2296"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Complete maintenance work on battery banks and report</w:t>
            </w: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3.1</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OHS work completion risk control measures and procedures are followed</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3.2</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Work site is cleaned and made safe in accordance with established procedures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3.3</w:t>
            </w:r>
          </w:p>
        </w:tc>
        <w:tc>
          <w:tcPr>
            <w:tcW w:w="48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Final checks are made so that the installed apparatus conforms to requirements</w:t>
            </w:r>
          </w:p>
        </w:tc>
      </w:tr>
      <w:tr w:rsidTr="003330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3.4</w:t>
            </w:r>
          </w:p>
        </w:tc>
        <w:tc>
          <w:tcPr>
            <w:tcW w:w="48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‘As-installed’ apparatus and associated equipment is documented and appropriate person(s) notified in accordance with established procedures</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9" w:name="O_589223"/>
      <w:bookmarkEnd w:id="9"/>
      <w:r w:rsidRPr="00EA49B4">
        <w:t>Required Skills and Knowledge</w:t>
      </w:r>
    </w:p>
    <w:tbl>
      <w:tblPr>
        <w:tblW w:w="0" w:type="auto"/>
        <w:tblLayout w:type="fixed"/>
        <w:tblCellMar>
          <w:left w:w="62" w:type="dxa"/>
          <w:right w:w="62" w:type="dxa"/>
        </w:tblCellMar>
        <w:tblLook w:val="0000"/>
      </w:tblPr>
      <w:tblGrid>
        <w:gridCol w:w="1710"/>
        <w:gridCol w:w="6750"/>
      </w:tblGrid>
      <w:tr w:rsidTr="003330C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REQUIRED SKILLS AND KNOWLEDGE</w:t>
            </w:r>
          </w:p>
        </w:tc>
      </w:tr>
      <w:tr w:rsidTr="003330C4">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8)</w:t>
            </w:r>
            <w:r w:rsidRPr="00EA49B4">
              <w:t xml:space="preserve"> This describes the essential skills and knowledge and their level, required for this unit.</w:t>
            </w:r>
          </w:p>
          <w:p w:rsidR="00000000" w:rsidRPr="00EA49B4" w:rsidP="00EA49B4">
            <w:pPr>
              <w:pStyle w:val="BodyText"/>
            </w:pPr>
            <w:r w:rsidRPr="00EA49B4">
              <w:t>Evidence must show that knowledge has been acquired of safe working practices and assembling and connecting remote area power supplies (RAPS).</w:t>
            </w:r>
          </w:p>
          <w:p w:rsidR="00000000" w:rsidP="00EA49B4">
            <w:pPr>
              <w:pStyle w:val="BodyText"/>
              <w:rPr>
                <w:lang w:val="en-NZ"/>
              </w:rPr>
            </w:pPr>
            <w:r w:rsidRPr="00EA49B4">
              <w:t>All knowledge and skills detailed in this unit should be contextualised to current industry practices and technol</w:t>
            </w:r>
            <w:r w:rsidRPr="00EA49B4">
              <w:t>ogies.</w:t>
            </w:r>
          </w:p>
        </w:tc>
      </w:tr>
      <w:tr w:rsidTr="003330C4">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KS01-EK111A</w:t>
            </w:r>
          </w:p>
        </w:tc>
        <w:tc>
          <w:tcPr>
            <w:tcW w:w="675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Remote area power supplies ELV installations requirements</w:t>
            </w:r>
          </w:p>
        </w:tc>
      </w:tr>
      <w:tr w:rsidTr="003330C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Evidence shall show an understanding of requirements for Remote area power supplies ELV installations to an extent indicated by the following aspects:</w:t>
            </w:r>
          </w:p>
        </w:tc>
      </w:tr>
      <w:tr w:rsidTr="003330C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Requirements for installation of wiring and equipment</w:t>
            </w:r>
          </w:p>
        </w:tc>
      </w:tr>
      <w:tr w:rsidTr="003330C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Compliant methods for providing protection</w:t>
            </w:r>
          </w:p>
        </w:tc>
      </w:tr>
      <w:tr w:rsidTr="003330C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Requirements for installation planning and selection of equipment</w:t>
            </w:r>
          </w:p>
        </w:tc>
      </w:tr>
      <w:tr w:rsidTr="003330C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Testing and verification requirements</w:t>
            </w:r>
          </w:p>
        </w:tc>
      </w:tr>
      <w:tr w:rsidTr="003330C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Documentation encompassing:</w:t>
            </w:r>
          </w:p>
          <w:p w:rsidR="00000000" w:rsidRPr="00EA49B4" w:rsidP="00EA49B4">
            <w:pPr>
              <w:pStyle w:val="ListBullet2"/>
            </w:pPr>
            <w:r w:rsidRPr="00EA49B4">
              <w:t>results of tests conducted that comply with requirements and ensure the remote area power supplies ELV installation is safe, including any formal documents of the results of testing required by authorities.</w:t>
            </w:r>
          </w:p>
          <w:p w:rsidR="00000000" w:rsidRPr="00EA49B4" w:rsidP="00EA49B4">
            <w:pPr>
              <w:pStyle w:val="ListBullet2"/>
            </w:pPr>
            <w:r w:rsidRPr="00EA49B4">
              <w:t>documents of periodic inspection and testing of r</w:t>
            </w:r>
            <w:r w:rsidRPr="00EA49B4">
              <w:t>emote area power supplies ELV wiring and equipment including any tagging, in accordance with requirements.</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10" w:name="O_589222"/>
      <w:bookmarkEnd w:id="10"/>
      <w:r w:rsidRPr="00EA49B4">
        <w:t>Evidence Guide</w:t>
      </w:r>
    </w:p>
    <w:tbl>
      <w:tblPr>
        <w:tblW w:w="0" w:type="auto"/>
        <w:tblLayout w:type="fixed"/>
        <w:tblCellMar>
          <w:left w:w="62" w:type="dxa"/>
          <w:right w:w="62" w:type="dxa"/>
        </w:tblCellMar>
        <w:tblLook w:val="0000"/>
      </w:tblPr>
      <w:tblGrid>
        <w:gridCol w:w="8460"/>
      </w:tblGrid>
      <w:tr w:rsidTr="003330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EVIDENCE GUIDE</w:t>
            </w:r>
          </w:p>
        </w:tc>
      </w:tr>
      <w:tr w:rsidTr="003330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9)</w:t>
            </w:r>
            <w:r w:rsidRPr="00EA49B4">
              <w:t xml:space="preserve"> This provides essential advice for assessment of the unit and must be read in conjunction with the performance criteria and the range statement of the unit and the Training Package Assessment Guidelines.</w:t>
            </w:r>
          </w:p>
          <w:p w:rsidR="00000000" w:rsidRPr="00EA49B4" w:rsidP="00EA49B4">
            <w:pPr>
              <w:pStyle w:val="BodyText"/>
            </w:pPr>
            <w:r w:rsidRPr="00EA49B4">
              <w:t>The Evidence Guide forms an integral part of this u</w:t>
            </w:r>
            <w:r w:rsidRPr="00EA49B4">
              <w:t>nit. It must be used in conjunction with all parts of this unit and performed in accordance with the Assessment Guidelines of this Training Package.</w:t>
            </w:r>
          </w:p>
        </w:tc>
      </w:tr>
    </w:tbl>
    <w:p w:rsidR="00000000" w:rsidRPr="00EA49B4" w:rsidP="00EA49B4">
      <w:pPr>
        <w:pStyle w:val="BodyText"/>
      </w:pPr>
    </w:p>
    <w:tbl>
      <w:tblPr>
        <w:tblW w:w="0" w:type="auto"/>
        <w:tblLayout w:type="fixed"/>
        <w:tblCellMar>
          <w:left w:w="62" w:type="dxa"/>
          <w:right w:w="62" w:type="dxa"/>
        </w:tblCellMar>
        <w:tblLook w:val="0000"/>
      </w:tblPr>
      <w:tblGrid>
        <w:gridCol w:w="1890"/>
        <w:gridCol w:w="6570"/>
      </w:tblGrid>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9.1)</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Longitudinal competency development approaches to assessment, such as Profi</w:t>
            </w:r>
            <w:r w:rsidRPr="00EA49B4">
              <w:t>ling, require data to be reliably gathered in a form that can be consistently interpreted over time. This approach is best utilised in Apprenticeship programs and reduces assessment intervention. It is the industry-preferred model for apprenticeships. Howe</w:t>
            </w:r>
            <w:r w:rsidRPr="00EA49B4">
              <w:t>ver, where summative (or final) assessment is used it is to include the application of the competency in the normal work environment or, at a minimum, the application of the competency in a realistically simulated work environment. In some circumstances, a</w:t>
            </w:r>
            <w:r w:rsidRPr="00EA49B4">
              <w:t>ssessment in part or full can occur outside the workplace. However, it must be in accordance with industry and regulatory policy.</w:t>
            </w:r>
          </w:p>
          <w:p w:rsidR="00000000" w:rsidRPr="00EA49B4" w:rsidP="00EA49B4">
            <w:pPr>
              <w:pStyle w:val="BodyText"/>
            </w:pPr>
            <w:r w:rsidRPr="00EA49B4">
              <w:t xml:space="preserve">Methods chosen for a particular assessment will be influenced by various factors. These include the extent of the assessment, </w:t>
            </w:r>
            <w:r w:rsidRPr="00EA49B4">
              <w:t>the most effective locations for the assessment activities to take place, access to physical resources, additional safety measures that may be required and the critical nature of the competencies being assessed.</w:t>
            </w:r>
          </w:p>
          <w:p w:rsidR="00000000" w:rsidRPr="00EA49B4" w:rsidP="00EA49B4">
            <w:pPr>
              <w:pStyle w:val="BodyText"/>
            </w:pPr>
            <w:r w:rsidRPr="00EA49B4">
              <w:t>The critical safety issues inherent in worki</w:t>
            </w:r>
            <w:r w:rsidRPr="00EA49B4">
              <w:t>ng with electricity, electrical equipment, gas or any other hazardous substance/material present a challenge for those determining competence. Sources of evidence need to be ‘rich’ in nature to minimise error in judgment.</w:t>
            </w:r>
          </w:p>
          <w:p w:rsidR="00000000" w:rsidRPr="00EA49B4" w:rsidP="00EA49B4">
            <w:pPr>
              <w:pStyle w:val="BodyText"/>
            </w:pPr>
            <w:r w:rsidRPr="00EA49B4">
              <w:t>Activities associated with normal everyday work have a bearing on the decision as to how much and how detailed the data gathered will contribute to its ‘richness’. Some skills are more critical to safety and operational requirements while the same skills m</w:t>
            </w:r>
            <w:r w:rsidRPr="00EA49B4">
              <w:t>ay be more or less frequently practised. These points are raised for the assessors to consider when choosing an assessment method and developing assessment instruments. Sample assessment instruments are included for Assessors in the Assessment Guidelines o</w:t>
            </w:r>
            <w:r w:rsidRPr="00EA49B4">
              <w:t>f this Training Package.</w:t>
            </w:r>
          </w:p>
        </w:tc>
      </w:tr>
    </w:tbl>
    <w:p w:rsidR="00000000" w:rsidRPr="00EA49B4" w:rsidP="00EA49B4">
      <w:pPr>
        <w:pStyle w:val="BodyText"/>
      </w:pPr>
    </w:p>
    <w:tbl>
      <w:tblPr>
        <w:tblW w:w="0" w:type="auto"/>
        <w:tblLayout w:type="fixed"/>
        <w:tblCellMar>
          <w:left w:w="62" w:type="dxa"/>
          <w:right w:w="62" w:type="dxa"/>
        </w:tblCellMar>
        <w:tblLook w:val="0000"/>
      </w:tblPr>
      <w:tblGrid>
        <w:gridCol w:w="1890"/>
        <w:gridCol w:w="1530"/>
        <w:gridCol w:w="5040"/>
      </w:tblGrid>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9.2)</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Before the critical aspects of evidence are considered all prerequisites must be met.</w:t>
            </w:r>
          </w:p>
          <w:p w:rsidR="00000000" w:rsidRPr="00EA49B4" w:rsidP="00EA49B4">
            <w:pPr>
              <w:pStyle w:val="BodyText"/>
            </w:pPr>
            <w:r w:rsidRPr="00EA49B4">
              <w:t>Evidence for competence in this unit must be considered ho</w:t>
            </w:r>
            <w:r w:rsidRPr="00EA49B4">
              <w:t>listically.  Each element and associated performance criteria must be demonstrated on at least two occasions in accordance with the ‘Assessment Guidelines – UEE11’.  Evidence must  also comprise:</w:t>
            </w:r>
          </w:p>
          <w:p w:rsidR="00000000" w:rsidRPr="00EA49B4" w:rsidP="00EA49B4">
            <w:pPr>
              <w:pStyle w:val="ListBullet"/>
            </w:pPr>
            <w:r w:rsidRPr="00EA49B4">
              <w:t>A representative body of work performance demonstrated with</w:t>
            </w:r>
            <w:r w:rsidRPr="00EA49B4">
              <w:t>in the timeframes typically expected of the discipline, work function and industrial environment. In particular this must  incorporate evidence that shows a candidate is able to:</w:t>
            </w:r>
          </w:p>
          <w:p w:rsidR="00000000" w:rsidRPr="00EA49B4" w:rsidP="00EA49B4">
            <w:pPr>
              <w:pStyle w:val="ListBullet2"/>
            </w:pPr>
            <w:r w:rsidRPr="00EA49B4">
              <w:t>Implement Occupational Health and Safety workplace procedures and practices including the use of risk control measures as specified in the performance criteria and range statement</w:t>
            </w:r>
          </w:p>
          <w:p w:rsidR="00000000" w:rsidRPr="00EA49B4" w:rsidP="00EA49B4">
            <w:pPr>
              <w:pStyle w:val="ListBullet2"/>
            </w:pPr>
            <w:r w:rsidRPr="00EA49B4">
              <w:t>Apply sustainable energy principles and practices as specified in the perfor</w:t>
            </w:r>
            <w:r w:rsidRPr="00EA49B4">
              <w:t>mance criteria and range statement</w:t>
            </w:r>
          </w:p>
          <w:p w:rsidR="00000000" w:rsidRPr="00EA49B4" w:rsidP="00EA49B4">
            <w:pPr>
              <w:pStyle w:val="ListBullet2"/>
            </w:pPr>
            <w:r w:rsidRPr="00EA49B4">
              <w:t>Demonstrate an understanding of the essential knowledge and associated skills as described in this unit.  It may be required by some jurisdictions that RTOs provide a percentile graded result for the purpose of regulatory</w:t>
            </w:r>
            <w:r w:rsidRPr="00EA49B4">
              <w:t xml:space="preserve"> or licensing requirements.</w:t>
            </w:r>
          </w:p>
          <w:p w:rsidR="00000000" w:rsidRPr="00EA49B4" w:rsidP="00EA49B4">
            <w:pPr>
              <w:pStyle w:val="ListBullet2"/>
            </w:pPr>
            <w:r w:rsidRPr="00EA49B4">
              <w:t>Demonstrate an appropriate level of skills enabling employment</w:t>
            </w:r>
          </w:p>
          <w:p w:rsidR="00000000" w:rsidRPr="00EA49B4" w:rsidP="00EA49B4">
            <w:pPr>
              <w:pStyle w:val="ListBullet2"/>
            </w:pPr>
            <w:r w:rsidRPr="00EA49B4">
              <w:t>Conduct work observing the relevant Anti Discrimination legislation, regulations, polices and workplace procedures</w:t>
            </w:r>
          </w:p>
          <w:p w:rsidR="00000000" w:rsidRPr="00EA49B4" w:rsidP="00EA49B4">
            <w:pPr>
              <w:pStyle w:val="ListBullet"/>
            </w:pPr>
            <w:r w:rsidRPr="00EA49B4">
              <w:t>Demonstrated consistent performance across a repr</w:t>
            </w:r>
            <w:r w:rsidRPr="00EA49B4">
              <w:t>esentative range of contexts from the prescribed items below:</w:t>
            </w:r>
          </w:p>
          <w:p w:rsidR="00000000" w:rsidP="00EA49B4">
            <w:pPr>
              <w:pStyle w:val="ListBullet2"/>
              <w:rPr>
                <w:lang w:val="en-NZ"/>
              </w:rPr>
            </w:pPr>
            <w:r w:rsidRPr="00EA49B4">
              <w:t>Assemble and connect remote area power supplies (RAPS) as described in 8) and including:</w:t>
            </w:r>
          </w:p>
        </w:tc>
      </w:tr>
      <w:tr w:rsidTr="003330C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A</w:t>
            </w:r>
          </w:p>
        </w:tc>
        <w:tc>
          <w:tcPr>
            <w:tcW w:w="50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Reading and interpreting drawings related to and apparatus locations and circuit connections.</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B</w:t>
            </w:r>
          </w:p>
        </w:tc>
        <w:tc>
          <w:tcPr>
            <w:tcW w:w="50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 xml:space="preserve">Placing and securing apparatus accurately </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C</w:t>
            </w:r>
          </w:p>
        </w:tc>
        <w:tc>
          <w:tcPr>
            <w:tcW w:w="50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Maintaining fire integrity</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D</w:t>
            </w:r>
          </w:p>
        </w:tc>
        <w:tc>
          <w:tcPr>
            <w:tcW w:w="50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Connecting apparatus and associated equipment to comply with requirements</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E</w:t>
            </w:r>
          </w:p>
        </w:tc>
        <w:tc>
          <w:tcPr>
            <w:tcW w:w="50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 xml:space="preserve">Dealing with unplanned events by drawing on essential knowledge and skills to provide </w:t>
            </w:r>
            <w:r w:rsidRPr="00EA49B4">
              <w:t>appropriate solutions incorporated in a holistic assessment with the above listed items</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 xml:space="preserve">Note: </w:t>
            </w:r>
          </w:p>
          <w:p w:rsidR="00000000" w:rsidRPr="00EA49B4" w:rsidP="00EA49B4">
            <w:pPr>
              <w:pStyle w:val="BodyText"/>
            </w:pPr>
            <w:r w:rsidRPr="00EA49B4">
              <w:t>Successful completion of relevant vendor training may be used to contribute to evidence on which competency is deemed. In these cases the alignment of outcome</w:t>
            </w:r>
            <w:r w:rsidRPr="00EA49B4">
              <w:t>s of vendor training with performance criteria and critical aspects of evidence must be clearly identified</w:t>
            </w:r>
          </w:p>
        </w:tc>
      </w:tr>
    </w:tbl>
    <w:p w:rsidR="00000000" w:rsidRPr="00EA49B4" w:rsidP="00EA49B4">
      <w:pPr>
        <w:pStyle w:val="BodyText"/>
      </w:pPr>
    </w:p>
    <w:tbl>
      <w:tblPr>
        <w:tblW w:w="0" w:type="auto"/>
        <w:tblLayout w:type="fixed"/>
        <w:tblCellMar>
          <w:left w:w="62" w:type="dxa"/>
          <w:right w:w="62" w:type="dxa"/>
        </w:tblCellMar>
        <w:tblLook w:val="0000"/>
      </w:tblPr>
      <w:tblGrid>
        <w:gridCol w:w="1890"/>
        <w:gridCol w:w="6570"/>
      </w:tblGrid>
      <w:tr w:rsidTr="003330C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9.3)</w:t>
            </w:r>
          </w:p>
        </w:tc>
      </w:tr>
      <w:tr w:rsidTr="003330C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This unit should be assessed as it relates to normal work practice using procedures, information and resources typical of a workplace. This should include:</w:t>
            </w:r>
          </w:p>
          <w:p w:rsidR="00000000" w:rsidRPr="00EA49B4" w:rsidP="00EA49B4">
            <w:pPr>
              <w:pStyle w:val="ListBullet2"/>
            </w:pPr>
            <w:r w:rsidRPr="00EA49B4">
              <w:t>OHS policy and work procedures and instructions.</w:t>
            </w:r>
          </w:p>
          <w:p w:rsidR="00000000" w:rsidRPr="00EA49B4" w:rsidP="00EA49B4">
            <w:pPr>
              <w:pStyle w:val="ListBullet2"/>
            </w:pPr>
            <w:r w:rsidRPr="00EA49B4">
              <w:t>Suitable work environment, facilities, equipment a</w:t>
            </w:r>
            <w:r w:rsidRPr="00EA49B4">
              <w:t>nd materials to undertake actual work as prescribed by this unit.</w:t>
            </w:r>
          </w:p>
          <w:p w:rsidR="00000000" w:rsidRPr="00EA49B4" w:rsidP="00EA49B4">
            <w:pPr>
              <w:pStyle w:val="BodyText"/>
            </w:pPr>
            <w:r w:rsidRPr="00EA49B4">
              <w:t>These should be part of the formal learning/assessment environment.</w:t>
            </w:r>
          </w:p>
          <w:p w:rsidR="00000000" w:rsidRPr="00EA49B4" w:rsidP="00EA49B4">
            <w:pPr>
              <w:pStyle w:val="BodyText"/>
            </w:pPr>
            <w:r w:rsidRPr="00EA49B4">
              <w:t>Note:</w:t>
            </w:r>
          </w:p>
          <w:p w:rsidR="00000000" w:rsidRPr="00EA49B4" w:rsidP="00EA49B4">
            <w:pPr>
              <w:pStyle w:val="BodyText"/>
            </w:pPr>
            <w:r w:rsidRPr="00EA49B4">
              <w:t>Where simulation is considered a suitable strategy for assessment, conditions must be authentic and as far as possib</w:t>
            </w:r>
            <w:r w:rsidRPr="00EA49B4">
              <w:t>le reproduce and replicate the workplace and be consistent with the approved industry simulation policy.</w:t>
            </w:r>
          </w:p>
          <w:p w:rsidR="00000000" w:rsidRPr="00EA49B4" w:rsidP="00EA49B4">
            <w:pPr>
              <w:pStyle w:val="BodyText"/>
            </w:pPr>
            <w:r w:rsidRPr="00EA49B4">
              <w:t>The resources used for assessment should reflect current industry practices in relation to assembling and connecting remote area power supplies (RAPS).</w:t>
            </w:r>
          </w:p>
        </w:tc>
      </w:tr>
    </w:tbl>
    <w:p w:rsidR="00000000" w:rsidRPr="00EA49B4" w:rsidP="00EA49B4">
      <w:pPr>
        <w:pStyle w:val="BodyText"/>
      </w:pPr>
    </w:p>
    <w:tbl>
      <w:tblPr>
        <w:tblW w:w="0" w:type="auto"/>
        <w:tblLayout w:type="fixed"/>
        <w:tblCellMar>
          <w:left w:w="62" w:type="dxa"/>
          <w:right w:w="62" w:type="dxa"/>
        </w:tblCellMar>
        <w:tblLook w:val="0000"/>
      </w:tblPr>
      <w:tblGrid>
        <w:gridCol w:w="1890"/>
        <w:gridCol w:w="6570"/>
      </w:tblGrid>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9.4)</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This unit shall be assessed by methods given in Volume 1, Part 3 ‘Assessment Guidelines’.</w:t>
            </w:r>
          </w:p>
          <w:p w:rsidR="00000000" w:rsidRPr="00EA49B4" w:rsidP="00EA49B4">
            <w:pPr>
              <w:pStyle w:val="BodyText"/>
            </w:pPr>
            <w:r w:rsidRPr="00EA49B4">
              <w:t xml:space="preserve">Note: </w:t>
            </w:r>
          </w:p>
          <w:p w:rsidR="00000000" w:rsidRPr="00EA49B4" w:rsidP="00EA49B4">
            <w:pPr>
              <w:pStyle w:val="BodyText"/>
            </w:pPr>
            <w:r w:rsidRPr="00EA49B4">
              <w:t>Competent performance with inherent safe working practices is expected in the Industry to which this unit applies. This requires assessment in a structured environment which is intended primarily for learning/assessment and incorporates all necessary equip</w:t>
            </w:r>
            <w:r w:rsidRPr="00EA49B4">
              <w:t>ment and facilities for learners to develop and demonstrate the essential knowledge and skills described in this unit.</w:t>
            </w:r>
          </w:p>
        </w:tc>
      </w:tr>
    </w:tbl>
    <w:p w:rsidR="00000000" w:rsidRPr="00EA49B4" w:rsidP="00EA49B4">
      <w:pPr>
        <w:pStyle w:val="BodyText"/>
      </w:pPr>
    </w:p>
    <w:tbl>
      <w:tblPr>
        <w:tblW w:w="0" w:type="auto"/>
        <w:tblLayout w:type="fixed"/>
        <w:tblCellMar>
          <w:left w:w="62" w:type="dxa"/>
          <w:right w:w="62" w:type="dxa"/>
        </w:tblCellMar>
        <w:tblLook w:val="0000"/>
      </w:tblPr>
      <w:tblGrid>
        <w:gridCol w:w="1890"/>
        <w:gridCol w:w="1530"/>
        <w:gridCol w:w="5040"/>
      </w:tblGrid>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9.5)</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For optimisation of training and assessment effort, competency development in this unit may be arranged concurrently with unit:</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UEENEEK104A</w:t>
            </w:r>
          </w:p>
        </w:tc>
        <w:tc>
          <w:tcPr>
            <w:tcW w:w="50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Conduct periodic maintenance of remote area power supply generator sets</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UEENEEK105A</w:t>
            </w:r>
          </w:p>
        </w:tc>
        <w:tc>
          <w:tcPr>
            <w:tcW w:w="504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Conduct periodic maintenanc</w:t>
            </w:r>
            <w:r w:rsidRPr="00EA49B4">
              <w:t>e of remote area power supply photo voltaic arrays</w:t>
            </w:r>
          </w:p>
        </w:tc>
      </w:tr>
      <w:tr w:rsidTr="003330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t>UEENEEK107A</w:t>
            </w:r>
          </w:p>
        </w:tc>
        <w:tc>
          <w:tcPr>
            <w:tcW w:w="504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Conduct checks in the demand side use of remote area power supplies (RAPS)</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11" w:name="O_589221"/>
      <w:bookmarkEnd w:id="11"/>
      <w:r w:rsidRPr="00EA49B4">
        <w:t>Range Statement</w:t>
      </w:r>
    </w:p>
    <w:tbl>
      <w:tblPr>
        <w:tblW w:w="0" w:type="auto"/>
        <w:tblLayout w:type="fixed"/>
        <w:tblCellMar>
          <w:left w:w="62" w:type="dxa"/>
          <w:right w:w="62" w:type="dxa"/>
        </w:tblCellMar>
        <w:tblLook w:val="0000"/>
      </w:tblPr>
      <w:tblGrid>
        <w:gridCol w:w="8460"/>
      </w:tblGrid>
      <w:tr w:rsidTr="003330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RANGE STATEMENT</w:t>
            </w:r>
          </w:p>
        </w:tc>
      </w:tr>
      <w:tr w:rsidTr="003330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10)</w:t>
            </w:r>
            <w:r w:rsidRPr="00EA49B4">
              <w:t xml:space="preserve"> This relates to the unit as a whole providing the range of contexts and conditions to which the performance criteria apply. It allows for different work environments and situations that will affect performance.</w:t>
            </w:r>
          </w:p>
          <w:p w:rsidR="00000000" w:rsidRPr="00EA49B4" w:rsidP="00EA49B4">
            <w:pPr>
              <w:pStyle w:val="BodyText"/>
            </w:pPr>
            <w:r w:rsidRPr="00EA49B4">
              <w:t>This unit must be demonstrated in relation t</w:t>
            </w:r>
            <w:r w:rsidRPr="00EA49B4">
              <w:t>o least two different RAPS systems in which the battery bank is charged from a generator set and a photo voltaic array and at least one similar RAPS system where the battery bank is charged form a wind generator.</w:t>
            </w:r>
          </w:p>
          <w:p w:rsidR="00000000" w:rsidRPr="00EA49B4" w:rsidP="00EA49B4">
            <w:pPr>
              <w:pStyle w:val="BodyText"/>
            </w:pPr>
            <w:r w:rsidRPr="00EA49B4">
              <w:t>Generic terms used throughout this Vocation</w:t>
            </w:r>
            <w:r w:rsidRPr="00EA49B4">
              <w:t>al Standard shall be regarded as part of the Range Statement in which competency is demonstrated. The definition of these and other terms that apply are given in Volume 2, Part 2.1.</w:t>
            </w:r>
          </w:p>
        </w:tc>
      </w:tr>
    </w:tbl>
    <w:p w:rsidR="00000000" w:rsidRPr="00EA49B4" w:rsidP="00EA49B4">
      <w:pPr>
        <w:pStyle w:val="BodyText"/>
      </w:pPr>
    </w:p>
    <w:p w:rsidR="00000000" w:rsidRPr="00EA49B4" w:rsidP="00EA49B4">
      <w:pPr>
        <w:pStyle w:val="AllowPageBreak"/>
      </w:pPr>
    </w:p>
    <w:p w:rsidR="00000000" w:rsidRPr="00EA49B4" w:rsidP="00EA49B4">
      <w:pPr>
        <w:pStyle w:val="Heading1"/>
      </w:pPr>
      <w:bookmarkStart w:id="12" w:name="O_589220"/>
      <w:bookmarkEnd w:id="12"/>
      <w:r w:rsidRPr="00EA49B4">
        <w:t>Unit Sector(s)</w:t>
      </w:r>
    </w:p>
    <w:p w:rsidR="00000000" w:rsidRPr="00EA49B4" w:rsidP="00EA49B4">
      <w:pPr>
        <w:pStyle w:val="BodyText"/>
      </w:pPr>
      <w:r w:rsidRPr="00EA49B4">
        <w:t>Not applicable.</w:t>
      </w:r>
    </w:p>
    <w:p w:rsidR="00000000" w:rsidRPr="00EA49B4" w:rsidP="00EA49B4">
      <w:pPr>
        <w:pStyle w:val="AllowPageBreak"/>
      </w:pPr>
    </w:p>
    <w:p w:rsidR="00000000" w:rsidRPr="00EA49B4" w:rsidP="00EA49B4">
      <w:pPr>
        <w:pStyle w:val="Heading1"/>
      </w:pPr>
      <w:bookmarkStart w:id="13" w:name="O_589219"/>
      <w:bookmarkEnd w:id="13"/>
      <w:r w:rsidRPr="00EA49B4">
        <w:t>Competency Field</w:t>
      </w:r>
    </w:p>
    <w:tbl>
      <w:tblPr>
        <w:tblW w:w="0" w:type="auto"/>
        <w:tblLayout w:type="fixed"/>
        <w:tblCellMar>
          <w:left w:w="62" w:type="dxa"/>
          <w:right w:w="62" w:type="dxa"/>
        </w:tblCellMar>
        <w:tblLook w:val="0000"/>
      </w:tblPr>
      <w:tblGrid>
        <w:gridCol w:w="2700"/>
        <w:gridCol w:w="5760"/>
      </w:tblGrid>
      <w:tr w:rsidTr="003330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49B4">
            <w:pPr>
              <w:pStyle w:val="BodyText"/>
              <w:rPr>
                <w:lang w:val="en-NZ"/>
              </w:rPr>
            </w:pPr>
            <w:r w:rsidRPr="00EA49B4">
              <w:rPr>
                <w:rStyle w:val="SpecialBold"/>
              </w:rPr>
              <w:t xml:space="preserve">11) </w:t>
            </w:r>
          </w:p>
        </w:tc>
      </w:tr>
      <w:tr w:rsidTr="003330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9B4" w:rsidP="00EA49B4">
            <w:pPr>
              <w:pStyle w:val="BodyText"/>
            </w:pPr>
            <w:r w:rsidRPr="00EA49B4">
              <w:t>Renewable and Sustainable Energy</w:t>
            </w:r>
          </w:p>
        </w:tc>
      </w:tr>
    </w:tbl>
    <w:p w:rsidR="00000000" w:rsidRPr="00EA49B4" w:rsidP="00EA49B4">
      <w:pPr>
        <w:pStyle w:val="BodyText"/>
      </w:pPr>
    </w:p>
    <w:p w:rsidR="00000000" w:rsidRPr="00EA49B4" w:rsidP="00EA49B4"/>
    <w:sectPr w:rsidSect="00EA4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B4" w:rsidRPr="003330C4" w:rsidP="00333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C4" w:rsidP="00EA4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30C4" w:rsidP="00EA49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330C4" w:rsidP="00EA4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B4" w:rsidRPr="003330C4" w:rsidP="003330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C4" w:rsidRPr="002D2AF8" w:rsidP="00EA49B4">
    <w:pPr>
      <w:pStyle w:val="Header"/>
      <w:framePr w:wrap="around"/>
    </w:pPr>
    <w:r>
      <w:fldChar w:fldCharType="begin"/>
    </w:r>
    <w:r>
      <w:instrText xml:space="preserve"> TITLE   \* MERGEFORMAT </w:instrText>
    </w:r>
    <w:r>
      <w:fldChar w:fldCharType="separate"/>
    </w:r>
    <w:r>
      <w:t>UEENEEK111A Assemble and connect remote area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330C4" w:rsidP="00EA4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AC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FCA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03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9B4"/>
    <w:pPr>
      <w:spacing w:before="360" w:after="60"/>
      <w:outlineLvl w:val="0"/>
    </w:pPr>
    <w:rPr>
      <w:sz w:val="32"/>
    </w:rPr>
  </w:style>
  <w:style w:type="paragraph" w:styleId="Heading2">
    <w:name w:val="heading 2"/>
    <w:basedOn w:val="HeadingBase"/>
    <w:next w:val="BodyText"/>
    <w:link w:val="Heading2Char"/>
    <w:qFormat/>
    <w:rsid w:val="00EA49B4"/>
    <w:pPr>
      <w:keepLines/>
      <w:spacing w:before="240" w:after="120"/>
      <w:outlineLvl w:val="1"/>
    </w:pPr>
    <w:rPr>
      <w:sz w:val="28"/>
      <w:szCs w:val="40"/>
    </w:rPr>
  </w:style>
  <w:style w:type="paragraph" w:styleId="Heading3">
    <w:name w:val="heading 3"/>
    <w:basedOn w:val="HeadingBase"/>
    <w:next w:val="BodyText"/>
    <w:link w:val="Heading3Char"/>
    <w:qFormat/>
    <w:rsid w:val="00EA49B4"/>
    <w:pPr>
      <w:spacing w:before="180" w:after="120"/>
      <w:outlineLvl w:val="2"/>
    </w:pPr>
    <w:rPr>
      <w:spacing w:val="-10"/>
      <w:kern w:val="32"/>
    </w:rPr>
  </w:style>
  <w:style w:type="paragraph" w:styleId="Heading4">
    <w:name w:val="heading 4"/>
    <w:basedOn w:val="HeadingBase"/>
    <w:next w:val="BodyText"/>
    <w:link w:val="Heading4Char"/>
    <w:qFormat/>
    <w:rsid w:val="00EA49B4"/>
    <w:pPr>
      <w:spacing w:before="160" w:after="120"/>
      <w:outlineLvl w:val="3"/>
    </w:pPr>
    <w:rPr>
      <w:sz w:val="22"/>
    </w:rPr>
  </w:style>
  <w:style w:type="paragraph" w:styleId="Heading5">
    <w:name w:val="heading 5"/>
    <w:basedOn w:val="HeadingBase"/>
    <w:next w:val="Normal"/>
    <w:link w:val="Heading5Char"/>
    <w:qFormat/>
    <w:rsid w:val="00EA49B4"/>
    <w:pPr>
      <w:spacing w:before="80"/>
      <w:outlineLvl w:val="4"/>
    </w:pPr>
    <w:rPr>
      <w:color w:val="918585"/>
      <w:sz w:val="20"/>
    </w:rPr>
  </w:style>
  <w:style w:type="paragraph" w:styleId="Heading6">
    <w:name w:val="heading 6"/>
    <w:basedOn w:val="HeadingBase"/>
    <w:next w:val="Normal"/>
    <w:link w:val="Heading6Char"/>
    <w:qFormat/>
    <w:rsid w:val="00EA49B4"/>
    <w:pPr>
      <w:spacing w:before="60"/>
      <w:outlineLvl w:val="5"/>
    </w:pPr>
    <w:rPr>
      <w:color w:val="918585"/>
      <w:sz w:val="20"/>
    </w:rPr>
  </w:style>
  <w:style w:type="paragraph" w:styleId="Heading7">
    <w:name w:val="heading 7"/>
    <w:basedOn w:val="Normal"/>
    <w:next w:val="Normal"/>
    <w:link w:val="Heading7Char"/>
    <w:qFormat/>
    <w:rsid w:val="00EA49B4"/>
    <w:pPr>
      <w:ind w:left="720"/>
      <w:outlineLvl w:val="6"/>
    </w:pPr>
    <w:rPr>
      <w:i/>
    </w:rPr>
  </w:style>
  <w:style w:type="paragraph" w:styleId="Heading8">
    <w:name w:val="heading 8"/>
    <w:basedOn w:val="Normal"/>
    <w:next w:val="Normal"/>
    <w:link w:val="Heading8Char"/>
    <w:qFormat/>
    <w:rsid w:val="00EA49B4"/>
    <w:pPr>
      <w:ind w:left="720"/>
      <w:outlineLvl w:val="7"/>
    </w:pPr>
    <w:rPr>
      <w:i/>
    </w:rPr>
  </w:style>
  <w:style w:type="paragraph" w:styleId="Heading9">
    <w:name w:val="heading 9"/>
    <w:basedOn w:val="Normal"/>
    <w:next w:val="Normal"/>
    <w:link w:val="Heading9Char"/>
    <w:qFormat/>
    <w:rsid w:val="00EA49B4"/>
    <w:pPr>
      <w:ind w:left="720"/>
      <w:outlineLvl w:val="8"/>
    </w:pPr>
    <w:rPr>
      <w:i/>
    </w:rPr>
  </w:style>
  <w:style w:type="character" w:default="1" w:styleId="DefaultParagraphFont">
    <w:name w:val="Default Paragraph Font"/>
    <w:uiPriority w:val="1"/>
    <w:unhideWhenUsed/>
    <w:rsid w:val="00EA4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9B4"/>
  </w:style>
  <w:style w:type="character" w:customStyle="1" w:styleId="Heading1Char">
    <w:name w:val="Heading 1 Char"/>
    <w:basedOn w:val="DefaultParagraphFont"/>
    <w:link w:val="Heading1"/>
    <w:rsid w:val="00EA49B4"/>
    <w:rPr>
      <w:rFonts w:ascii="Times New Roman" w:eastAsia="Times New Roman" w:hAnsi="Times New Roman" w:cs="Times New Roman"/>
      <w:b/>
      <w:sz w:val="32"/>
      <w:szCs w:val="20"/>
      <w:lang w:eastAsia="en-US"/>
    </w:rPr>
  </w:style>
  <w:style w:type="paragraph" w:styleId="BodyText">
    <w:name w:val="Body Text"/>
    <w:basedOn w:val="Normal"/>
    <w:link w:val="BodyTextChar"/>
    <w:rsid w:val="00EA49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9B4"/>
    <w:rPr>
      <w:rFonts w:ascii="Times New Roman" w:eastAsia="Times New Roman" w:hAnsi="Times New Roman" w:cs="Times New Roman"/>
      <w:sz w:val="24"/>
      <w:lang w:eastAsia="en-US"/>
    </w:rPr>
  </w:style>
  <w:style w:type="paragraph" w:styleId="ListBullet">
    <w:name w:val="List Bullet"/>
    <w:basedOn w:val="List"/>
    <w:rsid w:val="00EA49B4"/>
    <w:pPr>
      <w:numPr>
        <w:numId w:val="13"/>
      </w:numPr>
      <w:tabs>
        <w:tab w:val="clear" w:pos="340"/>
      </w:tabs>
      <w:spacing w:before="40" w:after="40"/>
    </w:pPr>
  </w:style>
  <w:style w:type="character" w:customStyle="1" w:styleId="SpecialBold">
    <w:name w:val="Special Bold"/>
    <w:basedOn w:val="DefaultParagraphFont"/>
    <w:rsid w:val="00EA49B4"/>
    <w:rPr>
      <w:b/>
      <w:spacing w:val="0"/>
    </w:rPr>
  </w:style>
  <w:style w:type="paragraph" w:styleId="ListBullet2">
    <w:name w:val="List Bullet 2"/>
    <w:basedOn w:val="List2"/>
    <w:rsid w:val="00EA49B4"/>
    <w:pPr>
      <w:numPr>
        <w:numId w:val="14"/>
      </w:numPr>
      <w:tabs>
        <w:tab w:val="clear" w:pos="680"/>
      </w:tabs>
    </w:pPr>
  </w:style>
  <w:style w:type="paragraph" w:customStyle="1" w:styleId="SuperHeading">
    <w:name w:val="SuperHeading"/>
    <w:basedOn w:val="Normal"/>
    <w:rsid w:val="00EA49B4"/>
    <w:pPr>
      <w:spacing w:before="240" w:after="120"/>
      <w:outlineLvl w:val="0"/>
    </w:pPr>
    <w:rPr>
      <w:rFonts w:ascii="Times New Roman" w:hAnsi="Times New Roman"/>
      <w:b/>
      <w:sz w:val="32"/>
    </w:rPr>
  </w:style>
  <w:style w:type="paragraph" w:customStyle="1" w:styleId="AllowPageBreak">
    <w:name w:val="AllowPageBreak"/>
    <w:rsid w:val="00EA4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9B4"/>
    <w:rPr>
      <w:rFonts w:ascii="Courier New" w:eastAsia="Times New Roman" w:hAnsi="Courier New" w:cs="Times New Roman"/>
      <w:i/>
      <w:szCs w:val="20"/>
      <w:lang w:eastAsia="en-US"/>
    </w:rPr>
  </w:style>
  <w:style w:type="paragraph" w:customStyle="1" w:styleId="HeadingBase">
    <w:name w:val="Heading Base"/>
    <w:rsid w:val="00EA4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9B4"/>
    <w:pPr>
      <w:tabs>
        <w:tab w:val="right" w:leader="dot" w:pos="9072"/>
      </w:tabs>
      <w:ind w:left="567"/>
    </w:pPr>
    <w:rPr>
      <w:szCs w:val="22"/>
    </w:rPr>
  </w:style>
  <w:style w:type="paragraph" w:customStyle="1" w:styleId="TOCBase">
    <w:name w:val="TOC Base"/>
    <w:rsid w:val="00EA4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9B4"/>
    <w:pPr>
      <w:tabs>
        <w:tab w:val="right" w:leader="dot" w:pos="9072"/>
      </w:tabs>
      <w:spacing w:before="40" w:after="40"/>
      <w:ind w:left="284"/>
    </w:pPr>
    <w:rPr>
      <w:rFonts w:ascii="Times New Roman" w:hAnsi="Times New Roman"/>
    </w:rPr>
  </w:style>
  <w:style w:type="paragraph" w:styleId="TOC1">
    <w:name w:val="toc 1"/>
    <w:basedOn w:val="TOCBase"/>
    <w:next w:val="Normal"/>
    <w:rsid w:val="00EA4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9B4"/>
    <w:rPr>
      <w:rFonts w:ascii="Times New Roman" w:eastAsia="Times New Roman" w:hAnsi="Times New Roman" w:cs="Times New Roman"/>
      <w:sz w:val="16"/>
      <w:lang w:eastAsia="en-US"/>
    </w:rPr>
  </w:style>
  <w:style w:type="paragraph" w:styleId="Title">
    <w:name w:val="Title"/>
    <w:basedOn w:val="HeadingBase"/>
    <w:link w:val="TitleChar"/>
    <w:qFormat/>
    <w:rsid w:val="00EA49B4"/>
    <w:pPr>
      <w:spacing w:before="5040"/>
      <w:jc w:val="center"/>
    </w:pPr>
    <w:rPr>
      <w:sz w:val="48"/>
      <w:szCs w:val="72"/>
      <w:lang w:val="en-US"/>
    </w:rPr>
  </w:style>
  <w:style w:type="character" w:customStyle="1" w:styleId="TitleChar">
    <w:name w:val="Title Char"/>
    <w:basedOn w:val="DefaultParagraphFont"/>
    <w:link w:val="Title"/>
    <w:rsid w:val="00EA4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9B4"/>
    <w:pPr>
      <w:tabs>
        <w:tab w:val="left" w:pos="3600"/>
        <w:tab w:val="left" w:pos="3958"/>
      </w:tabs>
    </w:pPr>
  </w:style>
  <w:style w:type="paragraph" w:styleId="List">
    <w:name w:val="List"/>
    <w:basedOn w:val="BodyText"/>
    <w:next w:val="BodyText"/>
    <w:rsid w:val="00EA49B4"/>
    <w:pPr>
      <w:tabs>
        <w:tab w:val="left" w:pos="340"/>
      </w:tabs>
      <w:spacing w:before="60" w:after="60"/>
      <w:ind w:left="340" w:hanging="340"/>
    </w:pPr>
  </w:style>
  <w:style w:type="paragraph" w:customStyle="1" w:styleId="Note">
    <w:name w:val="Note"/>
    <w:basedOn w:val="BodyText"/>
    <w:rsid w:val="00EA4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9B4"/>
    <w:pPr>
      <w:framePr w:wrap="auto" w:hAnchor="text" w:y="6049"/>
    </w:pPr>
    <w:rPr>
      <w:color w:val="000000"/>
      <w:sz w:val="40"/>
    </w:rPr>
  </w:style>
  <w:style w:type="paragraph" w:customStyle="1" w:styleId="TOCTitle">
    <w:name w:val="TOCTitle"/>
    <w:basedOn w:val="Heading1"/>
    <w:rsid w:val="00EA49B4"/>
    <w:pPr>
      <w:spacing w:after="240"/>
      <w:jc w:val="center"/>
      <w:outlineLvl w:val="9"/>
    </w:pPr>
    <w:rPr>
      <w:caps/>
    </w:rPr>
  </w:style>
  <w:style w:type="paragraph" w:customStyle="1" w:styleId="Version">
    <w:name w:val="Version"/>
    <w:rsid w:val="00EA49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9B4"/>
    <w:pPr>
      <w:keepNext w:val="0"/>
      <w:tabs>
        <w:tab w:val="right" w:pos="4176"/>
      </w:tabs>
      <w:ind w:left="198" w:hanging="198"/>
    </w:pPr>
    <w:rPr>
      <w:rFonts w:ascii="Garamond" w:hAnsi="Garamond"/>
    </w:rPr>
  </w:style>
  <w:style w:type="paragraph" w:styleId="IndexHeading">
    <w:name w:val="index heading"/>
    <w:basedOn w:val="Normal"/>
    <w:next w:val="Index1"/>
    <w:semiHidden/>
    <w:rsid w:val="00EA49B4"/>
    <w:pPr>
      <w:spacing w:before="120" w:after="120"/>
    </w:pPr>
    <w:rPr>
      <w:rFonts w:ascii="Arial" w:hAnsi="Arial"/>
      <w:b/>
      <w:color w:val="918585"/>
      <w:sz w:val="24"/>
    </w:rPr>
  </w:style>
  <w:style w:type="paragraph" w:styleId="Header">
    <w:name w:val="header"/>
    <w:basedOn w:val="Normal"/>
    <w:link w:val="HeaderChar"/>
    <w:rsid w:val="00EA4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9B4"/>
    <w:rPr>
      <w:rFonts w:ascii="Times New Roman" w:eastAsia="Times New Roman" w:hAnsi="Times New Roman" w:cs="Times New Roman"/>
      <w:sz w:val="16"/>
      <w:szCs w:val="20"/>
      <w:lang w:val="en-GB" w:eastAsia="en-US"/>
    </w:rPr>
  </w:style>
  <w:style w:type="paragraph" w:customStyle="1" w:styleId="Chapter">
    <w:name w:val="Chapter"/>
    <w:basedOn w:val="Normal"/>
    <w:rsid w:val="00EA49B4"/>
    <w:pPr>
      <w:spacing w:before="240"/>
    </w:pPr>
    <w:rPr>
      <w:rFonts w:ascii="Times New Roman" w:hAnsi="Times New Roman"/>
      <w:smallCaps/>
      <w:spacing w:val="80"/>
      <w:sz w:val="28"/>
    </w:rPr>
  </w:style>
  <w:style w:type="paragraph" w:customStyle="1" w:styleId="InChapter">
    <w:name w:val="InChapter"/>
    <w:basedOn w:val="Heading3"/>
    <w:rsid w:val="00EA49B4"/>
    <w:pPr>
      <w:spacing w:after="240"/>
      <w:outlineLvl w:val="9"/>
    </w:pPr>
    <w:rPr>
      <w:noProof/>
    </w:rPr>
  </w:style>
  <w:style w:type="paragraph" w:styleId="Index2">
    <w:name w:val="index 2"/>
    <w:basedOn w:val="Normal"/>
    <w:next w:val="Normal"/>
    <w:semiHidden/>
    <w:rsid w:val="00EA49B4"/>
    <w:pPr>
      <w:tabs>
        <w:tab w:val="right" w:pos="4176"/>
      </w:tabs>
      <w:ind w:left="568" w:hanging="284"/>
    </w:pPr>
    <w:rPr>
      <w:rFonts w:ascii="Garamond" w:hAnsi="Garamond"/>
    </w:rPr>
  </w:style>
  <w:style w:type="paragraph" w:customStyle="1" w:styleId="Byline">
    <w:name w:val="Byline"/>
    <w:rsid w:val="00EA4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9B4"/>
    <w:pPr>
      <w:tabs>
        <w:tab w:val="clear" w:pos="3600"/>
        <w:tab w:val="clear" w:pos="3958"/>
      </w:tabs>
      <w:jc w:val="right"/>
    </w:pPr>
  </w:style>
  <w:style w:type="character" w:styleId="Emphasis">
    <w:name w:val="Emphasis"/>
    <w:basedOn w:val="DefaultParagraphFont"/>
    <w:qFormat/>
    <w:rsid w:val="00EA49B4"/>
    <w:rPr>
      <w:i/>
    </w:rPr>
  </w:style>
  <w:style w:type="paragraph" w:styleId="Caption">
    <w:name w:val="caption"/>
    <w:basedOn w:val="BodyText"/>
    <w:next w:val="Normal"/>
    <w:qFormat/>
    <w:rsid w:val="00EA49B4"/>
    <w:pPr>
      <w:framePr w:w="2268" w:hSpace="181" w:vSpace="181" w:wrap="around" w:vAnchor="text" w:hAnchor="page" w:x="1135" w:y="285" w:anchorLock="1"/>
    </w:pPr>
    <w:rPr>
      <w:i/>
    </w:rPr>
  </w:style>
  <w:style w:type="paragraph" w:customStyle="1" w:styleId="MiniTOCTitle">
    <w:name w:val="MiniTOCTitle"/>
    <w:basedOn w:val="Heading4"/>
    <w:rsid w:val="00EA49B4"/>
    <w:pPr>
      <w:spacing w:before="240"/>
      <w:outlineLvl w:val="9"/>
    </w:pPr>
    <w:rPr>
      <w:noProof/>
      <w:sz w:val="24"/>
    </w:rPr>
  </w:style>
  <w:style w:type="paragraph" w:customStyle="1" w:styleId="MiniTOCItem">
    <w:name w:val="MiniTOCItem"/>
    <w:basedOn w:val="ListBullet"/>
    <w:rsid w:val="00EA49B4"/>
    <w:pPr>
      <w:numPr>
        <w:numId w:val="0"/>
      </w:numPr>
      <w:tabs>
        <w:tab w:val="right" w:leader="dot" w:pos="6521"/>
      </w:tabs>
      <w:spacing w:before="0" w:after="0"/>
    </w:pPr>
  </w:style>
  <w:style w:type="paragraph" w:customStyle="1" w:styleId="TOFTitle">
    <w:name w:val="TOFTitle"/>
    <w:basedOn w:val="TOCTitle"/>
    <w:rsid w:val="00EA49B4"/>
  </w:style>
  <w:style w:type="paragraph" w:styleId="TableofFigures">
    <w:name w:val="table of figures"/>
    <w:basedOn w:val="Normal"/>
    <w:next w:val="Normal"/>
    <w:semiHidden/>
    <w:rsid w:val="00EA49B4"/>
    <w:pPr>
      <w:tabs>
        <w:tab w:val="right" w:leader="dot" w:pos="9072"/>
      </w:tabs>
      <w:ind w:left="970" w:hanging="403"/>
    </w:pPr>
    <w:rPr>
      <w:rFonts w:ascii="Times New Roman" w:hAnsi="Times New Roman"/>
      <w:b/>
    </w:rPr>
  </w:style>
  <w:style w:type="paragraph" w:styleId="ListNumber">
    <w:name w:val="List Number"/>
    <w:basedOn w:val="List"/>
    <w:rsid w:val="00EA49B4"/>
    <w:pPr>
      <w:numPr>
        <w:numId w:val="11"/>
      </w:numPr>
    </w:pPr>
  </w:style>
  <w:style w:type="character" w:customStyle="1" w:styleId="WingdingSymbols">
    <w:name w:val="Wingding Symbols"/>
    <w:rsid w:val="00EA49B4"/>
    <w:rPr>
      <w:rFonts w:ascii="Wingdings" w:hAnsi="Wingdings"/>
    </w:rPr>
  </w:style>
  <w:style w:type="paragraph" w:customStyle="1" w:styleId="TableHeading">
    <w:name w:val="Table Heading"/>
    <w:basedOn w:val="HeadingBase"/>
    <w:rsid w:val="00EA49B4"/>
    <w:pPr>
      <w:keepLines/>
      <w:pBdr>
        <w:bottom w:val="single" w:sz="6" w:space="1" w:color="918585"/>
      </w:pBdr>
      <w:spacing w:before="240"/>
    </w:pPr>
  </w:style>
  <w:style w:type="character" w:customStyle="1" w:styleId="HotSpot">
    <w:name w:val="HotSpot"/>
    <w:rsid w:val="00EA49B4"/>
    <w:rPr>
      <w:color w:val="0033CC"/>
      <w:u w:val="none"/>
    </w:rPr>
  </w:style>
  <w:style w:type="paragraph" w:customStyle="1" w:styleId="BodyTextRight">
    <w:name w:val="Body Text Right"/>
    <w:basedOn w:val="BodyText"/>
    <w:rsid w:val="00EA49B4"/>
    <w:pPr>
      <w:spacing w:before="0" w:after="0"/>
      <w:jc w:val="right"/>
    </w:pPr>
  </w:style>
  <w:style w:type="paragraph" w:styleId="Index3">
    <w:name w:val="index 3"/>
    <w:basedOn w:val="ListNumber2"/>
    <w:next w:val="Normal"/>
    <w:semiHidden/>
    <w:rsid w:val="00EA49B4"/>
    <w:pPr>
      <w:numPr>
        <w:numId w:val="0"/>
      </w:numPr>
      <w:tabs>
        <w:tab w:val="right" w:leader="dot" w:pos="4176"/>
      </w:tabs>
    </w:pPr>
  </w:style>
  <w:style w:type="paragraph" w:styleId="ListNumber2">
    <w:name w:val="List Number 2"/>
    <w:basedOn w:val="List2"/>
    <w:rsid w:val="00EA49B4"/>
    <w:pPr>
      <w:numPr>
        <w:numId w:val="10"/>
      </w:numPr>
      <w:tabs>
        <w:tab w:val="clear" w:pos="1060"/>
      </w:tabs>
    </w:pPr>
  </w:style>
  <w:style w:type="paragraph" w:customStyle="1" w:styleId="MarginNote">
    <w:name w:val="Margin Note"/>
    <w:basedOn w:val="BodyText"/>
    <w:rsid w:val="00EA4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9B4"/>
    <w:rPr>
      <w:sz w:val="32"/>
    </w:rPr>
  </w:style>
  <w:style w:type="paragraph" w:customStyle="1" w:styleId="HeadingProcedure">
    <w:name w:val="Heading Procedure"/>
    <w:basedOn w:val="HeadingBase"/>
    <w:next w:val="Normal"/>
    <w:rsid w:val="00EA49B4"/>
    <w:pPr>
      <w:tabs>
        <w:tab w:val="left" w:pos="0"/>
      </w:tabs>
      <w:spacing w:before="120" w:after="60"/>
    </w:pPr>
    <w:rPr>
      <w:i/>
      <w:color w:val="918585"/>
      <w:sz w:val="22"/>
    </w:rPr>
  </w:style>
  <w:style w:type="paragraph" w:customStyle="1" w:styleId="TableBodyText">
    <w:name w:val="Table Body Text"/>
    <w:basedOn w:val="BodyText"/>
    <w:rsid w:val="00EA49B4"/>
    <w:pPr>
      <w:spacing w:before="60" w:after="60"/>
    </w:pPr>
  </w:style>
  <w:style w:type="paragraph" w:styleId="ListContinue">
    <w:name w:val="List Continue"/>
    <w:basedOn w:val="List"/>
    <w:rsid w:val="00EA49B4"/>
    <w:pPr>
      <w:ind w:firstLine="0"/>
    </w:pPr>
  </w:style>
  <w:style w:type="paragraph" w:customStyle="1" w:styleId="ListNote">
    <w:name w:val="List Note"/>
    <w:basedOn w:val="List"/>
    <w:rsid w:val="00EA49B4"/>
    <w:pPr>
      <w:pBdr>
        <w:top w:val="single" w:sz="6" w:space="2" w:color="918585"/>
        <w:bottom w:val="single" w:sz="6" w:space="2" w:color="918585"/>
      </w:pBdr>
      <w:tabs>
        <w:tab w:val="left" w:pos="1021"/>
      </w:tabs>
      <w:ind w:firstLine="0"/>
    </w:pPr>
  </w:style>
  <w:style w:type="paragraph" w:customStyle="1" w:styleId="Warning">
    <w:name w:val="Warning"/>
    <w:basedOn w:val="BodyText"/>
    <w:rsid w:val="00EA49B4"/>
    <w:pPr>
      <w:shd w:val="clear" w:color="auto" w:fill="D9D9D9"/>
      <w:tabs>
        <w:tab w:val="left" w:pos="992"/>
      </w:tabs>
      <w:ind w:left="119" w:right="119"/>
    </w:pPr>
    <w:rPr>
      <w:sz w:val="20"/>
    </w:rPr>
  </w:style>
  <w:style w:type="paragraph" w:customStyle="1" w:styleId="MarginIcons">
    <w:name w:val="Margin Icons"/>
    <w:basedOn w:val="BodyText"/>
    <w:rsid w:val="00EA4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9B4"/>
    <w:rPr>
      <w:rFonts w:ascii="Courier New" w:hAnsi="Courier New"/>
    </w:rPr>
  </w:style>
  <w:style w:type="paragraph" w:customStyle="1" w:styleId="NoteBullet">
    <w:name w:val="Note Bullet"/>
    <w:basedOn w:val="Note"/>
    <w:rsid w:val="00EA49B4"/>
    <w:pPr>
      <w:tabs>
        <w:tab w:val="clear" w:pos="680"/>
      </w:tabs>
      <w:spacing w:before="60" w:after="60"/>
    </w:pPr>
  </w:style>
  <w:style w:type="paragraph" w:customStyle="1" w:styleId="SubHeading2">
    <w:name w:val="SubHeading2"/>
    <w:basedOn w:val="HeadingBase"/>
    <w:rsid w:val="00EA49B4"/>
    <w:pPr>
      <w:spacing w:before="240" w:after="60"/>
    </w:pPr>
    <w:rPr>
      <w:sz w:val="20"/>
    </w:rPr>
  </w:style>
  <w:style w:type="paragraph" w:customStyle="1" w:styleId="SubHeading1">
    <w:name w:val="SubHeading1"/>
    <w:basedOn w:val="HeadingBase"/>
    <w:rsid w:val="00EA49B4"/>
    <w:pPr>
      <w:spacing w:before="240" w:after="60"/>
    </w:pPr>
    <w:rPr>
      <w:color w:val="918585"/>
      <w:sz w:val="22"/>
    </w:rPr>
  </w:style>
  <w:style w:type="paragraph" w:customStyle="1" w:styleId="SideHeading">
    <w:name w:val="Side Heading"/>
    <w:basedOn w:val="HeadingBase"/>
    <w:rsid w:val="00EA4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9B4"/>
    <w:pPr>
      <w:numPr>
        <w:numId w:val="12"/>
      </w:numPr>
    </w:pPr>
  </w:style>
  <w:style w:type="paragraph" w:styleId="PlainText">
    <w:name w:val="Plain Text"/>
    <w:basedOn w:val="Normal"/>
    <w:link w:val="PlainTextChar"/>
    <w:rsid w:val="00EA49B4"/>
    <w:rPr>
      <w:sz w:val="20"/>
    </w:rPr>
  </w:style>
  <w:style w:type="character" w:customStyle="1" w:styleId="PlainTextChar">
    <w:name w:val="Plain Text Char"/>
    <w:basedOn w:val="DefaultParagraphFont"/>
    <w:link w:val="PlainText"/>
    <w:rsid w:val="00EA49B4"/>
    <w:rPr>
      <w:rFonts w:ascii="Courier New" w:eastAsia="Times New Roman" w:hAnsi="Courier New" w:cs="Times New Roman"/>
      <w:sz w:val="20"/>
      <w:szCs w:val="20"/>
      <w:lang w:eastAsia="en-US"/>
    </w:rPr>
  </w:style>
  <w:style w:type="character" w:customStyle="1" w:styleId="MenuOption">
    <w:name w:val="Menu Option"/>
    <w:basedOn w:val="DefaultParagraphFont"/>
    <w:rsid w:val="00EA49B4"/>
    <w:rPr>
      <w:b/>
      <w:smallCaps/>
    </w:rPr>
  </w:style>
  <w:style w:type="paragraph" w:customStyle="1" w:styleId="TableListNumber">
    <w:name w:val="Table List Number"/>
    <w:basedOn w:val="ListNumber"/>
    <w:rsid w:val="00EA49B4"/>
    <w:pPr>
      <w:numPr>
        <w:numId w:val="0"/>
      </w:numPr>
    </w:pPr>
  </w:style>
  <w:style w:type="paragraph" w:styleId="TOC4">
    <w:name w:val="toc 4"/>
    <w:basedOn w:val="TOCBase"/>
    <w:next w:val="Normal"/>
    <w:semiHidden/>
    <w:rsid w:val="00EA49B4"/>
    <w:pPr>
      <w:tabs>
        <w:tab w:val="right" w:leader="dot" w:pos="9071"/>
      </w:tabs>
      <w:ind w:left="1701"/>
    </w:pPr>
  </w:style>
  <w:style w:type="paragraph" w:customStyle="1" w:styleId="ListAlpha">
    <w:name w:val="List Alpha"/>
    <w:basedOn w:val="List"/>
    <w:rsid w:val="00EA49B4"/>
    <w:pPr>
      <w:numPr>
        <w:numId w:val="9"/>
      </w:numPr>
    </w:pPr>
  </w:style>
  <w:style w:type="paragraph" w:customStyle="1" w:styleId="ListAlpha2">
    <w:name w:val="List Alpha 2"/>
    <w:basedOn w:val="List2"/>
    <w:rsid w:val="00EA49B4"/>
    <w:pPr>
      <w:numPr>
        <w:numId w:val="8"/>
      </w:numPr>
    </w:pPr>
  </w:style>
  <w:style w:type="paragraph" w:styleId="List2">
    <w:name w:val="List 2"/>
    <w:basedOn w:val="BodyText"/>
    <w:rsid w:val="00EA49B4"/>
    <w:pPr>
      <w:tabs>
        <w:tab w:val="left" w:pos="680"/>
      </w:tabs>
      <w:spacing w:before="60" w:after="60"/>
      <w:ind w:left="680" w:hanging="340"/>
    </w:pPr>
  </w:style>
  <w:style w:type="paragraph" w:styleId="List3">
    <w:name w:val="List 3"/>
    <w:basedOn w:val="BodyText"/>
    <w:rsid w:val="00EA49B4"/>
    <w:pPr>
      <w:tabs>
        <w:tab w:val="left" w:pos="1021"/>
      </w:tabs>
      <w:spacing w:before="60" w:after="60"/>
      <w:ind w:left="1020" w:hanging="340"/>
    </w:pPr>
  </w:style>
  <w:style w:type="paragraph" w:styleId="List4">
    <w:name w:val="List 4"/>
    <w:basedOn w:val="BodyText"/>
    <w:rsid w:val="00EA49B4"/>
    <w:pPr>
      <w:tabs>
        <w:tab w:val="left" w:pos="1361"/>
      </w:tabs>
      <w:spacing w:before="60" w:after="60"/>
      <w:ind w:left="1361" w:hanging="340"/>
    </w:pPr>
  </w:style>
  <w:style w:type="paragraph" w:styleId="List5">
    <w:name w:val="List 5"/>
    <w:basedOn w:val="BodyText"/>
    <w:rsid w:val="00EA49B4"/>
    <w:pPr>
      <w:tabs>
        <w:tab w:val="left" w:pos="1701"/>
      </w:tabs>
      <w:spacing w:before="60" w:after="60"/>
      <w:ind w:left="1701" w:hanging="340"/>
    </w:pPr>
  </w:style>
  <w:style w:type="paragraph" w:styleId="ListBullet3">
    <w:name w:val="List Bullet 3"/>
    <w:basedOn w:val="List3"/>
    <w:rsid w:val="00EA49B4"/>
    <w:pPr>
      <w:numPr>
        <w:numId w:val="15"/>
      </w:numPr>
      <w:tabs>
        <w:tab w:val="clear" w:pos="1021"/>
      </w:tabs>
      <w:ind w:left="1037" w:hanging="357"/>
    </w:pPr>
  </w:style>
  <w:style w:type="paragraph" w:styleId="ListBullet4">
    <w:name w:val="List Bullet 4"/>
    <w:basedOn w:val="List4"/>
    <w:rsid w:val="00EA49B4"/>
    <w:pPr>
      <w:numPr>
        <w:numId w:val="3"/>
      </w:numPr>
    </w:pPr>
  </w:style>
  <w:style w:type="paragraph" w:styleId="ListBullet5">
    <w:name w:val="List Bullet 5"/>
    <w:basedOn w:val="List5"/>
    <w:rsid w:val="00EA49B4"/>
    <w:pPr>
      <w:numPr>
        <w:numId w:val="4"/>
      </w:numPr>
    </w:pPr>
  </w:style>
  <w:style w:type="paragraph" w:styleId="ListContinue2">
    <w:name w:val="List Continue 2"/>
    <w:basedOn w:val="List2"/>
    <w:rsid w:val="00EA49B4"/>
    <w:pPr>
      <w:ind w:firstLine="0"/>
    </w:pPr>
  </w:style>
  <w:style w:type="paragraph" w:styleId="ListContinue3">
    <w:name w:val="List Continue 3"/>
    <w:basedOn w:val="List3"/>
    <w:rsid w:val="00EA49B4"/>
    <w:pPr>
      <w:ind w:left="1021" w:firstLine="0"/>
    </w:pPr>
  </w:style>
  <w:style w:type="paragraph" w:styleId="ListContinue4">
    <w:name w:val="List Continue 4"/>
    <w:basedOn w:val="List4"/>
    <w:rsid w:val="00EA49B4"/>
    <w:pPr>
      <w:ind w:firstLine="0"/>
    </w:pPr>
  </w:style>
  <w:style w:type="paragraph" w:styleId="ListContinue5">
    <w:name w:val="List Continue 5"/>
    <w:basedOn w:val="List5"/>
    <w:rsid w:val="00EA49B4"/>
    <w:pPr>
      <w:ind w:firstLine="0"/>
    </w:pPr>
  </w:style>
  <w:style w:type="paragraph" w:styleId="ListNumber3">
    <w:name w:val="List Number 3"/>
    <w:basedOn w:val="List3"/>
    <w:rsid w:val="00EA49B4"/>
    <w:pPr>
      <w:numPr>
        <w:numId w:val="5"/>
      </w:numPr>
    </w:pPr>
  </w:style>
  <w:style w:type="paragraph" w:styleId="ListNumber4">
    <w:name w:val="List Number 4"/>
    <w:basedOn w:val="List4"/>
    <w:rsid w:val="00EA49B4"/>
    <w:pPr>
      <w:numPr>
        <w:numId w:val="6"/>
      </w:numPr>
    </w:pPr>
  </w:style>
  <w:style w:type="paragraph" w:styleId="ListNumber5">
    <w:name w:val="List Number 5"/>
    <w:basedOn w:val="List5"/>
    <w:rsid w:val="00EA49B4"/>
    <w:pPr>
      <w:numPr>
        <w:numId w:val="7"/>
      </w:numPr>
    </w:pPr>
  </w:style>
  <w:style w:type="paragraph" w:styleId="BlockText">
    <w:name w:val="Block Text"/>
    <w:basedOn w:val="Normal"/>
    <w:rsid w:val="00EA49B4"/>
    <w:pPr>
      <w:spacing w:after="120"/>
      <w:ind w:left="1440" w:right="1440"/>
    </w:pPr>
  </w:style>
  <w:style w:type="character" w:customStyle="1" w:styleId="Subscript">
    <w:name w:val="Subscript"/>
    <w:basedOn w:val="DefaultParagraphFont"/>
    <w:rsid w:val="00EA49B4"/>
    <w:rPr>
      <w:sz w:val="16"/>
      <w:vertAlign w:val="subscript"/>
    </w:rPr>
  </w:style>
  <w:style w:type="character" w:customStyle="1" w:styleId="Superscript">
    <w:name w:val="Superscript"/>
    <w:basedOn w:val="DefaultParagraphFont"/>
    <w:rsid w:val="00EA49B4"/>
    <w:rPr>
      <w:sz w:val="16"/>
      <w:vertAlign w:val="superscript"/>
    </w:rPr>
  </w:style>
  <w:style w:type="character" w:customStyle="1" w:styleId="Symbols">
    <w:name w:val="Symbols"/>
    <w:basedOn w:val="DefaultParagraphFont"/>
    <w:rsid w:val="00EA49B4"/>
    <w:rPr>
      <w:rFonts w:ascii="Symbol" w:hAnsi="Symbol"/>
    </w:rPr>
  </w:style>
  <w:style w:type="character" w:customStyle="1" w:styleId="MenuOptions">
    <w:name w:val="Menu Options"/>
    <w:basedOn w:val="DefaultParagraphFont"/>
    <w:rsid w:val="00EA49B4"/>
    <w:rPr>
      <w:rFonts w:ascii="Arial Narrow" w:hAnsi="Arial Narrow"/>
      <w:smallCaps/>
    </w:rPr>
  </w:style>
  <w:style w:type="character" w:customStyle="1" w:styleId="Buttons">
    <w:name w:val="Buttons"/>
    <w:basedOn w:val="DefaultParagraphFont"/>
    <w:rsid w:val="00EA49B4"/>
    <w:rPr>
      <w:b/>
    </w:rPr>
  </w:style>
  <w:style w:type="character" w:customStyle="1" w:styleId="Underlined">
    <w:name w:val="Underlined"/>
    <w:basedOn w:val="DefaultParagraphFont"/>
    <w:rsid w:val="00EA49B4"/>
    <w:rPr>
      <w:u w:val="single"/>
    </w:rPr>
  </w:style>
  <w:style w:type="paragraph" w:customStyle="1" w:styleId="TableBodyTextRight">
    <w:name w:val="Table Body Text Right"/>
    <w:basedOn w:val="TableBodyText"/>
    <w:rsid w:val="00EA49B4"/>
    <w:pPr>
      <w:widowControl w:val="0"/>
      <w:autoSpaceDE w:val="0"/>
      <w:autoSpaceDN w:val="0"/>
      <w:adjustRightInd w:val="0"/>
      <w:jc w:val="right"/>
    </w:pPr>
    <w:rPr>
      <w:rFonts w:cs="Arial"/>
      <w:szCs w:val="18"/>
    </w:rPr>
  </w:style>
  <w:style w:type="paragraph" w:customStyle="1" w:styleId="CopyrightText">
    <w:name w:val="Copyright Text"/>
    <w:basedOn w:val="BodyText"/>
    <w:rsid w:val="00EA49B4"/>
    <w:rPr>
      <w:sz w:val="18"/>
    </w:rPr>
  </w:style>
  <w:style w:type="paragraph" w:customStyle="1" w:styleId="BodySmallRight">
    <w:name w:val="Body Small Right"/>
    <w:basedOn w:val="BodyTextRight"/>
    <w:rsid w:val="00EA49B4"/>
    <w:rPr>
      <w:sz w:val="18"/>
      <w:szCs w:val="18"/>
    </w:rPr>
  </w:style>
  <w:style w:type="paragraph" w:customStyle="1" w:styleId="MarginEdition">
    <w:name w:val="Margin Edition"/>
    <w:basedOn w:val="MarginNote"/>
    <w:rsid w:val="00EA49B4"/>
    <w:pPr>
      <w:spacing w:before="0" w:after="0"/>
    </w:pPr>
    <w:rPr>
      <w:rFonts w:ascii="Times New Roman" w:hAnsi="Times New Roman"/>
      <w:color w:val="999999"/>
    </w:rPr>
  </w:style>
  <w:style w:type="paragraph" w:customStyle="1" w:styleId="Spacer">
    <w:name w:val="Spacer"/>
    <w:basedOn w:val="Normal"/>
    <w:rsid w:val="00EA49B4"/>
    <w:rPr>
      <w:sz w:val="2"/>
      <w:szCs w:val="2"/>
    </w:rPr>
  </w:style>
  <w:style w:type="character" w:customStyle="1" w:styleId="Small">
    <w:name w:val="Small"/>
    <w:basedOn w:val="DefaultParagraphFont"/>
    <w:rsid w:val="00EA49B4"/>
    <w:rPr>
      <w:sz w:val="16"/>
    </w:rPr>
  </w:style>
  <w:style w:type="paragraph" w:customStyle="1" w:styleId="WideTable">
    <w:name w:val="Wide Table"/>
    <w:basedOn w:val="Normal"/>
    <w:rsid w:val="00EA49B4"/>
    <w:pPr>
      <w:ind w:left="-1418"/>
    </w:pPr>
    <w:rPr>
      <w:sz w:val="2"/>
      <w:szCs w:val="2"/>
    </w:rPr>
  </w:style>
  <w:style w:type="character" w:styleId="PageNumber">
    <w:name w:val="page number"/>
    <w:basedOn w:val="DefaultParagraphFont"/>
    <w:rsid w:val="00EA49B4"/>
  </w:style>
  <w:style w:type="paragraph" w:styleId="Quote">
    <w:name w:val="Quote"/>
    <w:basedOn w:val="Heading1"/>
    <w:link w:val="QuoteChar"/>
    <w:qFormat/>
    <w:rsid w:val="00EA49B4"/>
    <w:rPr>
      <w:b w:val="0"/>
      <w:sz w:val="72"/>
      <w:szCs w:val="72"/>
      <w:lang w:val="en-NZ"/>
    </w:rPr>
  </w:style>
  <w:style w:type="character" w:customStyle="1" w:styleId="QuoteChar">
    <w:name w:val="Quote Char"/>
    <w:basedOn w:val="DefaultParagraphFont"/>
    <w:link w:val="Quote"/>
    <w:rsid w:val="00EA4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9B4"/>
    <w:pPr>
      <w:pageBreakBefore/>
    </w:pPr>
  </w:style>
  <w:style w:type="paragraph" w:customStyle="1" w:styleId="Border">
    <w:name w:val="Border"/>
    <w:basedOn w:val="Normal"/>
    <w:qFormat/>
    <w:rsid w:val="00EA4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9B4"/>
    <w:rPr>
      <w:b/>
      <w:bCs/>
      <w:i/>
      <w:iCs/>
      <w:color w:val="auto"/>
    </w:rPr>
  </w:style>
  <w:style w:type="paragraph" w:styleId="IntenseQuote">
    <w:name w:val="Intense Quote"/>
    <w:basedOn w:val="Normal"/>
    <w:next w:val="Normal"/>
    <w:link w:val="IntenseQuoteChar"/>
    <w:uiPriority w:val="30"/>
    <w:qFormat/>
    <w:rsid w:val="00EA4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9B4"/>
    <w:rPr>
      <w:smallCaps/>
      <w:color w:val="auto"/>
      <w:u w:val="single"/>
    </w:rPr>
  </w:style>
  <w:style w:type="character" w:styleId="IntenseReference">
    <w:name w:val="Intense Reference"/>
    <w:basedOn w:val="DefaultParagraphFont"/>
    <w:uiPriority w:val="32"/>
    <w:qFormat/>
    <w:rsid w:val="00EA49B4"/>
    <w:rPr>
      <w:b/>
      <w:bCs/>
      <w:smallCaps/>
      <w:color w:val="auto"/>
      <w:spacing w:val="5"/>
      <w:u w:val="single"/>
    </w:rPr>
  </w:style>
  <w:style w:type="paragraph" w:customStyle="1" w:styleId="2ColumnHeading">
    <w:name w:val="2Column Heading"/>
    <w:basedOn w:val="BodyText"/>
    <w:qFormat/>
    <w:rsid w:val="00EA49B4"/>
    <w:pPr>
      <w:spacing w:after="60"/>
      <w:ind w:left="-2268"/>
    </w:pPr>
    <w:rPr>
      <w:b/>
    </w:rPr>
  </w:style>
  <w:style w:type="paragraph" w:customStyle="1" w:styleId="Heading1TOC">
    <w:name w:val="Heading1 TOC"/>
    <w:basedOn w:val="Normal"/>
    <w:qFormat/>
    <w:rsid w:val="00EA49B4"/>
    <w:pPr>
      <w:spacing w:before="240" w:after="120"/>
    </w:pPr>
    <w:rPr>
      <w:rFonts w:ascii="Times New Roman" w:hAnsi="Times New Roman"/>
      <w:b/>
      <w:sz w:val="32"/>
    </w:rPr>
  </w:style>
  <w:style w:type="paragraph" w:customStyle="1" w:styleId="Heading2TOC">
    <w:name w:val="Heading2 TOC"/>
    <w:basedOn w:val="Normal"/>
    <w:qFormat/>
    <w:rsid w:val="00EA49B4"/>
    <w:pPr>
      <w:spacing w:before="240" w:after="60"/>
    </w:pPr>
    <w:rPr>
      <w:rFonts w:ascii="Times New Roman" w:hAnsi="Times New Roman"/>
      <w:b/>
      <w:sz w:val="28"/>
    </w:rPr>
  </w:style>
  <w:style w:type="character" w:customStyle="1" w:styleId="Underline">
    <w:name w:val="Underline"/>
    <w:basedOn w:val="DefaultParagraphFont"/>
    <w:qFormat/>
    <w:rsid w:val="00EA49B4"/>
    <w:rPr>
      <w:u w:val="single"/>
    </w:rPr>
  </w:style>
  <w:style w:type="character" w:customStyle="1" w:styleId="BoldandItalics">
    <w:name w:val="Bold and Italics"/>
    <w:qFormat/>
    <w:rsid w:val="00EA49B4"/>
    <w:rPr>
      <w:b/>
      <w:i/>
      <w:u w:val="none"/>
    </w:rPr>
  </w:style>
  <w:style w:type="paragraph" w:styleId="BalloonText">
    <w:name w:val="Balloon Text"/>
    <w:basedOn w:val="Normal"/>
    <w:link w:val="BalloonTextChar"/>
    <w:rsid w:val="00EA49B4"/>
    <w:rPr>
      <w:rFonts w:ascii="Tahoma" w:hAnsi="Tahoma" w:cs="Tahoma"/>
      <w:sz w:val="16"/>
      <w:szCs w:val="16"/>
    </w:rPr>
  </w:style>
  <w:style w:type="character" w:customStyle="1" w:styleId="BalloonTextChar">
    <w:name w:val="Balloon Text Char"/>
    <w:basedOn w:val="DefaultParagraphFont"/>
    <w:link w:val="BalloonText"/>
    <w:rsid w:val="00EA4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9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9B4"/>
    <w:rPr>
      <w:b/>
      <w:color w:val="660033"/>
      <w:spacing w:val="0"/>
    </w:rPr>
  </w:style>
  <w:style w:type="paragraph" w:customStyle="1" w:styleId="Nameditemlist">
    <w:name w:val="Named item list"/>
    <w:basedOn w:val="BodyText"/>
    <w:qFormat/>
    <w:rsid w:val="00EA49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2132</Words>
  <Characters>12703</Characters>
  <Application>Microsoft Office Word</Application>
  <DocSecurity>0</DocSecurity>
  <Lines>528</Lines>
  <Paragraphs>195</Paragraphs>
  <ScaleCrop>false</ScaleCrop>
  <Company>Author-it Software Corporation Ltd.</Company>
  <LinksUpToDate>false</LinksUpToDate>
  <CharactersWithSpaces>14671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UEENEEK111A Assemble and connect remote area power supplies</dc:title>
  <dc:subject>Approved</dc:subject>
  <dc:creator>E-OZ Training Standards</dc:creator>
  <cp:keywords>Release: 2</cp:keywords>
  <dc:description>Review Date: 12 April 2008</dc:description>
  <cp:lastModifiedBy>HSD_TPCMSd.prod</cp:lastModifiedBy>
  <cp:revision>3</cp:revision>
  <dcterms:created xsi:type="dcterms:W3CDTF">2013-08-14T06:17:00Z</dcterms:created>
  <dcterms:modified xsi:type="dcterms:W3CDTF">2013-08-14T06:17:00Z</dcterms:modified>
</cp:coreProperties>
</file>