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B87" w:rsidP="00395B87">
      <w:pPr>
        <w:pStyle w:val="Title"/>
      </w:pPr>
      <w:bookmarkStart w:id="0" w:name="_GoBack"/>
      <w:bookmarkEnd w:id="0"/>
      <w:r>
        <w:fldChar w:fldCharType="begin"/>
      </w:r>
      <w:r>
        <w:instrText xml:space="preserve"> TITLE   \* MERGEFORMAT </w:instrText>
      </w:r>
      <w:r>
        <w:fldChar w:fldCharType="separate"/>
      </w:r>
      <w:r>
        <w:t>UEENEEI157A Configure and maintain industrial control system networks</w:t>
      </w:r>
      <w:r>
        <w:fldChar w:fldCharType="end"/>
      </w:r>
    </w:p>
    <w:p w:rsidR="00395B87" w:rsidP="00395B87">
      <w:pPr>
        <w:pStyle w:val="Version"/>
        <w:sectPr w:rsidSect="00BB0B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0BE0" w:rsidP="00BB0BE0">
      <w:pPr>
        <w:pStyle w:val="SuperHeading"/>
      </w:pPr>
      <w:r w:rsidRPr="00BB0BE0">
        <w:t>UEENEEI157A Configure and maintain industrial control system networks</w:t>
      </w:r>
    </w:p>
    <w:p w:rsidR="00000000" w:rsidRPr="00BB0BE0" w:rsidP="00BB0BE0">
      <w:pPr>
        <w:pStyle w:val="Heading1"/>
      </w:pPr>
      <w:bookmarkStart w:id="1" w:name="O_534303"/>
      <w:bookmarkEnd w:id="1"/>
      <w:r w:rsidRPr="00BB0BE0">
        <w:t>Modification History</w:t>
      </w:r>
    </w:p>
    <w:tbl>
      <w:tblPr>
        <w:tblW w:w="0" w:type="auto"/>
        <w:tblCellMar>
          <w:left w:w="62" w:type="dxa"/>
          <w:right w:w="62" w:type="dxa"/>
        </w:tblCellMar>
        <w:tblLook w:val="0000"/>
      </w:tblPr>
      <w:tblGrid>
        <w:gridCol w:w="761"/>
        <w:gridCol w:w="761"/>
        <w:gridCol w:w="1270"/>
        <w:gridCol w:w="5347"/>
        <w:gridCol w:w="1057"/>
      </w:tblGrid>
      <w:tr w:rsidTr="00395B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 xml:space="preserve">UEENEEI157A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Configure and maintain industrial control system networks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p>
        </w:tc>
      </w:tr>
      <w:tr w:rsidTr="00395B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Points</w:t>
            </w:r>
          </w:p>
        </w:tc>
      </w:tr>
      <w:tr w:rsidTr="00395B87">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p>
        </w:tc>
      </w:tr>
      <w:tr w:rsidTr="00395B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p>
        </w:tc>
      </w:tr>
      <w:tr w:rsidTr="00395B87">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BE0">
            <w:pPr>
              <w:pStyle w:val="BodyText"/>
              <w:rPr>
                <w:lang w:val="en-NZ"/>
              </w:rPr>
            </w:pPr>
            <w:r w:rsidRPr="00BB0BE0">
              <w:t>Replace “</w:t>
            </w:r>
            <w:r w:rsidRPr="00BB0BE0">
              <w:t>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BE0" w:rsidP="00BB0BE0">
            <w:pPr>
              <w:pStyle w:val="BodyText"/>
            </w:pP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2" w:name="O_534301"/>
      <w:bookmarkEnd w:id="2"/>
      <w:r w:rsidRPr="00BB0BE0">
        <w:t>Unit Descriptor</w:t>
      </w:r>
    </w:p>
    <w:tbl>
      <w:tblPr>
        <w:tblW w:w="0" w:type="auto"/>
        <w:tblLayout w:type="fixed"/>
        <w:tblCellMar>
          <w:left w:w="62" w:type="dxa"/>
          <w:right w:w="62" w:type="dxa"/>
        </w:tblCellMar>
        <w:tblLook w:val="0000"/>
      </w:tblPr>
      <w:tblGrid>
        <w:gridCol w:w="2700"/>
        <w:gridCol w:w="5760"/>
      </w:tblGrid>
      <w:tr w:rsidTr="00395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1)</w:t>
            </w:r>
            <w:r w:rsidRPr="00BB0BE0">
              <w:t xml:space="preserve"> </w:t>
            </w:r>
            <w:r w:rsidRPr="00BB0BE0">
              <w:rPr>
                <w:rStyle w:val="SpecialBold"/>
              </w:rPr>
              <w:t>Scope:</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0BE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1.1) Descriptor</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 xml:space="preserve">This unit covers installing, configuring and maintaining communication service on a control network. It encompasses safe working practices, applying knowledge of industrial control network topology and protocols, configuring data links, bus monitoring and </w:t>
            </w:r>
            <w:r w:rsidRPr="00BB0BE0">
              <w:t>system management and access, network testing and documenting system settings.</w:t>
            </w:r>
          </w:p>
          <w:p w:rsidR="00000000" w:rsidRPr="00BB0BE0" w:rsidP="00BB0BE0">
            <w:pPr>
              <w:pStyle w:val="BodyText"/>
            </w:pPr>
            <w:r w:rsidRPr="00BB0BE0">
              <w:t xml:space="preserve">Note: </w:t>
            </w:r>
          </w:p>
          <w:p w:rsidR="00000000" w:rsidRPr="00BB0BE0" w:rsidP="00BB0BE0">
            <w:pPr>
              <w:pStyle w:val="BodyText"/>
            </w:pPr>
            <w:r w:rsidRPr="00BB0BE0">
              <w:t>This unit applies to all aspects of Electrotechnology – engineering applications only. For general competencies related to Information Technologies refer to the latest en</w:t>
            </w:r>
            <w:r w:rsidRPr="00BB0BE0">
              <w:t>dorsed IT Training Package.</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3" w:name="O_534299"/>
      <w:bookmarkEnd w:id="3"/>
      <w:r w:rsidRPr="00BB0BE0">
        <w:t>Application of the Unit</w:t>
      </w:r>
    </w:p>
    <w:tbl>
      <w:tblPr>
        <w:tblW w:w="0" w:type="auto"/>
        <w:tblLayout w:type="fixed"/>
        <w:tblCellMar>
          <w:left w:w="62" w:type="dxa"/>
          <w:right w:w="62" w:type="dxa"/>
        </w:tblCellMar>
        <w:tblLook w:val="0000"/>
      </w:tblPr>
      <w:tblGrid>
        <w:gridCol w:w="2672"/>
        <w:gridCol w:w="5699"/>
      </w:tblGrid>
      <w:tr w:rsidTr="00395B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2)</w:t>
            </w:r>
          </w:p>
        </w:tc>
      </w:tr>
      <w:tr w:rsidTr="00395B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This unit applies to any recognised development program that leads to the acquisition of a formal award at AQF level 5 or higher.</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4" w:name="O_534296"/>
      <w:bookmarkEnd w:id="4"/>
      <w:r w:rsidRPr="00BB0BE0">
        <w:t>Licensing/Regulatory Information</w:t>
      </w:r>
    </w:p>
    <w:tbl>
      <w:tblPr>
        <w:tblW w:w="0" w:type="auto"/>
        <w:tblLayout w:type="fixed"/>
        <w:tblCellMar>
          <w:left w:w="62" w:type="dxa"/>
          <w:right w:w="62" w:type="dxa"/>
        </w:tblCellMar>
        <w:tblLook w:val="0000"/>
      </w:tblPr>
      <w:tblGrid>
        <w:gridCol w:w="2700"/>
        <w:gridCol w:w="5760"/>
      </w:tblGrid>
      <w:tr w:rsidTr="00395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 xml:space="preserve">3) </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The skills and knowledge described in this unit do not require a license to practice in the workplace. However, practice in this unit is subject to regulations directly related to occupational heal</w:t>
            </w:r>
            <w:r w:rsidRPr="00BB0BE0">
              <w:t>th and safety and where applicable contracts of training such as apprenticeships.</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5" w:name="O_534293"/>
      <w:bookmarkEnd w:id="5"/>
      <w:r w:rsidRPr="00BB0BE0">
        <w:t>Pre-Requisites</w:t>
      </w:r>
    </w:p>
    <w:tbl>
      <w:tblPr>
        <w:tblW w:w="0" w:type="auto"/>
        <w:tblLayout w:type="fixed"/>
        <w:tblCellMar>
          <w:left w:w="62" w:type="dxa"/>
          <w:right w:w="62" w:type="dxa"/>
        </w:tblCellMar>
        <w:tblLook w:val="0000"/>
      </w:tblPr>
      <w:tblGrid>
        <w:gridCol w:w="2638"/>
        <w:gridCol w:w="1800"/>
        <w:gridCol w:w="3960"/>
      </w:tblGrid>
      <w:tr w:rsidTr="00BB0BE0">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 xml:space="preserve">4) </w:t>
            </w:r>
          </w:p>
        </w:tc>
      </w:tr>
      <w:tr w:rsidTr="00BB0BE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4.1)</w:t>
            </w:r>
          </w:p>
        </w:tc>
      </w:tr>
      <w:tr w:rsidTr="00BB0BE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Granting of competency in this unit shall be made only after competency in the following unit(s) has/have been confirmed.</w:t>
            </w:r>
          </w:p>
        </w:tc>
      </w:tr>
      <w:tr w:rsidTr="00BB0BE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Unit Code</w:t>
            </w:r>
          </w:p>
        </w:tc>
        <w:tc>
          <w:tcPr>
            <w:tcW w:w="39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Unit Title</w:t>
            </w:r>
          </w:p>
        </w:tc>
      </w:tr>
      <w:tr w:rsidTr="00BB0BE0">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BB0BE0" w:rsidP="00BB0BE0">
            <w:pPr>
              <w:pStyle w:val="BodyText"/>
            </w:pPr>
            <w:r w:rsidRPr="00BB0BE0">
              <w:t>Apply Occupational Health and Safety regulations, codes and practices in the workplace</w:t>
            </w:r>
          </w:p>
        </w:tc>
      </w:tr>
    </w:tbl>
    <w:p w:rsidR="00000000" w:rsidRPr="00BB0BE0" w:rsidP="00BB0BE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95B8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 xml:space="preserve">4.2) </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Participants are best equipped to achieve competency in this unit if they have reading, writing and numeracy skills indicated by the following scales. Description of each scale is given in Volume 2, Part 3 ‘Literac</w:t>
            </w:r>
            <w:r w:rsidRPr="00BB0BE0">
              <w:t>y and Numeracy’</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Reading</w:t>
            </w:r>
          </w:p>
        </w:tc>
        <w:tc>
          <w:tcPr>
            <w:tcW w:w="81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5</w:t>
            </w:r>
          </w:p>
        </w:tc>
        <w:tc>
          <w:tcPr>
            <w:tcW w:w="99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Writing</w:t>
            </w: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5</w:t>
            </w:r>
          </w:p>
        </w:tc>
        <w:tc>
          <w:tcPr>
            <w:tcW w:w="12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Numeracy</w:t>
            </w:r>
          </w:p>
        </w:tc>
        <w:tc>
          <w:tcPr>
            <w:tcW w:w="72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5</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6" w:name="O_534291"/>
      <w:bookmarkEnd w:id="6"/>
      <w:r w:rsidRPr="00BB0BE0">
        <w:t>Employability Skills Information</w:t>
      </w:r>
    </w:p>
    <w:tbl>
      <w:tblPr>
        <w:tblW w:w="0" w:type="auto"/>
        <w:tblLayout w:type="fixed"/>
        <w:tblCellMar>
          <w:left w:w="62" w:type="dxa"/>
          <w:right w:w="62" w:type="dxa"/>
        </w:tblCellMar>
        <w:tblLook w:val="0000"/>
      </w:tblPr>
      <w:tblGrid>
        <w:gridCol w:w="2700"/>
        <w:gridCol w:w="5760"/>
      </w:tblGrid>
      <w:tr w:rsidTr="00395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 xml:space="preserve">5) </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B0BE0">
              <w:t>requirements.</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7" w:name="O_534289"/>
      <w:bookmarkEnd w:id="7"/>
      <w:r w:rsidRPr="00BB0BE0">
        <w:t>Elements and Performance Criteria Pre-Content</w:t>
      </w:r>
    </w:p>
    <w:tbl>
      <w:tblPr>
        <w:tblW w:w="0" w:type="auto"/>
        <w:tblLayout w:type="fixed"/>
        <w:tblCellMar>
          <w:left w:w="62" w:type="dxa"/>
          <w:right w:w="62" w:type="dxa"/>
        </w:tblCellMar>
        <w:tblLook w:val="0000"/>
      </w:tblPr>
      <w:tblGrid>
        <w:gridCol w:w="2700"/>
        <w:gridCol w:w="5760"/>
      </w:tblGrid>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6)</w:t>
            </w:r>
            <w:r w:rsidRPr="00BB0BE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Performance Criteria describe the required performance needed to demonstrate achievement of the element</w:t>
            </w:r>
            <w:r w:rsidRPr="00BB0BE0">
              <w:t>. Assessment of performance is to be consistent with the Evidence Guide.</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8" w:name="O_534286"/>
      <w:bookmarkEnd w:id="8"/>
      <w:r w:rsidRPr="00BB0BE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5B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PERFORMANCE CRITERIA</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w:t>
            </w:r>
          </w:p>
        </w:tc>
        <w:tc>
          <w:tcPr>
            <w:tcW w:w="2296" w:type="dxa"/>
            <w:vMerge w:val="restart"/>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Prepare to configure and maintain industrial control system networks.</w:t>
            </w: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1.1</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OHS procedures for a given work area are identified, obtained and understood.</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1.2</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Established OHS risk control measures and procedures are followed in preparation for the work.</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1.3</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The nature of the industrial control system and network is established from control system specifications and in consultation with appropriate person(s).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1.4</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 xml:space="preserve">Activities are planned to meet scheduled timelines in consultation with others involved in the </w:t>
            </w:r>
            <w:r w:rsidRPr="00BB0BE0">
              <w:t>work.</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1.5</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Network operating system versions and updates needed to configure and maintain the network are obtained in accordance with established procedures and checked against job requirements.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w:t>
            </w:r>
          </w:p>
        </w:tc>
        <w:tc>
          <w:tcPr>
            <w:tcW w:w="2296" w:type="dxa"/>
            <w:vMerge w:val="restart"/>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Configure and maintain industrial control system networks.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2.1</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OHS risk control measures and procedures for carrying out the work are followed.</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2.2</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Control application network components are installed, upgraded and configured in accordance with develop</w:t>
            </w:r>
            <w:r w:rsidRPr="00BB0BE0">
              <w:t>er’s instructions and network requirements.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2.3</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 xml:space="preserve">Devices, desktop environment, network protocols and services and system security are implemented in accordance with requirements. </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2.4</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Access to control data and resources is configured within the limitations specified for each user.</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2.5</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Network malfunctions are identified and rectified using logical techniques and drawing knowledge of control devices, storage, network protocols, conne</w:t>
            </w:r>
            <w:r w:rsidRPr="00BB0BE0">
              <w:t>ctions and services and system security configuration processes.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2.6</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Network performance and reliability is monitored and optimised in accordance with established procedures.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2.7</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Methods for dealing with unexpected situations are selected on the basis of safety and specified work outcomes.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2.8</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Network administration is carried out efficiently without waste of materials and energy or damage to apparatus, the surrounding environme</w:t>
            </w:r>
            <w:r w:rsidRPr="00BB0BE0">
              <w:t>nt or other services.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3</w:t>
            </w:r>
          </w:p>
        </w:tc>
        <w:tc>
          <w:tcPr>
            <w:tcW w:w="2296"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Document control system network configuration and maintenance activities.</w:t>
            </w: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3.1</w:t>
            </w:r>
          </w:p>
        </w:tc>
        <w:tc>
          <w:tcPr>
            <w:tcW w:w="48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Written justification is produced for network maintenance and upgrading and appropriate person(s) notified in accordance with established procedures.</w:t>
            </w:r>
          </w:p>
        </w:tc>
      </w:tr>
      <w:tr w:rsidTr="00395B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3.2</w:t>
            </w:r>
          </w:p>
        </w:tc>
        <w:tc>
          <w:tcPr>
            <w:tcW w:w="48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Network maintenance documentation is maintained in accordance with established procedures.</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9" w:name="O_534284"/>
      <w:bookmarkEnd w:id="9"/>
      <w:r w:rsidRPr="00BB0BE0">
        <w:t>Required Skills and Knowledge</w:t>
      </w:r>
    </w:p>
    <w:tbl>
      <w:tblPr>
        <w:tblW w:w="0" w:type="auto"/>
        <w:tblLayout w:type="fixed"/>
        <w:tblCellMar>
          <w:left w:w="62" w:type="dxa"/>
          <w:right w:w="62" w:type="dxa"/>
        </w:tblCellMar>
        <w:tblLook w:val="0000"/>
      </w:tblPr>
      <w:tblGrid>
        <w:gridCol w:w="8460"/>
      </w:tblGrid>
      <w:tr w:rsidTr="00395B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REQUIRED SKILLS AND KNOWLEDGE</w:t>
            </w:r>
          </w:p>
        </w:tc>
      </w:tr>
      <w:tr w:rsidTr="00395B8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8)</w:t>
            </w:r>
            <w:r w:rsidRPr="00BB0BE0">
              <w:t xml:space="preserve"> This describes the required skills and knowledge</w:t>
            </w:r>
            <w:r w:rsidRPr="00BB0BE0">
              <w:t xml:space="preserve"> and their level, required for this unit.</w:t>
            </w:r>
          </w:p>
          <w:p w:rsidR="00000000" w:rsidRPr="00BB0BE0" w:rsidP="00BB0BE0">
            <w:pPr>
              <w:pStyle w:val="BodyText"/>
            </w:pPr>
            <w:r w:rsidRPr="00BB0BE0">
              <w:t>Evidence shall show that knowledge has been acquired of safe working practices and to configure and maintain industrial control system networks.</w:t>
            </w:r>
          </w:p>
          <w:p w:rsidR="00000000" w:rsidRPr="00BB0BE0" w:rsidP="00BB0BE0">
            <w:pPr>
              <w:pStyle w:val="BodyText"/>
            </w:pPr>
            <w:r w:rsidRPr="00BB0BE0">
              <w:t>All knowledge and skills detailed in this unit should be contextualis</w:t>
            </w:r>
            <w:r w:rsidRPr="00BB0BE0">
              <w:t>ed to current industry practices and technologies.</w:t>
            </w:r>
          </w:p>
          <w:p w:rsidR="00000000" w:rsidRPr="00BB0BE0" w:rsidP="00BB0BE0">
            <w:pPr>
              <w:pStyle w:val="BodyText"/>
            </w:pPr>
            <w:r w:rsidRPr="00BB0BE0">
              <w:rPr>
                <w:rStyle w:val="SpecialBold"/>
              </w:rPr>
              <w:t>KS01-EI157A</w:t>
            </w:r>
            <w:r w:rsidRPr="00BB0BE0">
              <w:rPr>
                <w:rStyle w:val="SpecialBold"/>
              </w:rPr>
              <w:tab/>
              <w:t xml:space="preserve">     Industrial control system networks</w:t>
            </w:r>
          </w:p>
          <w:p w:rsidR="00000000" w:rsidRPr="00BB0BE0" w:rsidP="00BB0BE0">
            <w:pPr>
              <w:pStyle w:val="BodyText"/>
            </w:pPr>
            <w:r w:rsidRPr="00BB0BE0">
              <w:t>Evidence shall show an understanding of industrial control systems networks to an extent indicated by the following aspects:</w:t>
            </w:r>
          </w:p>
          <w:p w:rsidR="00000000" w:rsidRPr="00BB0BE0" w:rsidP="00BB0BE0">
            <w:pPr>
              <w:pStyle w:val="BodyText"/>
            </w:pPr>
            <w:r w:rsidRPr="00BB0BE0">
              <w:t xml:space="preserve">T1. Purpose and application </w:t>
            </w:r>
            <w:r w:rsidRPr="00BB0BE0">
              <w:t>of control system networks systems</w:t>
            </w:r>
          </w:p>
          <w:p w:rsidR="00000000" w:rsidRPr="00BB0BE0" w:rsidP="00BB0BE0">
            <w:pPr>
              <w:pStyle w:val="BodyText"/>
            </w:pPr>
            <w:r w:rsidRPr="00BB0BE0">
              <w:t>T2. Open and common proprietary control system networks models (layers) and protocols - CANopen, ControlNet, Devicenet, Ethernet, Foundation Fieldbus, Interbus, Modbus, Pofibus.</w:t>
            </w:r>
          </w:p>
          <w:p w:rsidR="00000000" w:rsidRPr="00BB0BE0" w:rsidP="00BB0BE0">
            <w:pPr>
              <w:pStyle w:val="BodyText"/>
            </w:pPr>
            <w:r w:rsidRPr="00BB0BE0">
              <w:t>T3. Control system networks interface.</w:t>
            </w:r>
          </w:p>
          <w:p w:rsidR="00000000" w:rsidRPr="00BB0BE0" w:rsidP="00BB0BE0">
            <w:pPr>
              <w:pStyle w:val="BodyText"/>
            </w:pPr>
            <w:r w:rsidRPr="00BB0BE0">
              <w:t>T4. Data link layer encompassing:</w:t>
            </w:r>
          </w:p>
          <w:p w:rsidR="00000000" w:rsidRPr="00BB0BE0" w:rsidP="00BB0BE0">
            <w:pPr>
              <w:pStyle w:val="ListBullet"/>
            </w:pPr>
            <w:r w:rsidRPr="00BB0BE0">
              <w:t>Device types</w:t>
            </w:r>
          </w:p>
          <w:p w:rsidR="00000000" w:rsidRPr="00BB0BE0" w:rsidP="00BB0BE0">
            <w:pPr>
              <w:pStyle w:val="ListBullet"/>
            </w:pPr>
            <w:r w:rsidRPr="00BB0BE0">
              <w:t>Bus arbitration</w:t>
            </w:r>
          </w:p>
          <w:p w:rsidR="00000000" w:rsidRPr="00BB0BE0" w:rsidP="00BB0BE0">
            <w:pPr>
              <w:pStyle w:val="ListBullet"/>
            </w:pPr>
            <w:r w:rsidRPr="00BB0BE0">
              <w:t>Device initialisation</w:t>
            </w:r>
          </w:p>
          <w:p w:rsidR="00000000" w:rsidRPr="00BB0BE0" w:rsidP="00BB0BE0">
            <w:pPr>
              <w:pStyle w:val="ListBullet"/>
            </w:pPr>
            <w:r w:rsidRPr="00BB0BE0">
              <w:t>Synchronous / Asynchronous messaging.</w:t>
            </w:r>
          </w:p>
          <w:p w:rsidR="00000000" w:rsidRPr="00BB0BE0" w:rsidP="00BB0BE0">
            <w:pPr>
              <w:pStyle w:val="ListBullet"/>
            </w:pPr>
            <w:r w:rsidRPr="00BB0BE0">
              <w:t>Time management</w:t>
            </w:r>
          </w:p>
          <w:p w:rsidR="00000000" w:rsidRPr="00BB0BE0" w:rsidP="00BB0BE0">
            <w:pPr>
              <w:pStyle w:val="ListBullet"/>
            </w:pPr>
            <w:r w:rsidRPr="00BB0BE0">
              <w:t>Link active scheduler specific functions</w:t>
            </w:r>
          </w:p>
          <w:p w:rsidR="00000000" w:rsidRPr="00BB0BE0" w:rsidP="00BB0BE0">
            <w:pPr>
              <w:pStyle w:val="BodyText"/>
            </w:pPr>
            <w:r w:rsidRPr="00BB0BE0">
              <w:t>T5. Bus monitor encompassing:</w:t>
            </w:r>
          </w:p>
          <w:p w:rsidR="00000000" w:rsidRPr="00BB0BE0" w:rsidP="00BB0BE0">
            <w:pPr>
              <w:pStyle w:val="ListBullet"/>
            </w:pPr>
            <w:r w:rsidRPr="00BB0BE0">
              <w:t>capturing</w:t>
            </w:r>
          </w:p>
          <w:p w:rsidR="00000000" w:rsidRPr="00BB0BE0" w:rsidP="00BB0BE0">
            <w:pPr>
              <w:pStyle w:val="ListBullet"/>
            </w:pPr>
            <w:r w:rsidRPr="00BB0BE0">
              <w:t>filtering</w:t>
            </w:r>
          </w:p>
          <w:p w:rsidR="00000000" w:rsidRPr="00BB0BE0" w:rsidP="00BB0BE0">
            <w:pPr>
              <w:pStyle w:val="BodyText"/>
            </w:pPr>
            <w:r w:rsidRPr="00BB0BE0">
              <w:t>T6. Fieldbus message spe</w:t>
            </w:r>
            <w:r w:rsidRPr="00BB0BE0">
              <w:t>cification encompassing:</w:t>
            </w:r>
          </w:p>
          <w:p w:rsidR="00000000" w:rsidRPr="00BB0BE0" w:rsidP="00BB0BE0">
            <w:pPr>
              <w:pStyle w:val="ListBullet"/>
            </w:pPr>
            <w:r w:rsidRPr="00BB0BE0">
              <w:t>Virtual field device</w:t>
            </w:r>
          </w:p>
          <w:p w:rsidR="00000000" w:rsidRPr="00BB0BE0" w:rsidP="00BB0BE0">
            <w:pPr>
              <w:pStyle w:val="ListBullet"/>
            </w:pPr>
            <w:r w:rsidRPr="00BB0BE0">
              <w:t>Object dictionary</w:t>
            </w:r>
          </w:p>
          <w:p w:rsidR="00000000" w:rsidRPr="00BB0BE0" w:rsidP="00BB0BE0">
            <w:pPr>
              <w:pStyle w:val="ListBullet"/>
            </w:pPr>
            <w:r w:rsidRPr="00BB0BE0">
              <w:t>Communicate objectives</w:t>
            </w:r>
          </w:p>
          <w:p w:rsidR="00000000" w:rsidRPr="00BB0BE0" w:rsidP="00BB0BE0">
            <w:pPr>
              <w:pStyle w:val="ListBullet"/>
            </w:pPr>
            <w:r w:rsidRPr="00BB0BE0">
              <w:t>Communicate services</w:t>
            </w:r>
          </w:p>
          <w:p w:rsidR="00000000" w:rsidRPr="00BB0BE0" w:rsidP="00BB0BE0">
            <w:pPr>
              <w:pStyle w:val="BodyText"/>
            </w:pPr>
            <w:r w:rsidRPr="00BB0BE0">
              <w:t>T7. High speed Ethernet encompassing:</w:t>
            </w:r>
          </w:p>
          <w:p w:rsidR="00000000" w:rsidRPr="00BB0BE0" w:rsidP="00BB0BE0">
            <w:pPr>
              <w:pStyle w:val="ListBullet"/>
            </w:pPr>
            <w:r w:rsidRPr="00BB0BE0">
              <w:t xml:space="preserve">Protocols </w:t>
            </w:r>
          </w:p>
          <w:p w:rsidR="00000000" w:rsidRPr="00BB0BE0" w:rsidP="00BB0BE0">
            <w:pPr>
              <w:pStyle w:val="ListBullet"/>
            </w:pPr>
            <w:r w:rsidRPr="00BB0BE0">
              <w:t>FDA agents</w:t>
            </w:r>
          </w:p>
          <w:p w:rsidR="00000000" w:rsidRPr="00BB0BE0" w:rsidP="00BB0BE0">
            <w:pPr>
              <w:pStyle w:val="ListBullet"/>
            </w:pPr>
            <w:r w:rsidRPr="00BB0BE0">
              <w:t>Messaging</w:t>
            </w:r>
          </w:p>
          <w:p w:rsidR="00000000" w:rsidRPr="00BB0BE0" w:rsidP="00BB0BE0">
            <w:pPr>
              <w:pStyle w:val="ListBullet"/>
            </w:pPr>
            <w:r w:rsidRPr="00BB0BE0">
              <w:t>Sessions</w:t>
            </w:r>
          </w:p>
          <w:p w:rsidR="00000000" w:rsidRPr="00BB0BE0" w:rsidP="00BB0BE0">
            <w:pPr>
              <w:pStyle w:val="ListBullet"/>
            </w:pPr>
            <w:r w:rsidRPr="00BB0BE0">
              <w:t>Time synchronisation</w:t>
            </w:r>
          </w:p>
          <w:p w:rsidR="00000000" w:rsidRPr="00BB0BE0" w:rsidP="00BB0BE0">
            <w:pPr>
              <w:pStyle w:val="ListBullet"/>
            </w:pPr>
            <w:r w:rsidRPr="00BB0BE0">
              <w:t>Redundancy</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10" w:name="O_534281"/>
      <w:bookmarkEnd w:id="10"/>
      <w:r w:rsidRPr="00BB0BE0">
        <w:t>Evidence Guide</w:t>
      </w:r>
    </w:p>
    <w:tbl>
      <w:tblPr>
        <w:tblW w:w="0" w:type="auto"/>
        <w:tblLayout w:type="fixed"/>
        <w:tblCellMar>
          <w:left w:w="62" w:type="dxa"/>
          <w:right w:w="62" w:type="dxa"/>
        </w:tblCellMar>
        <w:tblLook w:val="0000"/>
      </w:tblPr>
      <w:tblGrid>
        <w:gridCol w:w="8460"/>
      </w:tblGrid>
      <w:tr w:rsidTr="00395B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EVIDENCE GUIDE</w:t>
            </w:r>
          </w:p>
        </w:tc>
      </w:tr>
      <w:tr w:rsidTr="00395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9)</w:t>
            </w:r>
            <w:r w:rsidRPr="00BB0BE0">
              <w:t xml:space="preserve"> This provides essential advice for assessment of the unit and must be read in conjunction with the performance criteria and the range statement of the unit and the Training Package Assessment Guidelines.</w:t>
            </w:r>
          </w:p>
          <w:p w:rsidR="00000000" w:rsidRPr="00BB0BE0" w:rsidP="00BB0BE0">
            <w:pPr>
              <w:pStyle w:val="BodyText"/>
            </w:pPr>
            <w:r w:rsidRPr="00BB0BE0">
              <w:t>The Evidence Guide forms an integral part of this unit. It must be used in conjunction with all parts of this unit and performed in accordance with the Assessment Guidelines of this Training Package.</w:t>
            </w:r>
          </w:p>
        </w:tc>
      </w:tr>
    </w:tbl>
    <w:p w:rsidR="00000000" w:rsidRPr="00BB0BE0" w:rsidP="00BB0BE0">
      <w:pPr>
        <w:pStyle w:val="BodyText"/>
      </w:pPr>
    </w:p>
    <w:tbl>
      <w:tblPr>
        <w:tblW w:w="0" w:type="auto"/>
        <w:tblLayout w:type="fixed"/>
        <w:tblCellMar>
          <w:left w:w="62" w:type="dxa"/>
          <w:right w:w="62" w:type="dxa"/>
        </w:tblCellMar>
        <w:tblLook w:val="0000"/>
      </w:tblPr>
      <w:tblGrid>
        <w:gridCol w:w="1890"/>
        <w:gridCol w:w="6570"/>
      </w:tblGrid>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9.1)</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 xml:space="preserve">Longitudinal competency </w:t>
            </w:r>
            <w:r w:rsidRPr="00BB0BE0">
              <w:t>development approaches to assessment, such as Profiling, require data to be reliably gathered in a form that can be consistently interpreted over time. This approach is best utilised in Apprenticeship programs and reduces assessment intervention. It is the</w:t>
            </w:r>
            <w:r w:rsidRPr="00BB0BE0">
              <w:t xml:space="preserve"> industry-preferred model for apprenticeships. However, where summative (or final) assessment is used it is to include the application of the competency in the normal work environment or, at a minimum, the application of the competency in a realistically s</w:t>
            </w:r>
            <w:r w:rsidRPr="00BB0BE0">
              <w:t>imulated work environment. It is recognised that, in some circumstances, assessment in part or full can occur outside the workplace. However, it must be in accordance with industry and regulatory policy.</w:t>
            </w:r>
          </w:p>
          <w:p w:rsidR="00000000" w:rsidRPr="00BB0BE0" w:rsidP="00BB0BE0">
            <w:pPr>
              <w:pStyle w:val="BodyText"/>
            </w:pPr>
            <w:r w:rsidRPr="00BB0BE0">
              <w:t>Methods chosen for a particular assessment will be i</w:t>
            </w:r>
            <w:r w:rsidRPr="00BB0BE0">
              <w:t>nfluenced by various factors. These include the extent of the assessment, the most effective locations for the assessment activities to take place, access to physical resources, additional safety measures that may be required and the critical nature of the</w:t>
            </w:r>
            <w:r w:rsidRPr="00BB0BE0">
              <w:t xml:space="preserve"> competencies being assessed.</w:t>
            </w:r>
          </w:p>
          <w:p w:rsidR="00000000" w:rsidRPr="00BB0BE0" w:rsidP="00BB0BE0">
            <w:pPr>
              <w:pStyle w:val="BodyText"/>
            </w:pPr>
            <w:r w:rsidRPr="00BB0BE0">
              <w:t>The critical safety nature of working with electricity, electrical equipment, gas or any other hazardous substance/material carries risk in deeming a person competent. Sources of evidence need to be ‘rich’ in nature to minimis</w:t>
            </w:r>
            <w:r w:rsidRPr="00BB0BE0">
              <w:t>e error in judgment.</w:t>
            </w:r>
          </w:p>
          <w:p w:rsidR="00000000" w:rsidRPr="00BB0BE0" w:rsidP="00BB0BE0">
            <w:pPr>
              <w:pStyle w:val="BodyText"/>
            </w:pPr>
            <w:r w:rsidRPr="00BB0BE0">
              <w:t>Activities associated with normal everyday work have a bearing on the decision as to how much and how detailed the data gathered will contribute to its ‘richness’. Some skills are more critic</w:t>
            </w:r>
            <w:r w:rsidRPr="00BB0BE0">
              <w:t>al to safety and operational requirements while the same skills may be more or less frequently practised. These points are raised for the assessors to consider when choosing an assessment method and developing assessment instruments. Sample assessment inst</w:t>
            </w:r>
            <w:r w:rsidRPr="00BB0BE0">
              <w:t>ruments are included for Assessors in the Assessment Guidelines of this Training Package.</w:t>
            </w:r>
          </w:p>
        </w:tc>
      </w:tr>
    </w:tbl>
    <w:p w:rsidR="00000000" w:rsidRPr="00BB0BE0" w:rsidP="00BB0BE0">
      <w:pPr>
        <w:pStyle w:val="BodyText"/>
      </w:pPr>
    </w:p>
    <w:tbl>
      <w:tblPr>
        <w:tblW w:w="0" w:type="auto"/>
        <w:tblLayout w:type="fixed"/>
        <w:tblCellMar>
          <w:left w:w="62" w:type="dxa"/>
          <w:right w:w="62" w:type="dxa"/>
        </w:tblCellMar>
        <w:tblLook w:val="0000"/>
      </w:tblPr>
      <w:tblGrid>
        <w:gridCol w:w="1890"/>
        <w:gridCol w:w="1032"/>
        <w:gridCol w:w="5538"/>
      </w:tblGrid>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9.2)</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 xml:space="preserve">Before the critical aspects of evidence are considered all prerequisites shall </w:t>
            </w:r>
            <w:r w:rsidRPr="00BB0BE0">
              <w:t>be met.</w:t>
            </w:r>
          </w:p>
          <w:p w:rsidR="00000000" w:rsidRPr="00BB0BE0" w:rsidP="00BB0BE0">
            <w:pPr>
              <w:pStyle w:val="BodyText"/>
            </w:pPr>
            <w:r w:rsidRPr="00BB0BE0">
              <w:t>Evidence for competence in this unit shall be considered holistically.  Each element and associated performance criteria shall be demonstrated on at least two occasions in accordance with the ‘Assessment Guidelines – UEE11’.  Evidence shall also co</w:t>
            </w:r>
            <w:r w:rsidRPr="00BB0BE0">
              <w:t>mprise:</w:t>
            </w:r>
          </w:p>
          <w:p w:rsidR="00000000" w:rsidRPr="00BB0BE0" w:rsidP="00BB0BE0">
            <w:pPr>
              <w:pStyle w:val="ListBullet"/>
            </w:pPr>
            <w:r w:rsidRPr="00BB0BE0">
              <w:t>A representative body of work performance demonstrated within the timeframes typically expected of the discipline, work function and industrial environment. In particular this shall incorporate evidence that shows a candidate is able to:</w:t>
            </w:r>
          </w:p>
          <w:p w:rsidR="00000000" w:rsidRPr="00BB0BE0" w:rsidP="00BB0BE0">
            <w:pPr>
              <w:pStyle w:val="ListBullet2"/>
            </w:pPr>
            <w:r w:rsidRPr="00BB0BE0">
              <w:t>Implement Occupational Health and Safety workplace procedures and practices, including the use of risk control measures as specified in the performance criteria and range statement</w:t>
            </w:r>
          </w:p>
          <w:p w:rsidR="00000000" w:rsidRPr="00BB0BE0" w:rsidP="00BB0BE0">
            <w:pPr>
              <w:pStyle w:val="ListBullet2"/>
            </w:pPr>
            <w:r w:rsidRPr="00BB0BE0">
              <w:t>Apply sustainable energy principles and practices as specified in the perfo</w:t>
            </w:r>
            <w:r w:rsidRPr="00BB0BE0">
              <w:t>rmance criteria and range statement</w:t>
            </w:r>
          </w:p>
          <w:p w:rsidR="00000000" w:rsidRPr="00BB0BE0" w:rsidP="00BB0BE0">
            <w:pPr>
              <w:pStyle w:val="ListBullet2"/>
            </w:pPr>
            <w:r w:rsidRPr="00BB0BE0">
              <w:t>Demonstrate an understanding of the required knowledge and associated skills as described in this unit.  It may be required by some jurisdictions that RTOs provide a percentile graded result for the purpose of regulatory</w:t>
            </w:r>
            <w:r w:rsidRPr="00BB0BE0">
              <w:t xml:space="preserve"> or licensing requirements.   </w:t>
            </w:r>
          </w:p>
          <w:p w:rsidR="00000000" w:rsidRPr="00BB0BE0" w:rsidP="00BB0BE0">
            <w:pPr>
              <w:pStyle w:val="ListBullet2"/>
            </w:pPr>
            <w:r w:rsidRPr="00BB0BE0">
              <w:t>Demonstrate an appropriate level of skills enabling employment</w:t>
            </w:r>
          </w:p>
          <w:p w:rsidR="00000000" w:rsidRPr="00BB0BE0" w:rsidP="00BB0BE0">
            <w:pPr>
              <w:pStyle w:val="ListBullet2"/>
            </w:pPr>
            <w:r w:rsidRPr="00BB0BE0">
              <w:t>Conduct work observing the relevant Anti Discrimination legislation, regulations, polices and workplace procedures</w:t>
            </w:r>
          </w:p>
          <w:p w:rsidR="00000000" w:rsidRPr="00BB0BE0" w:rsidP="00BB0BE0">
            <w:pPr>
              <w:pStyle w:val="ListBullet"/>
            </w:pPr>
            <w:r w:rsidRPr="00BB0BE0">
              <w:t>Demonstrated consistent performance across a r</w:t>
            </w:r>
            <w:r w:rsidRPr="00BB0BE0">
              <w:t>epresentative range of contexts from the prescribed items below:</w:t>
            </w:r>
          </w:p>
          <w:p w:rsidR="00000000" w:rsidP="00BB0BE0">
            <w:pPr>
              <w:pStyle w:val="ListBullet2"/>
              <w:rPr>
                <w:lang w:val="en-NZ"/>
              </w:rPr>
            </w:pPr>
            <w:r w:rsidRPr="00BB0BE0">
              <w:t>Configure and maintain industrial control system networks as described in 8) and including:</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A</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Establishing industrial control system and network requirements and operating system versions and updates.</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B</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Installing, upgrading and configuring control application network components correctly.</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C</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 xml:space="preserve">Configuring access to control data and resources for </w:t>
            </w:r>
            <w:r w:rsidRPr="00BB0BE0">
              <w:t>each user.</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D</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Identifying network malfunctions.</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E</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Rectifying network malfunctions.</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F</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Documenting network configuration and maintenance activities.</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2"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G</w:t>
            </w:r>
          </w:p>
        </w:tc>
        <w:tc>
          <w:tcPr>
            <w:tcW w:w="5538"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Dealing with unplanned events by drawing on required knowledge and skills to provide appropriate solutions incorporated in a holistic assessment with the above listed items.</w:t>
            </w:r>
          </w:p>
        </w:tc>
      </w:tr>
      <w:tr w:rsidTr="00395B8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 xml:space="preserve">Note: </w:t>
            </w:r>
          </w:p>
          <w:p w:rsidR="00000000" w:rsidRPr="00BB0BE0" w:rsidP="00BB0BE0">
            <w:pPr>
              <w:pStyle w:val="BodyText"/>
            </w:pPr>
            <w:r w:rsidRPr="00BB0BE0">
              <w:t>Successful completion of relevant vendor training may be used to contribut</w:t>
            </w:r>
            <w:r w:rsidRPr="00BB0BE0">
              <w:t>e to evidence on which competency is deemed. In these cases the alignment of outcomes of vendor training with performance criteria and critical aspects of evidence shall be clearly identified.</w:t>
            </w:r>
          </w:p>
        </w:tc>
      </w:tr>
    </w:tbl>
    <w:p w:rsidR="00000000" w:rsidRPr="00BB0BE0" w:rsidP="00BB0BE0">
      <w:pPr>
        <w:pStyle w:val="BodyText"/>
      </w:pPr>
    </w:p>
    <w:p w:rsidR="00000000" w:rsidRPr="00BB0BE0" w:rsidP="00BB0BE0">
      <w:pPr>
        <w:pStyle w:val="BodyText"/>
      </w:pPr>
    </w:p>
    <w:tbl>
      <w:tblPr>
        <w:tblW w:w="0" w:type="auto"/>
        <w:tblLayout w:type="fixed"/>
        <w:tblCellMar>
          <w:left w:w="62" w:type="dxa"/>
          <w:right w:w="62" w:type="dxa"/>
        </w:tblCellMar>
        <w:tblLook w:val="0000"/>
      </w:tblPr>
      <w:tblGrid>
        <w:gridCol w:w="1890"/>
        <w:gridCol w:w="6570"/>
      </w:tblGrid>
      <w:tr w:rsidTr="00395B8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9.3)</w:t>
            </w:r>
          </w:p>
        </w:tc>
      </w:tr>
      <w:tr w:rsidTr="00395B87">
        <w:tblPrEx>
          <w:tblW w:w="0" w:type="auto"/>
          <w:tblLayout w:type="fixed"/>
          <w:tblCellMar>
            <w:left w:w="62" w:type="dxa"/>
            <w:right w:w="62" w:type="dxa"/>
          </w:tblCellMar>
          <w:tblLook w:val="0000"/>
        </w:tblPrEx>
        <w:trPr>
          <w:trHeight w:val="21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This unit should be assessed as it relates to normal work practice using procedures, information and resources typical of a workplace. This should include:</w:t>
            </w:r>
          </w:p>
          <w:p w:rsidR="00000000" w:rsidRPr="00BB0BE0" w:rsidP="00BB0BE0">
            <w:pPr>
              <w:pStyle w:val="ListBullet"/>
            </w:pPr>
            <w:r w:rsidRPr="00BB0BE0">
              <w:t>OHS policy and work procedures and instructions.</w:t>
            </w:r>
          </w:p>
          <w:p w:rsidR="00000000" w:rsidRPr="00BB0BE0" w:rsidP="00BB0BE0">
            <w:pPr>
              <w:pStyle w:val="ListBullet"/>
            </w:pPr>
            <w:r w:rsidRPr="00BB0BE0">
              <w:t>Suitable work environment, facilities, equipment and materials to undertake actual work as prescribed in this unit.</w:t>
            </w:r>
          </w:p>
          <w:p w:rsidR="00000000" w:rsidRPr="00BB0BE0" w:rsidP="00BB0BE0">
            <w:pPr>
              <w:pStyle w:val="BodyText"/>
            </w:pPr>
            <w:r w:rsidRPr="00BB0BE0">
              <w:t>These should be used in the formal learning/assessment environment.</w:t>
            </w:r>
          </w:p>
          <w:p w:rsidR="00000000" w:rsidRPr="00BB0BE0" w:rsidP="00BB0BE0">
            <w:pPr>
              <w:pStyle w:val="BodyText"/>
            </w:pPr>
            <w:r w:rsidRPr="00BB0BE0">
              <w:t>Note:</w:t>
            </w:r>
          </w:p>
          <w:p w:rsidR="00000000" w:rsidRPr="00BB0BE0" w:rsidP="00BB0BE0">
            <w:pPr>
              <w:pStyle w:val="BodyText"/>
            </w:pPr>
            <w:r w:rsidRPr="00BB0BE0">
              <w:t>Where simulation is considered a suitable strategy for assessment,</w:t>
            </w:r>
            <w:r w:rsidRPr="00BB0BE0">
              <w:t xml:space="preserve"> conditions for assessment must be authentic and as far as possible reproduce and replicate the workplace and be consistent with the approved industry simulation policy.</w:t>
            </w:r>
          </w:p>
          <w:p w:rsidR="00000000" w:rsidRPr="00BB0BE0" w:rsidP="00BB0BE0">
            <w:pPr>
              <w:pStyle w:val="BodyText"/>
            </w:pPr>
            <w:r w:rsidRPr="00BB0BE0">
              <w:t>The resources used for assessment should reflect current industry practices in relatio</w:t>
            </w:r>
            <w:r w:rsidRPr="00BB0BE0">
              <w:t>n to configuring and maintaining industrial control system networks.</w:t>
            </w:r>
          </w:p>
        </w:tc>
      </w:tr>
    </w:tbl>
    <w:p w:rsidR="00000000" w:rsidRPr="00BB0BE0" w:rsidP="00BB0BE0">
      <w:pPr>
        <w:pStyle w:val="BodyText"/>
      </w:pPr>
    </w:p>
    <w:tbl>
      <w:tblPr>
        <w:tblW w:w="0" w:type="auto"/>
        <w:tblLayout w:type="fixed"/>
        <w:tblCellMar>
          <w:left w:w="62" w:type="dxa"/>
          <w:right w:w="62" w:type="dxa"/>
        </w:tblCellMar>
        <w:tblLook w:val="0000"/>
      </w:tblPr>
      <w:tblGrid>
        <w:gridCol w:w="1890"/>
        <w:gridCol w:w="6570"/>
      </w:tblGrid>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9.4)</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This unit shall be assessed by methods given in Volume 1, Part 3 ‘Assessment Guidelines’.</w:t>
            </w:r>
          </w:p>
          <w:p w:rsidR="00000000" w:rsidRPr="00BB0BE0" w:rsidP="00BB0BE0">
            <w:pPr>
              <w:pStyle w:val="BodyText"/>
            </w:pPr>
            <w:r w:rsidRPr="00BB0BE0">
              <w:t xml:space="preserve">Note: </w:t>
            </w:r>
          </w:p>
          <w:p w:rsidR="00000000" w:rsidRPr="00BB0BE0" w:rsidP="00BB0BE0">
            <w:pPr>
              <w:pStyle w:val="BodyText"/>
            </w:pPr>
            <w:r w:rsidRPr="00BB0BE0">
              <w:t>Competent performance with inherent safe working practices is expected in the Industry to which this unit applies. This requires assessment in a structured environment which is primarily intended for learning/assessment and incorporates all necessary equip</w:t>
            </w:r>
            <w:r w:rsidRPr="00BB0BE0">
              <w:t>ment and facilities for learners to develop and demonstrate the required knowledge and skills described in this unit.</w:t>
            </w:r>
          </w:p>
        </w:tc>
      </w:tr>
    </w:tbl>
    <w:p w:rsidR="00000000" w:rsidRPr="00BB0BE0" w:rsidP="00BB0BE0">
      <w:pPr>
        <w:pStyle w:val="BodyText"/>
      </w:pPr>
    </w:p>
    <w:tbl>
      <w:tblPr>
        <w:tblW w:w="0" w:type="auto"/>
        <w:tblLayout w:type="fixed"/>
        <w:tblCellMar>
          <w:left w:w="62" w:type="dxa"/>
          <w:right w:w="62" w:type="dxa"/>
        </w:tblCellMar>
        <w:tblLook w:val="0000"/>
      </w:tblPr>
      <w:tblGrid>
        <w:gridCol w:w="1890"/>
        <w:gridCol w:w="1530"/>
        <w:gridCol w:w="5040"/>
      </w:tblGrid>
      <w:tr w:rsidTr="00395B87">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9.5)</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For optimisation of training and assessment effort, competency developme</w:t>
            </w:r>
            <w:r w:rsidRPr="00BB0BE0">
              <w:t>nt in this unit may be arranged concurrently with unit:</w:t>
            </w:r>
          </w:p>
        </w:tc>
      </w:tr>
      <w:tr w:rsidTr="00395B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t>UEENEEI151A</w:t>
            </w:r>
          </w:p>
        </w:tc>
        <w:tc>
          <w:tcPr>
            <w:tcW w:w="504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Develop, enter and verify word and analogue control programs for programmable logic controllers.</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11" w:name="O_534279"/>
      <w:bookmarkEnd w:id="11"/>
      <w:r w:rsidRPr="00BB0BE0">
        <w:t>Range Statement</w:t>
      </w:r>
    </w:p>
    <w:tbl>
      <w:tblPr>
        <w:tblW w:w="0" w:type="auto"/>
        <w:tblLayout w:type="fixed"/>
        <w:tblCellMar>
          <w:left w:w="62" w:type="dxa"/>
          <w:right w:w="62" w:type="dxa"/>
        </w:tblCellMar>
        <w:tblLook w:val="0000"/>
      </w:tblPr>
      <w:tblGrid>
        <w:gridCol w:w="8460"/>
      </w:tblGrid>
      <w:tr w:rsidTr="00395B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RANGE STATEMENT</w:t>
            </w:r>
          </w:p>
        </w:tc>
      </w:tr>
      <w:tr w:rsidTr="00395B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10)</w:t>
            </w:r>
            <w:r w:rsidRPr="00BB0BE0">
              <w:t xml:space="preserve"> This relates to the unit as a whole providing the range of contexts and conditions to which the performance criteria apply. It allows for different work environments and situations that will affect performance.</w:t>
            </w:r>
          </w:p>
          <w:p w:rsidR="00000000" w:rsidRPr="00BB0BE0" w:rsidP="00BB0BE0">
            <w:pPr>
              <w:pStyle w:val="BodyText"/>
            </w:pPr>
            <w:r w:rsidRPr="00BB0BE0">
              <w:t xml:space="preserve">This unit shall be demonstrated in relation </w:t>
            </w:r>
            <w:r w:rsidRPr="00BB0BE0">
              <w:t>to configuring and maintaining an industrial control system networks with at least three distributive control loops, two programmable controllers and one HMI system controller.</w:t>
            </w:r>
          </w:p>
          <w:p w:rsidR="00000000" w:rsidRPr="00BB0BE0" w:rsidP="00BB0BE0">
            <w:pPr>
              <w:pStyle w:val="BodyText"/>
            </w:pPr>
            <w:r w:rsidRPr="00BB0BE0">
              <w:t>Generic terms used throughout this Vocational Standard shall be regarded as par</w:t>
            </w:r>
            <w:r w:rsidRPr="00BB0BE0">
              <w:t>t of the Range Statement in which competency is demonstrated. The definition of these and other terms that apply are given in Volume 2, Part 2.1.</w:t>
            </w:r>
          </w:p>
        </w:tc>
      </w:tr>
    </w:tbl>
    <w:p w:rsidR="00000000" w:rsidRPr="00BB0BE0" w:rsidP="00BB0BE0">
      <w:pPr>
        <w:pStyle w:val="BodyText"/>
      </w:pPr>
    </w:p>
    <w:p w:rsidR="00000000" w:rsidRPr="00BB0BE0" w:rsidP="00BB0BE0">
      <w:pPr>
        <w:pStyle w:val="AllowPageBreak"/>
      </w:pPr>
    </w:p>
    <w:p w:rsidR="00000000" w:rsidRPr="00BB0BE0" w:rsidP="00BB0BE0">
      <w:pPr>
        <w:pStyle w:val="Heading1"/>
      </w:pPr>
      <w:bookmarkStart w:id="12" w:name="O_534278"/>
      <w:bookmarkEnd w:id="12"/>
      <w:r w:rsidRPr="00BB0BE0">
        <w:t>Unit Sector(s)</w:t>
      </w:r>
    </w:p>
    <w:p w:rsidR="00000000" w:rsidRPr="00BB0BE0" w:rsidP="00BB0BE0">
      <w:pPr>
        <w:pStyle w:val="BodyText"/>
      </w:pPr>
      <w:r w:rsidRPr="00BB0BE0">
        <w:t>Not applicable.</w:t>
      </w:r>
    </w:p>
    <w:p w:rsidR="00000000" w:rsidRPr="00BB0BE0" w:rsidP="00BB0BE0">
      <w:pPr>
        <w:pStyle w:val="AllowPageBreak"/>
      </w:pPr>
    </w:p>
    <w:p w:rsidR="00000000" w:rsidRPr="00BB0BE0" w:rsidP="00BB0BE0">
      <w:pPr>
        <w:pStyle w:val="Heading1"/>
      </w:pPr>
      <w:bookmarkStart w:id="13" w:name="O_534276"/>
      <w:bookmarkEnd w:id="13"/>
      <w:r w:rsidRPr="00BB0BE0">
        <w:t>Competency Field</w:t>
      </w:r>
    </w:p>
    <w:tbl>
      <w:tblPr>
        <w:tblW w:w="0" w:type="auto"/>
        <w:tblLayout w:type="fixed"/>
        <w:tblCellMar>
          <w:left w:w="62" w:type="dxa"/>
          <w:right w:w="62" w:type="dxa"/>
        </w:tblCellMar>
        <w:tblLook w:val="0000"/>
      </w:tblPr>
      <w:tblGrid>
        <w:gridCol w:w="2700"/>
        <w:gridCol w:w="5760"/>
      </w:tblGrid>
      <w:tr w:rsidTr="00395B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B0BE0">
            <w:pPr>
              <w:pStyle w:val="BodyText"/>
              <w:rPr>
                <w:lang w:val="en-NZ"/>
              </w:rPr>
            </w:pPr>
            <w:r w:rsidRPr="00BB0BE0">
              <w:rPr>
                <w:rStyle w:val="SpecialBold"/>
              </w:rPr>
              <w:t xml:space="preserve">11) </w:t>
            </w:r>
          </w:p>
        </w:tc>
      </w:tr>
      <w:tr w:rsidTr="00395B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0BE0" w:rsidP="00BB0BE0">
            <w:pPr>
              <w:pStyle w:val="BodyText"/>
            </w:pPr>
            <w:r w:rsidRPr="00BB0BE0">
              <w:t>Instrumentation and Control</w:t>
            </w:r>
          </w:p>
        </w:tc>
      </w:tr>
    </w:tbl>
    <w:p w:rsidR="00000000" w:rsidRPr="00BB0BE0" w:rsidP="00BB0BE0">
      <w:pPr>
        <w:pStyle w:val="BodyText"/>
      </w:pPr>
    </w:p>
    <w:p w:rsidR="00000000" w:rsidRPr="00BB0BE0" w:rsidP="00BB0BE0"/>
    <w:sectPr w:rsidSect="00BB0B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rsidRPr="00395B87" w:rsidP="00395B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87" w:rsidP="00BB0B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95B87" w:rsidP="00BB0B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95B87" w:rsidP="00BB0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rsidRPr="00395B87" w:rsidP="00395B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B87" w:rsidRPr="002D2AF8" w:rsidP="00BB0BE0">
    <w:pPr>
      <w:pStyle w:val="Header"/>
      <w:framePr w:wrap="around"/>
    </w:pPr>
    <w:r>
      <w:fldChar w:fldCharType="begin"/>
    </w:r>
    <w:r>
      <w:instrText xml:space="preserve"> TITLE   \* MERGEFORMAT </w:instrText>
    </w:r>
    <w:r>
      <w:fldChar w:fldCharType="separate"/>
    </w:r>
    <w:r>
      <w:t>UEENEEI157A Configure and maintain industrial control system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395B87" w:rsidP="00BB0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4A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5CB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00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BE0"/>
    <w:pPr>
      <w:spacing w:before="360" w:after="60"/>
      <w:outlineLvl w:val="0"/>
    </w:pPr>
    <w:rPr>
      <w:sz w:val="32"/>
    </w:rPr>
  </w:style>
  <w:style w:type="paragraph" w:styleId="Heading2">
    <w:name w:val="heading 2"/>
    <w:basedOn w:val="HeadingBase"/>
    <w:next w:val="BodyText"/>
    <w:link w:val="Heading2Char"/>
    <w:qFormat/>
    <w:rsid w:val="00BB0BE0"/>
    <w:pPr>
      <w:keepLines/>
      <w:spacing w:before="240" w:after="120"/>
      <w:outlineLvl w:val="1"/>
    </w:pPr>
    <w:rPr>
      <w:sz w:val="28"/>
      <w:szCs w:val="40"/>
    </w:rPr>
  </w:style>
  <w:style w:type="paragraph" w:styleId="Heading3">
    <w:name w:val="heading 3"/>
    <w:basedOn w:val="HeadingBase"/>
    <w:next w:val="BodyText"/>
    <w:link w:val="Heading3Char"/>
    <w:qFormat/>
    <w:rsid w:val="00BB0BE0"/>
    <w:pPr>
      <w:spacing w:before="180" w:after="120"/>
      <w:outlineLvl w:val="2"/>
    </w:pPr>
    <w:rPr>
      <w:spacing w:val="-10"/>
      <w:kern w:val="32"/>
    </w:rPr>
  </w:style>
  <w:style w:type="paragraph" w:styleId="Heading4">
    <w:name w:val="heading 4"/>
    <w:basedOn w:val="HeadingBase"/>
    <w:next w:val="BodyText"/>
    <w:link w:val="Heading4Char"/>
    <w:qFormat/>
    <w:rsid w:val="00BB0BE0"/>
    <w:pPr>
      <w:spacing w:before="160" w:after="120"/>
      <w:outlineLvl w:val="3"/>
    </w:pPr>
    <w:rPr>
      <w:sz w:val="22"/>
    </w:rPr>
  </w:style>
  <w:style w:type="paragraph" w:styleId="Heading5">
    <w:name w:val="heading 5"/>
    <w:basedOn w:val="HeadingBase"/>
    <w:next w:val="Normal"/>
    <w:link w:val="Heading5Char"/>
    <w:qFormat/>
    <w:rsid w:val="00BB0BE0"/>
    <w:pPr>
      <w:spacing w:before="80"/>
      <w:outlineLvl w:val="4"/>
    </w:pPr>
    <w:rPr>
      <w:color w:val="918585"/>
      <w:sz w:val="20"/>
    </w:rPr>
  </w:style>
  <w:style w:type="paragraph" w:styleId="Heading6">
    <w:name w:val="heading 6"/>
    <w:basedOn w:val="HeadingBase"/>
    <w:next w:val="Normal"/>
    <w:link w:val="Heading6Char"/>
    <w:qFormat/>
    <w:rsid w:val="00BB0BE0"/>
    <w:pPr>
      <w:spacing w:before="60"/>
      <w:outlineLvl w:val="5"/>
    </w:pPr>
    <w:rPr>
      <w:color w:val="918585"/>
      <w:sz w:val="20"/>
    </w:rPr>
  </w:style>
  <w:style w:type="paragraph" w:styleId="Heading7">
    <w:name w:val="heading 7"/>
    <w:basedOn w:val="Normal"/>
    <w:next w:val="Normal"/>
    <w:link w:val="Heading7Char"/>
    <w:qFormat/>
    <w:rsid w:val="00BB0BE0"/>
    <w:pPr>
      <w:ind w:left="720"/>
      <w:outlineLvl w:val="6"/>
    </w:pPr>
    <w:rPr>
      <w:i/>
    </w:rPr>
  </w:style>
  <w:style w:type="paragraph" w:styleId="Heading8">
    <w:name w:val="heading 8"/>
    <w:basedOn w:val="Normal"/>
    <w:next w:val="Normal"/>
    <w:link w:val="Heading8Char"/>
    <w:qFormat/>
    <w:rsid w:val="00BB0BE0"/>
    <w:pPr>
      <w:ind w:left="720"/>
      <w:outlineLvl w:val="7"/>
    </w:pPr>
    <w:rPr>
      <w:i/>
    </w:rPr>
  </w:style>
  <w:style w:type="paragraph" w:styleId="Heading9">
    <w:name w:val="heading 9"/>
    <w:basedOn w:val="Normal"/>
    <w:next w:val="Normal"/>
    <w:link w:val="Heading9Char"/>
    <w:qFormat/>
    <w:rsid w:val="00BB0BE0"/>
    <w:pPr>
      <w:ind w:left="720"/>
      <w:outlineLvl w:val="8"/>
    </w:pPr>
    <w:rPr>
      <w:i/>
    </w:rPr>
  </w:style>
  <w:style w:type="character" w:default="1" w:styleId="DefaultParagraphFont">
    <w:name w:val="Default Paragraph Font"/>
    <w:uiPriority w:val="1"/>
    <w:unhideWhenUsed/>
    <w:rsid w:val="00BB0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BE0"/>
  </w:style>
  <w:style w:type="character" w:customStyle="1" w:styleId="Heading1Char">
    <w:name w:val="Heading 1 Char"/>
    <w:basedOn w:val="DefaultParagraphFont"/>
    <w:link w:val="Heading1"/>
    <w:rsid w:val="00BB0BE0"/>
    <w:rPr>
      <w:rFonts w:ascii="Times New Roman" w:eastAsia="Times New Roman" w:hAnsi="Times New Roman" w:cs="Times New Roman"/>
      <w:b/>
      <w:sz w:val="32"/>
      <w:szCs w:val="20"/>
      <w:lang w:eastAsia="en-US"/>
    </w:rPr>
  </w:style>
  <w:style w:type="paragraph" w:styleId="BodyText">
    <w:name w:val="Body Text"/>
    <w:basedOn w:val="Normal"/>
    <w:link w:val="BodyTextChar"/>
    <w:rsid w:val="00BB0B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0BE0"/>
    <w:rPr>
      <w:rFonts w:ascii="Times New Roman" w:eastAsia="Times New Roman" w:hAnsi="Times New Roman" w:cs="Times New Roman"/>
      <w:sz w:val="24"/>
      <w:lang w:eastAsia="en-US"/>
    </w:rPr>
  </w:style>
  <w:style w:type="paragraph" w:styleId="ListBullet">
    <w:name w:val="List Bullet"/>
    <w:basedOn w:val="List"/>
    <w:rsid w:val="00BB0BE0"/>
    <w:pPr>
      <w:numPr>
        <w:numId w:val="13"/>
      </w:numPr>
      <w:tabs>
        <w:tab w:val="clear" w:pos="340"/>
      </w:tabs>
      <w:spacing w:before="40" w:after="40"/>
    </w:pPr>
  </w:style>
  <w:style w:type="character" w:customStyle="1" w:styleId="SpecialBold">
    <w:name w:val="Special Bold"/>
    <w:basedOn w:val="DefaultParagraphFont"/>
    <w:rsid w:val="00BB0BE0"/>
    <w:rPr>
      <w:b/>
      <w:spacing w:val="0"/>
    </w:rPr>
  </w:style>
  <w:style w:type="paragraph" w:styleId="ListBullet2">
    <w:name w:val="List Bullet 2"/>
    <w:basedOn w:val="List2"/>
    <w:rsid w:val="00BB0BE0"/>
    <w:pPr>
      <w:numPr>
        <w:numId w:val="14"/>
      </w:numPr>
      <w:tabs>
        <w:tab w:val="clear" w:pos="680"/>
      </w:tabs>
    </w:pPr>
  </w:style>
  <w:style w:type="paragraph" w:customStyle="1" w:styleId="SuperHeading">
    <w:name w:val="SuperHeading"/>
    <w:basedOn w:val="Normal"/>
    <w:rsid w:val="00BB0BE0"/>
    <w:pPr>
      <w:spacing w:before="240" w:after="120"/>
      <w:outlineLvl w:val="0"/>
    </w:pPr>
    <w:rPr>
      <w:rFonts w:ascii="Times New Roman" w:hAnsi="Times New Roman"/>
      <w:b/>
      <w:sz w:val="32"/>
    </w:rPr>
  </w:style>
  <w:style w:type="paragraph" w:customStyle="1" w:styleId="AllowPageBreak">
    <w:name w:val="AllowPageBreak"/>
    <w:rsid w:val="00BB0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BE0"/>
    <w:rPr>
      <w:rFonts w:ascii="Courier New" w:eastAsia="Times New Roman" w:hAnsi="Courier New" w:cs="Times New Roman"/>
      <w:i/>
      <w:szCs w:val="20"/>
      <w:lang w:eastAsia="en-US"/>
    </w:rPr>
  </w:style>
  <w:style w:type="paragraph" w:customStyle="1" w:styleId="HeadingBase">
    <w:name w:val="Heading Base"/>
    <w:rsid w:val="00BB0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BE0"/>
    <w:pPr>
      <w:tabs>
        <w:tab w:val="right" w:leader="dot" w:pos="9072"/>
      </w:tabs>
      <w:ind w:left="567"/>
    </w:pPr>
    <w:rPr>
      <w:szCs w:val="22"/>
    </w:rPr>
  </w:style>
  <w:style w:type="paragraph" w:customStyle="1" w:styleId="TOCBase">
    <w:name w:val="TOC Base"/>
    <w:rsid w:val="00BB0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BE0"/>
    <w:pPr>
      <w:tabs>
        <w:tab w:val="right" w:leader="dot" w:pos="9072"/>
      </w:tabs>
      <w:spacing w:before="40" w:after="40"/>
      <w:ind w:left="284"/>
    </w:pPr>
    <w:rPr>
      <w:rFonts w:ascii="Times New Roman" w:hAnsi="Times New Roman"/>
    </w:rPr>
  </w:style>
  <w:style w:type="paragraph" w:styleId="TOC1">
    <w:name w:val="toc 1"/>
    <w:basedOn w:val="TOCBase"/>
    <w:next w:val="Normal"/>
    <w:rsid w:val="00BB0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BE0"/>
    <w:rPr>
      <w:rFonts w:ascii="Times New Roman" w:eastAsia="Times New Roman" w:hAnsi="Times New Roman" w:cs="Times New Roman"/>
      <w:sz w:val="16"/>
      <w:lang w:eastAsia="en-US"/>
    </w:rPr>
  </w:style>
  <w:style w:type="paragraph" w:styleId="Title">
    <w:name w:val="Title"/>
    <w:basedOn w:val="HeadingBase"/>
    <w:link w:val="TitleChar"/>
    <w:qFormat/>
    <w:rsid w:val="00BB0BE0"/>
    <w:pPr>
      <w:spacing w:before="5040"/>
      <w:jc w:val="center"/>
    </w:pPr>
    <w:rPr>
      <w:sz w:val="48"/>
      <w:szCs w:val="72"/>
      <w:lang w:val="en-US"/>
    </w:rPr>
  </w:style>
  <w:style w:type="character" w:customStyle="1" w:styleId="TitleChar">
    <w:name w:val="Title Char"/>
    <w:basedOn w:val="DefaultParagraphFont"/>
    <w:link w:val="Title"/>
    <w:rsid w:val="00BB0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BE0"/>
    <w:pPr>
      <w:tabs>
        <w:tab w:val="left" w:pos="3600"/>
        <w:tab w:val="left" w:pos="3958"/>
      </w:tabs>
    </w:pPr>
  </w:style>
  <w:style w:type="paragraph" w:styleId="List">
    <w:name w:val="List"/>
    <w:basedOn w:val="BodyText"/>
    <w:next w:val="BodyText"/>
    <w:rsid w:val="00BB0BE0"/>
    <w:pPr>
      <w:tabs>
        <w:tab w:val="left" w:pos="340"/>
      </w:tabs>
      <w:spacing w:before="60" w:after="60"/>
      <w:ind w:left="340" w:hanging="340"/>
    </w:pPr>
  </w:style>
  <w:style w:type="paragraph" w:customStyle="1" w:styleId="Note">
    <w:name w:val="Note"/>
    <w:basedOn w:val="BodyText"/>
    <w:rsid w:val="00BB0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BE0"/>
    <w:pPr>
      <w:framePr w:wrap="auto" w:hAnchor="text" w:y="6049"/>
    </w:pPr>
    <w:rPr>
      <w:color w:val="000000"/>
      <w:sz w:val="40"/>
    </w:rPr>
  </w:style>
  <w:style w:type="paragraph" w:customStyle="1" w:styleId="TOCTitle">
    <w:name w:val="TOCTitle"/>
    <w:basedOn w:val="Heading1"/>
    <w:rsid w:val="00BB0BE0"/>
    <w:pPr>
      <w:spacing w:after="240"/>
      <w:jc w:val="center"/>
      <w:outlineLvl w:val="9"/>
    </w:pPr>
    <w:rPr>
      <w:caps/>
    </w:rPr>
  </w:style>
  <w:style w:type="paragraph" w:customStyle="1" w:styleId="Version">
    <w:name w:val="Version"/>
    <w:rsid w:val="00BB0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0BE0"/>
    <w:pPr>
      <w:keepNext w:val="0"/>
      <w:tabs>
        <w:tab w:val="right" w:pos="4176"/>
      </w:tabs>
      <w:ind w:left="198" w:hanging="198"/>
    </w:pPr>
    <w:rPr>
      <w:rFonts w:ascii="Garamond" w:hAnsi="Garamond"/>
    </w:rPr>
  </w:style>
  <w:style w:type="paragraph" w:styleId="IndexHeading">
    <w:name w:val="index heading"/>
    <w:basedOn w:val="Normal"/>
    <w:next w:val="Index1"/>
    <w:semiHidden/>
    <w:rsid w:val="00BB0BE0"/>
    <w:pPr>
      <w:spacing w:before="120" w:after="120"/>
    </w:pPr>
    <w:rPr>
      <w:rFonts w:ascii="Arial" w:hAnsi="Arial"/>
      <w:b/>
      <w:color w:val="918585"/>
      <w:sz w:val="24"/>
    </w:rPr>
  </w:style>
  <w:style w:type="paragraph" w:styleId="Header">
    <w:name w:val="header"/>
    <w:basedOn w:val="Normal"/>
    <w:link w:val="HeaderChar"/>
    <w:rsid w:val="00BB0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BE0"/>
    <w:rPr>
      <w:rFonts w:ascii="Times New Roman" w:eastAsia="Times New Roman" w:hAnsi="Times New Roman" w:cs="Times New Roman"/>
      <w:sz w:val="16"/>
      <w:szCs w:val="20"/>
      <w:lang w:val="en-GB" w:eastAsia="en-US"/>
    </w:rPr>
  </w:style>
  <w:style w:type="paragraph" w:customStyle="1" w:styleId="Chapter">
    <w:name w:val="Chapter"/>
    <w:basedOn w:val="Normal"/>
    <w:rsid w:val="00BB0BE0"/>
    <w:pPr>
      <w:spacing w:before="240"/>
    </w:pPr>
    <w:rPr>
      <w:rFonts w:ascii="Times New Roman" w:hAnsi="Times New Roman"/>
      <w:smallCaps/>
      <w:spacing w:val="80"/>
      <w:sz w:val="28"/>
    </w:rPr>
  </w:style>
  <w:style w:type="paragraph" w:customStyle="1" w:styleId="InChapter">
    <w:name w:val="InChapter"/>
    <w:basedOn w:val="Heading3"/>
    <w:rsid w:val="00BB0BE0"/>
    <w:pPr>
      <w:spacing w:after="240"/>
      <w:outlineLvl w:val="9"/>
    </w:pPr>
    <w:rPr>
      <w:noProof/>
    </w:rPr>
  </w:style>
  <w:style w:type="paragraph" w:styleId="Index2">
    <w:name w:val="index 2"/>
    <w:basedOn w:val="Normal"/>
    <w:next w:val="Normal"/>
    <w:semiHidden/>
    <w:rsid w:val="00BB0BE0"/>
    <w:pPr>
      <w:tabs>
        <w:tab w:val="right" w:pos="4176"/>
      </w:tabs>
      <w:ind w:left="568" w:hanging="284"/>
    </w:pPr>
    <w:rPr>
      <w:rFonts w:ascii="Garamond" w:hAnsi="Garamond"/>
    </w:rPr>
  </w:style>
  <w:style w:type="paragraph" w:customStyle="1" w:styleId="Byline">
    <w:name w:val="Byline"/>
    <w:rsid w:val="00BB0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BE0"/>
    <w:pPr>
      <w:tabs>
        <w:tab w:val="clear" w:pos="3600"/>
        <w:tab w:val="clear" w:pos="3958"/>
      </w:tabs>
      <w:jc w:val="right"/>
    </w:pPr>
  </w:style>
  <w:style w:type="character" w:styleId="Emphasis">
    <w:name w:val="Emphasis"/>
    <w:basedOn w:val="DefaultParagraphFont"/>
    <w:qFormat/>
    <w:rsid w:val="00BB0BE0"/>
    <w:rPr>
      <w:i/>
    </w:rPr>
  </w:style>
  <w:style w:type="paragraph" w:styleId="Caption">
    <w:name w:val="caption"/>
    <w:basedOn w:val="BodyText"/>
    <w:next w:val="Normal"/>
    <w:qFormat/>
    <w:rsid w:val="00BB0BE0"/>
    <w:pPr>
      <w:framePr w:w="2268" w:hSpace="181" w:vSpace="181" w:wrap="around" w:vAnchor="text" w:hAnchor="page" w:x="1135" w:y="285" w:anchorLock="1"/>
    </w:pPr>
    <w:rPr>
      <w:i/>
    </w:rPr>
  </w:style>
  <w:style w:type="paragraph" w:customStyle="1" w:styleId="MiniTOCTitle">
    <w:name w:val="MiniTOCTitle"/>
    <w:basedOn w:val="Heading4"/>
    <w:rsid w:val="00BB0BE0"/>
    <w:pPr>
      <w:spacing w:before="240"/>
      <w:outlineLvl w:val="9"/>
    </w:pPr>
    <w:rPr>
      <w:noProof/>
      <w:sz w:val="24"/>
    </w:rPr>
  </w:style>
  <w:style w:type="paragraph" w:customStyle="1" w:styleId="MiniTOCItem">
    <w:name w:val="MiniTOCItem"/>
    <w:basedOn w:val="ListBullet"/>
    <w:rsid w:val="00BB0BE0"/>
    <w:pPr>
      <w:numPr>
        <w:numId w:val="0"/>
      </w:numPr>
      <w:tabs>
        <w:tab w:val="right" w:leader="dot" w:pos="6521"/>
      </w:tabs>
      <w:spacing w:before="0" w:after="0"/>
    </w:pPr>
  </w:style>
  <w:style w:type="paragraph" w:customStyle="1" w:styleId="TOFTitle">
    <w:name w:val="TOFTitle"/>
    <w:basedOn w:val="TOCTitle"/>
    <w:rsid w:val="00BB0BE0"/>
  </w:style>
  <w:style w:type="paragraph" w:styleId="TableofFigures">
    <w:name w:val="table of figures"/>
    <w:basedOn w:val="Normal"/>
    <w:next w:val="Normal"/>
    <w:semiHidden/>
    <w:rsid w:val="00BB0BE0"/>
    <w:pPr>
      <w:tabs>
        <w:tab w:val="right" w:leader="dot" w:pos="9072"/>
      </w:tabs>
      <w:ind w:left="970" w:hanging="403"/>
    </w:pPr>
    <w:rPr>
      <w:rFonts w:ascii="Times New Roman" w:hAnsi="Times New Roman"/>
      <w:b/>
    </w:rPr>
  </w:style>
  <w:style w:type="paragraph" w:styleId="ListNumber">
    <w:name w:val="List Number"/>
    <w:basedOn w:val="List"/>
    <w:rsid w:val="00BB0BE0"/>
    <w:pPr>
      <w:numPr>
        <w:numId w:val="11"/>
      </w:numPr>
    </w:pPr>
  </w:style>
  <w:style w:type="character" w:customStyle="1" w:styleId="WingdingSymbols">
    <w:name w:val="Wingding Symbols"/>
    <w:rsid w:val="00BB0BE0"/>
    <w:rPr>
      <w:rFonts w:ascii="Wingdings" w:hAnsi="Wingdings"/>
    </w:rPr>
  </w:style>
  <w:style w:type="paragraph" w:customStyle="1" w:styleId="TableHeading">
    <w:name w:val="Table Heading"/>
    <w:basedOn w:val="HeadingBase"/>
    <w:rsid w:val="00BB0BE0"/>
    <w:pPr>
      <w:keepLines/>
      <w:pBdr>
        <w:bottom w:val="single" w:sz="6" w:space="1" w:color="918585"/>
      </w:pBdr>
      <w:spacing w:before="240"/>
    </w:pPr>
  </w:style>
  <w:style w:type="character" w:customStyle="1" w:styleId="HotSpot">
    <w:name w:val="HotSpot"/>
    <w:rsid w:val="00BB0BE0"/>
    <w:rPr>
      <w:color w:val="0033CC"/>
      <w:u w:val="none"/>
    </w:rPr>
  </w:style>
  <w:style w:type="paragraph" w:customStyle="1" w:styleId="BodyTextRight">
    <w:name w:val="Body Text Right"/>
    <w:basedOn w:val="BodyText"/>
    <w:rsid w:val="00BB0BE0"/>
    <w:pPr>
      <w:spacing w:before="0" w:after="0"/>
      <w:jc w:val="right"/>
    </w:pPr>
  </w:style>
  <w:style w:type="paragraph" w:styleId="Index3">
    <w:name w:val="index 3"/>
    <w:basedOn w:val="ListNumber2"/>
    <w:next w:val="Normal"/>
    <w:semiHidden/>
    <w:rsid w:val="00BB0BE0"/>
    <w:pPr>
      <w:numPr>
        <w:numId w:val="0"/>
      </w:numPr>
      <w:tabs>
        <w:tab w:val="right" w:leader="dot" w:pos="4176"/>
      </w:tabs>
    </w:pPr>
  </w:style>
  <w:style w:type="paragraph" w:styleId="ListNumber2">
    <w:name w:val="List Number 2"/>
    <w:basedOn w:val="List2"/>
    <w:rsid w:val="00BB0BE0"/>
    <w:pPr>
      <w:numPr>
        <w:numId w:val="10"/>
      </w:numPr>
      <w:tabs>
        <w:tab w:val="clear" w:pos="1060"/>
      </w:tabs>
    </w:pPr>
  </w:style>
  <w:style w:type="paragraph" w:customStyle="1" w:styleId="MarginNote">
    <w:name w:val="Margin Note"/>
    <w:basedOn w:val="BodyText"/>
    <w:rsid w:val="00BB0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BE0"/>
    <w:rPr>
      <w:sz w:val="32"/>
    </w:rPr>
  </w:style>
  <w:style w:type="paragraph" w:customStyle="1" w:styleId="HeadingProcedure">
    <w:name w:val="Heading Procedure"/>
    <w:basedOn w:val="HeadingBase"/>
    <w:next w:val="Normal"/>
    <w:rsid w:val="00BB0BE0"/>
    <w:pPr>
      <w:tabs>
        <w:tab w:val="left" w:pos="0"/>
      </w:tabs>
      <w:spacing w:before="120" w:after="60"/>
    </w:pPr>
    <w:rPr>
      <w:i/>
      <w:color w:val="918585"/>
      <w:sz w:val="22"/>
    </w:rPr>
  </w:style>
  <w:style w:type="paragraph" w:customStyle="1" w:styleId="TableBodyText">
    <w:name w:val="Table Body Text"/>
    <w:basedOn w:val="BodyText"/>
    <w:rsid w:val="00BB0BE0"/>
    <w:pPr>
      <w:spacing w:before="60" w:after="60"/>
    </w:pPr>
  </w:style>
  <w:style w:type="paragraph" w:styleId="ListContinue">
    <w:name w:val="List Continue"/>
    <w:basedOn w:val="List"/>
    <w:rsid w:val="00BB0BE0"/>
    <w:pPr>
      <w:ind w:firstLine="0"/>
    </w:pPr>
  </w:style>
  <w:style w:type="paragraph" w:customStyle="1" w:styleId="ListNote">
    <w:name w:val="List Note"/>
    <w:basedOn w:val="List"/>
    <w:rsid w:val="00BB0BE0"/>
    <w:pPr>
      <w:pBdr>
        <w:top w:val="single" w:sz="6" w:space="2" w:color="918585"/>
        <w:bottom w:val="single" w:sz="6" w:space="2" w:color="918585"/>
      </w:pBdr>
      <w:tabs>
        <w:tab w:val="left" w:pos="1021"/>
      </w:tabs>
      <w:ind w:firstLine="0"/>
    </w:pPr>
  </w:style>
  <w:style w:type="paragraph" w:customStyle="1" w:styleId="Warning">
    <w:name w:val="Warning"/>
    <w:basedOn w:val="BodyText"/>
    <w:rsid w:val="00BB0BE0"/>
    <w:pPr>
      <w:shd w:val="clear" w:color="auto" w:fill="D9D9D9"/>
      <w:tabs>
        <w:tab w:val="left" w:pos="992"/>
      </w:tabs>
      <w:ind w:left="119" w:right="119"/>
    </w:pPr>
    <w:rPr>
      <w:sz w:val="20"/>
    </w:rPr>
  </w:style>
  <w:style w:type="paragraph" w:customStyle="1" w:styleId="MarginIcons">
    <w:name w:val="Margin Icons"/>
    <w:basedOn w:val="BodyText"/>
    <w:rsid w:val="00BB0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BE0"/>
    <w:rPr>
      <w:rFonts w:ascii="Courier New" w:hAnsi="Courier New"/>
    </w:rPr>
  </w:style>
  <w:style w:type="paragraph" w:customStyle="1" w:styleId="NoteBullet">
    <w:name w:val="Note Bullet"/>
    <w:basedOn w:val="Note"/>
    <w:rsid w:val="00BB0BE0"/>
    <w:pPr>
      <w:tabs>
        <w:tab w:val="clear" w:pos="680"/>
      </w:tabs>
      <w:spacing w:before="60" w:after="60"/>
    </w:pPr>
  </w:style>
  <w:style w:type="paragraph" w:customStyle="1" w:styleId="SubHeading2">
    <w:name w:val="SubHeading2"/>
    <w:basedOn w:val="HeadingBase"/>
    <w:rsid w:val="00BB0BE0"/>
    <w:pPr>
      <w:spacing w:before="240" w:after="60"/>
    </w:pPr>
    <w:rPr>
      <w:sz w:val="20"/>
    </w:rPr>
  </w:style>
  <w:style w:type="paragraph" w:customStyle="1" w:styleId="SubHeading1">
    <w:name w:val="SubHeading1"/>
    <w:basedOn w:val="HeadingBase"/>
    <w:rsid w:val="00BB0BE0"/>
    <w:pPr>
      <w:spacing w:before="240" w:after="60"/>
    </w:pPr>
    <w:rPr>
      <w:color w:val="918585"/>
      <w:sz w:val="22"/>
    </w:rPr>
  </w:style>
  <w:style w:type="paragraph" w:customStyle="1" w:styleId="SideHeading">
    <w:name w:val="Side Heading"/>
    <w:basedOn w:val="HeadingBase"/>
    <w:rsid w:val="00BB0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BE0"/>
    <w:pPr>
      <w:numPr>
        <w:numId w:val="12"/>
      </w:numPr>
    </w:pPr>
  </w:style>
  <w:style w:type="paragraph" w:styleId="PlainText">
    <w:name w:val="Plain Text"/>
    <w:basedOn w:val="Normal"/>
    <w:link w:val="PlainTextChar"/>
    <w:rsid w:val="00BB0BE0"/>
    <w:rPr>
      <w:sz w:val="20"/>
    </w:rPr>
  </w:style>
  <w:style w:type="character" w:customStyle="1" w:styleId="PlainTextChar">
    <w:name w:val="Plain Text Char"/>
    <w:basedOn w:val="DefaultParagraphFont"/>
    <w:link w:val="PlainText"/>
    <w:rsid w:val="00BB0BE0"/>
    <w:rPr>
      <w:rFonts w:ascii="Courier New" w:eastAsia="Times New Roman" w:hAnsi="Courier New" w:cs="Times New Roman"/>
      <w:sz w:val="20"/>
      <w:szCs w:val="20"/>
      <w:lang w:eastAsia="en-US"/>
    </w:rPr>
  </w:style>
  <w:style w:type="character" w:customStyle="1" w:styleId="MenuOption">
    <w:name w:val="Menu Option"/>
    <w:basedOn w:val="DefaultParagraphFont"/>
    <w:rsid w:val="00BB0BE0"/>
    <w:rPr>
      <w:b/>
      <w:smallCaps/>
    </w:rPr>
  </w:style>
  <w:style w:type="paragraph" w:customStyle="1" w:styleId="TableListNumber">
    <w:name w:val="Table List Number"/>
    <w:basedOn w:val="ListNumber"/>
    <w:rsid w:val="00BB0BE0"/>
    <w:pPr>
      <w:numPr>
        <w:numId w:val="0"/>
      </w:numPr>
    </w:pPr>
  </w:style>
  <w:style w:type="paragraph" w:styleId="TOC4">
    <w:name w:val="toc 4"/>
    <w:basedOn w:val="TOCBase"/>
    <w:next w:val="Normal"/>
    <w:semiHidden/>
    <w:rsid w:val="00BB0BE0"/>
    <w:pPr>
      <w:tabs>
        <w:tab w:val="right" w:leader="dot" w:pos="9071"/>
      </w:tabs>
      <w:ind w:left="1701"/>
    </w:pPr>
  </w:style>
  <w:style w:type="paragraph" w:customStyle="1" w:styleId="ListAlpha">
    <w:name w:val="List Alpha"/>
    <w:basedOn w:val="List"/>
    <w:rsid w:val="00BB0BE0"/>
    <w:pPr>
      <w:numPr>
        <w:numId w:val="9"/>
      </w:numPr>
    </w:pPr>
  </w:style>
  <w:style w:type="paragraph" w:customStyle="1" w:styleId="ListAlpha2">
    <w:name w:val="List Alpha 2"/>
    <w:basedOn w:val="List2"/>
    <w:rsid w:val="00BB0BE0"/>
    <w:pPr>
      <w:numPr>
        <w:numId w:val="8"/>
      </w:numPr>
    </w:pPr>
  </w:style>
  <w:style w:type="paragraph" w:styleId="List2">
    <w:name w:val="List 2"/>
    <w:basedOn w:val="BodyText"/>
    <w:rsid w:val="00BB0BE0"/>
    <w:pPr>
      <w:tabs>
        <w:tab w:val="left" w:pos="680"/>
      </w:tabs>
      <w:spacing w:before="60" w:after="60"/>
      <w:ind w:left="680" w:hanging="340"/>
    </w:pPr>
  </w:style>
  <w:style w:type="paragraph" w:styleId="List3">
    <w:name w:val="List 3"/>
    <w:basedOn w:val="BodyText"/>
    <w:rsid w:val="00BB0BE0"/>
    <w:pPr>
      <w:tabs>
        <w:tab w:val="left" w:pos="1021"/>
      </w:tabs>
      <w:spacing w:before="60" w:after="60"/>
      <w:ind w:left="1020" w:hanging="340"/>
    </w:pPr>
  </w:style>
  <w:style w:type="paragraph" w:styleId="List4">
    <w:name w:val="List 4"/>
    <w:basedOn w:val="BodyText"/>
    <w:rsid w:val="00BB0BE0"/>
    <w:pPr>
      <w:tabs>
        <w:tab w:val="left" w:pos="1361"/>
      </w:tabs>
      <w:spacing w:before="60" w:after="60"/>
      <w:ind w:left="1361" w:hanging="340"/>
    </w:pPr>
  </w:style>
  <w:style w:type="paragraph" w:styleId="List5">
    <w:name w:val="List 5"/>
    <w:basedOn w:val="BodyText"/>
    <w:rsid w:val="00BB0BE0"/>
    <w:pPr>
      <w:tabs>
        <w:tab w:val="left" w:pos="1701"/>
      </w:tabs>
      <w:spacing w:before="60" w:after="60"/>
      <w:ind w:left="1701" w:hanging="340"/>
    </w:pPr>
  </w:style>
  <w:style w:type="paragraph" w:styleId="ListBullet3">
    <w:name w:val="List Bullet 3"/>
    <w:basedOn w:val="List3"/>
    <w:rsid w:val="00BB0BE0"/>
    <w:pPr>
      <w:numPr>
        <w:numId w:val="15"/>
      </w:numPr>
      <w:tabs>
        <w:tab w:val="clear" w:pos="1021"/>
      </w:tabs>
      <w:ind w:left="1037" w:hanging="357"/>
    </w:pPr>
  </w:style>
  <w:style w:type="paragraph" w:styleId="ListBullet4">
    <w:name w:val="List Bullet 4"/>
    <w:basedOn w:val="List4"/>
    <w:rsid w:val="00BB0BE0"/>
    <w:pPr>
      <w:numPr>
        <w:numId w:val="3"/>
      </w:numPr>
    </w:pPr>
  </w:style>
  <w:style w:type="paragraph" w:styleId="ListBullet5">
    <w:name w:val="List Bullet 5"/>
    <w:basedOn w:val="List5"/>
    <w:rsid w:val="00BB0BE0"/>
    <w:pPr>
      <w:numPr>
        <w:numId w:val="4"/>
      </w:numPr>
    </w:pPr>
  </w:style>
  <w:style w:type="paragraph" w:styleId="ListContinue2">
    <w:name w:val="List Continue 2"/>
    <w:basedOn w:val="List2"/>
    <w:rsid w:val="00BB0BE0"/>
    <w:pPr>
      <w:ind w:firstLine="0"/>
    </w:pPr>
  </w:style>
  <w:style w:type="paragraph" w:styleId="ListContinue3">
    <w:name w:val="List Continue 3"/>
    <w:basedOn w:val="List3"/>
    <w:rsid w:val="00BB0BE0"/>
    <w:pPr>
      <w:ind w:left="1021" w:firstLine="0"/>
    </w:pPr>
  </w:style>
  <w:style w:type="paragraph" w:styleId="ListContinue4">
    <w:name w:val="List Continue 4"/>
    <w:basedOn w:val="List4"/>
    <w:rsid w:val="00BB0BE0"/>
    <w:pPr>
      <w:ind w:firstLine="0"/>
    </w:pPr>
  </w:style>
  <w:style w:type="paragraph" w:styleId="ListContinue5">
    <w:name w:val="List Continue 5"/>
    <w:basedOn w:val="List5"/>
    <w:rsid w:val="00BB0BE0"/>
    <w:pPr>
      <w:ind w:firstLine="0"/>
    </w:pPr>
  </w:style>
  <w:style w:type="paragraph" w:styleId="ListNumber3">
    <w:name w:val="List Number 3"/>
    <w:basedOn w:val="List3"/>
    <w:rsid w:val="00BB0BE0"/>
    <w:pPr>
      <w:numPr>
        <w:numId w:val="5"/>
      </w:numPr>
    </w:pPr>
  </w:style>
  <w:style w:type="paragraph" w:styleId="ListNumber4">
    <w:name w:val="List Number 4"/>
    <w:basedOn w:val="List4"/>
    <w:rsid w:val="00BB0BE0"/>
    <w:pPr>
      <w:numPr>
        <w:numId w:val="6"/>
      </w:numPr>
    </w:pPr>
  </w:style>
  <w:style w:type="paragraph" w:styleId="ListNumber5">
    <w:name w:val="List Number 5"/>
    <w:basedOn w:val="List5"/>
    <w:rsid w:val="00BB0BE0"/>
    <w:pPr>
      <w:numPr>
        <w:numId w:val="7"/>
      </w:numPr>
    </w:pPr>
  </w:style>
  <w:style w:type="paragraph" w:styleId="BlockText">
    <w:name w:val="Block Text"/>
    <w:basedOn w:val="Normal"/>
    <w:rsid w:val="00BB0BE0"/>
    <w:pPr>
      <w:spacing w:after="120"/>
      <w:ind w:left="1440" w:right="1440"/>
    </w:pPr>
  </w:style>
  <w:style w:type="character" w:customStyle="1" w:styleId="Subscript">
    <w:name w:val="Subscript"/>
    <w:basedOn w:val="DefaultParagraphFont"/>
    <w:rsid w:val="00BB0BE0"/>
    <w:rPr>
      <w:sz w:val="16"/>
      <w:vertAlign w:val="subscript"/>
    </w:rPr>
  </w:style>
  <w:style w:type="character" w:customStyle="1" w:styleId="Superscript">
    <w:name w:val="Superscript"/>
    <w:basedOn w:val="DefaultParagraphFont"/>
    <w:rsid w:val="00BB0BE0"/>
    <w:rPr>
      <w:sz w:val="16"/>
      <w:vertAlign w:val="superscript"/>
    </w:rPr>
  </w:style>
  <w:style w:type="character" w:customStyle="1" w:styleId="Symbols">
    <w:name w:val="Symbols"/>
    <w:basedOn w:val="DefaultParagraphFont"/>
    <w:rsid w:val="00BB0BE0"/>
    <w:rPr>
      <w:rFonts w:ascii="Symbol" w:hAnsi="Symbol"/>
    </w:rPr>
  </w:style>
  <w:style w:type="character" w:customStyle="1" w:styleId="MenuOptions">
    <w:name w:val="Menu Options"/>
    <w:basedOn w:val="DefaultParagraphFont"/>
    <w:rsid w:val="00BB0BE0"/>
    <w:rPr>
      <w:rFonts w:ascii="Arial Narrow" w:hAnsi="Arial Narrow"/>
      <w:smallCaps/>
    </w:rPr>
  </w:style>
  <w:style w:type="character" w:customStyle="1" w:styleId="Buttons">
    <w:name w:val="Buttons"/>
    <w:basedOn w:val="DefaultParagraphFont"/>
    <w:rsid w:val="00BB0BE0"/>
    <w:rPr>
      <w:b/>
    </w:rPr>
  </w:style>
  <w:style w:type="character" w:customStyle="1" w:styleId="Underlined">
    <w:name w:val="Underlined"/>
    <w:basedOn w:val="DefaultParagraphFont"/>
    <w:rsid w:val="00BB0BE0"/>
    <w:rPr>
      <w:u w:val="single"/>
    </w:rPr>
  </w:style>
  <w:style w:type="paragraph" w:customStyle="1" w:styleId="TableBodyTextRight">
    <w:name w:val="Table Body Text Right"/>
    <w:basedOn w:val="TableBodyText"/>
    <w:rsid w:val="00BB0BE0"/>
    <w:pPr>
      <w:widowControl w:val="0"/>
      <w:autoSpaceDE w:val="0"/>
      <w:autoSpaceDN w:val="0"/>
      <w:adjustRightInd w:val="0"/>
      <w:jc w:val="right"/>
    </w:pPr>
    <w:rPr>
      <w:rFonts w:cs="Arial"/>
      <w:szCs w:val="18"/>
    </w:rPr>
  </w:style>
  <w:style w:type="paragraph" w:customStyle="1" w:styleId="CopyrightText">
    <w:name w:val="Copyright Text"/>
    <w:basedOn w:val="BodyText"/>
    <w:rsid w:val="00BB0BE0"/>
    <w:rPr>
      <w:sz w:val="18"/>
    </w:rPr>
  </w:style>
  <w:style w:type="paragraph" w:customStyle="1" w:styleId="BodySmallRight">
    <w:name w:val="Body Small Right"/>
    <w:basedOn w:val="BodyTextRight"/>
    <w:rsid w:val="00BB0BE0"/>
    <w:rPr>
      <w:sz w:val="18"/>
      <w:szCs w:val="18"/>
    </w:rPr>
  </w:style>
  <w:style w:type="paragraph" w:customStyle="1" w:styleId="MarginEdition">
    <w:name w:val="Margin Edition"/>
    <w:basedOn w:val="MarginNote"/>
    <w:rsid w:val="00BB0BE0"/>
    <w:pPr>
      <w:spacing w:before="0" w:after="0"/>
    </w:pPr>
    <w:rPr>
      <w:rFonts w:ascii="Times New Roman" w:hAnsi="Times New Roman"/>
      <w:color w:val="999999"/>
    </w:rPr>
  </w:style>
  <w:style w:type="paragraph" w:customStyle="1" w:styleId="Spacer">
    <w:name w:val="Spacer"/>
    <w:basedOn w:val="Normal"/>
    <w:rsid w:val="00BB0BE0"/>
    <w:rPr>
      <w:sz w:val="2"/>
      <w:szCs w:val="2"/>
    </w:rPr>
  </w:style>
  <w:style w:type="character" w:customStyle="1" w:styleId="Small">
    <w:name w:val="Small"/>
    <w:basedOn w:val="DefaultParagraphFont"/>
    <w:rsid w:val="00BB0BE0"/>
    <w:rPr>
      <w:sz w:val="16"/>
    </w:rPr>
  </w:style>
  <w:style w:type="paragraph" w:customStyle="1" w:styleId="WideTable">
    <w:name w:val="Wide Table"/>
    <w:basedOn w:val="Normal"/>
    <w:rsid w:val="00BB0BE0"/>
    <w:pPr>
      <w:ind w:left="-1418"/>
    </w:pPr>
    <w:rPr>
      <w:sz w:val="2"/>
      <w:szCs w:val="2"/>
    </w:rPr>
  </w:style>
  <w:style w:type="character" w:styleId="PageNumber">
    <w:name w:val="page number"/>
    <w:basedOn w:val="DefaultParagraphFont"/>
    <w:rsid w:val="00BB0BE0"/>
  </w:style>
  <w:style w:type="paragraph" w:styleId="Quote">
    <w:name w:val="Quote"/>
    <w:basedOn w:val="Heading1"/>
    <w:link w:val="QuoteChar"/>
    <w:qFormat/>
    <w:rsid w:val="00BB0BE0"/>
    <w:rPr>
      <w:b w:val="0"/>
      <w:sz w:val="72"/>
      <w:szCs w:val="72"/>
      <w:lang w:val="en-NZ"/>
    </w:rPr>
  </w:style>
  <w:style w:type="character" w:customStyle="1" w:styleId="QuoteChar">
    <w:name w:val="Quote Char"/>
    <w:basedOn w:val="DefaultParagraphFont"/>
    <w:link w:val="Quote"/>
    <w:rsid w:val="00BB0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BE0"/>
    <w:pPr>
      <w:pageBreakBefore/>
    </w:pPr>
  </w:style>
  <w:style w:type="paragraph" w:customStyle="1" w:styleId="Border">
    <w:name w:val="Border"/>
    <w:basedOn w:val="Normal"/>
    <w:qFormat/>
    <w:rsid w:val="00BB0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BE0"/>
    <w:rPr>
      <w:b/>
      <w:bCs/>
      <w:i/>
      <w:iCs/>
      <w:color w:val="auto"/>
    </w:rPr>
  </w:style>
  <w:style w:type="paragraph" w:styleId="IntenseQuote">
    <w:name w:val="Intense Quote"/>
    <w:basedOn w:val="Normal"/>
    <w:next w:val="Normal"/>
    <w:link w:val="IntenseQuoteChar"/>
    <w:uiPriority w:val="30"/>
    <w:qFormat/>
    <w:rsid w:val="00BB0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BE0"/>
    <w:rPr>
      <w:smallCaps/>
      <w:color w:val="auto"/>
      <w:u w:val="single"/>
    </w:rPr>
  </w:style>
  <w:style w:type="character" w:styleId="IntenseReference">
    <w:name w:val="Intense Reference"/>
    <w:basedOn w:val="DefaultParagraphFont"/>
    <w:uiPriority w:val="32"/>
    <w:qFormat/>
    <w:rsid w:val="00BB0BE0"/>
    <w:rPr>
      <w:b/>
      <w:bCs/>
      <w:smallCaps/>
      <w:color w:val="auto"/>
      <w:spacing w:val="5"/>
      <w:u w:val="single"/>
    </w:rPr>
  </w:style>
  <w:style w:type="paragraph" w:customStyle="1" w:styleId="2ColumnHeading">
    <w:name w:val="2Column Heading"/>
    <w:basedOn w:val="BodyText"/>
    <w:qFormat/>
    <w:rsid w:val="00BB0BE0"/>
    <w:pPr>
      <w:spacing w:after="60"/>
      <w:ind w:left="-2268"/>
    </w:pPr>
    <w:rPr>
      <w:b/>
    </w:rPr>
  </w:style>
  <w:style w:type="paragraph" w:customStyle="1" w:styleId="Heading1TOC">
    <w:name w:val="Heading1 TOC"/>
    <w:basedOn w:val="Normal"/>
    <w:qFormat/>
    <w:rsid w:val="00BB0BE0"/>
    <w:pPr>
      <w:spacing w:before="240" w:after="120"/>
    </w:pPr>
    <w:rPr>
      <w:rFonts w:ascii="Times New Roman" w:hAnsi="Times New Roman"/>
      <w:b/>
      <w:sz w:val="32"/>
    </w:rPr>
  </w:style>
  <w:style w:type="paragraph" w:customStyle="1" w:styleId="Heading2TOC">
    <w:name w:val="Heading2 TOC"/>
    <w:basedOn w:val="Normal"/>
    <w:qFormat/>
    <w:rsid w:val="00BB0BE0"/>
    <w:pPr>
      <w:spacing w:before="240" w:after="60"/>
    </w:pPr>
    <w:rPr>
      <w:rFonts w:ascii="Times New Roman" w:hAnsi="Times New Roman"/>
      <w:b/>
      <w:sz w:val="28"/>
    </w:rPr>
  </w:style>
  <w:style w:type="character" w:customStyle="1" w:styleId="Underline">
    <w:name w:val="Underline"/>
    <w:basedOn w:val="DefaultParagraphFont"/>
    <w:qFormat/>
    <w:rsid w:val="00BB0BE0"/>
    <w:rPr>
      <w:u w:val="single"/>
    </w:rPr>
  </w:style>
  <w:style w:type="character" w:customStyle="1" w:styleId="BoldandItalics">
    <w:name w:val="Bold and Italics"/>
    <w:qFormat/>
    <w:rsid w:val="00BB0BE0"/>
    <w:rPr>
      <w:b/>
      <w:i/>
      <w:u w:val="none"/>
    </w:rPr>
  </w:style>
  <w:style w:type="paragraph" w:styleId="BalloonText">
    <w:name w:val="Balloon Text"/>
    <w:basedOn w:val="Normal"/>
    <w:link w:val="BalloonTextChar"/>
    <w:rsid w:val="00BB0BE0"/>
    <w:rPr>
      <w:rFonts w:ascii="Tahoma" w:hAnsi="Tahoma" w:cs="Tahoma"/>
      <w:sz w:val="16"/>
      <w:szCs w:val="16"/>
    </w:rPr>
  </w:style>
  <w:style w:type="character" w:customStyle="1" w:styleId="BalloonTextChar">
    <w:name w:val="Balloon Text Char"/>
    <w:basedOn w:val="DefaultParagraphFont"/>
    <w:link w:val="BalloonText"/>
    <w:rsid w:val="00BB0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B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0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BE0"/>
    <w:rPr>
      <w:b/>
      <w:color w:val="660033"/>
      <w:spacing w:val="0"/>
    </w:rPr>
  </w:style>
  <w:style w:type="paragraph" w:customStyle="1" w:styleId="Nameditemlist">
    <w:name w:val="Named item list"/>
    <w:basedOn w:val="BodyText"/>
    <w:qFormat/>
    <w:rsid w:val="00BB0B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1929</Words>
  <Characters>11794</Characters>
  <Application>Microsoft Office Word</Application>
  <DocSecurity>0</DocSecurity>
  <Lines>486</Lines>
  <Paragraphs>203</Paragraphs>
  <ScaleCrop>false</ScaleCrop>
  <Company>Author-it Software Corporation Ltd.</Company>
  <LinksUpToDate>false</LinksUpToDate>
  <CharactersWithSpaces>13574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UEENEEI157A Configure and maintain industrial control system networks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2013-03-07T16:31:00Z</dcterms:created>
  <dcterms:modified xsi:type="dcterms:W3CDTF">2013-03-07T16:31:00Z</dcterms:modified>
</cp:coreProperties>
</file>