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018" w:rsidP="00D00018">
      <w:pPr>
        <w:pStyle w:val="Title"/>
      </w:pPr>
      <w:bookmarkStart w:id="0" w:name="_GoBack"/>
      <w:bookmarkEnd w:id="0"/>
      <w:r>
        <w:fldChar w:fldCharType="begin"/>
      </w:r>
      <w:r>
        <w:instrText xml:space="preserve"> TITLE   \* MERGEFORMAT </w:instrText>
      </w:r>
      <w:r>
        <w:fldChar w:fldCharType="separate"/>
      </w:r>
      <w:r>
        <w:t>UEENEEI154A Design and use advanced programming tools PC networks and HMI Interfacing</w:t>
      </w:r>
      <w:r>
        <w:fldChar w:fldCharType="end"/>
      </w:r>
    </w:p>
    <w:p w:rsidR="00D00018" w:rsidP="00D00018">
      <w:pPr>
        <w:pStyle w:val="Version"/>
        <w:sectPr w:rsidSect="00030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00FC" w:rsidP="000300FC">
      <w:pPr>
        <w:pStyle w:val="SuperHeading"/>
      </w:pPr>
      <w:r w:rsidRPr="000300FC">
        <w:t>UEENEEI154A Design and use advanced programming tools PC networks and HMI Interfacing</w:t>
      </w:r>
    </w:p>
    <w:p w:rsidR="00000000" w:rsidRPr="000300FC" w:rsidP="000300FC">
      <w:pPr>
        <w:pStyle w:val="Heading1"/>
      </w:pPr>
      <w:bookmarkStart w:id="1" w:name="O_534183"/>
      <w:bookmarkEnd w:id="1"/>
      <w:r w:rsidRPr="000300FC">
        <w:t>Modification History</w:t>
      </w:r>
    </w:p>
    <w:tbl>
      <w:tblPr>
        <w:tblW w:w="0" w:type="auto"/>
        <w:tblCellMar>
          <w:left w:w="62" w:type="dxa"/>
          <w:right w:w="62" w:type="dxa"/>
        </w:tblCellMar>
        <w:tblLook w:val="0000"/>
      </w:tblPr>
      <w:tblGrid>
        <w:gridCol w:w="762"/>
        <w:gridCol w:w="762"/>
        <w:gridCol w:w="1269"/>
        <w:gridCol w:w="5162"/>
        <w:gridCol w:w="1241"/>
      </w:tblGrid>
      <w:tr w:rsidTr="00D00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UEENEEI154A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Develop, enter and verify programs in Supervisory Control and Data Acquisition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p>
        </w:tc>
      </w:tr>
      <w:tr w:rsidTr="00D00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Points</w:t>
            </w:r>
          </w:p>
        </w:tc>
      </w:tr>
      <w:tr w:rsidTr="00D00018">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p>
        </w:tc>
      </w:tr>
      <w:tr w:rsidTr="00D00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p>
        </w:tc>
      </w:tr>
      <w:tr w:rsidTr="00D0001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p>
        </w:tc>
      </w:tr>
      <w:tr w:rsidTr="00D00018">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0FC">
            <w:pPr>
              <w:pStyle w:val="BodyText"/>
              <w:rPr>
                <w:lang w:val="en-NZ"/>
              </w:rPr>
            </w:pPr>
            <w:r w:rsidRPr="000300FC">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0FC" w:rsidP="000300FC">
            <w:pPr>
              <w:pStyle w:val="BodyText"/>
            </w:pP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2" w:name="O_534182"/>
      <w:bookmarkEnd w:id="2"/>
      <w:r w:rsidRPr="000300FC">
        <w:t>Unit Descriptor</w:t>
      </w:r>
    </w:p>
    <w:tbl>
      <w:tblPr>
        <w:tblW w:w="0" w:type="auto"/>
        <w:tblLayout w:type="fixed"/>
        <w:tblCellMar>
          <w:left w:w="62" w:type="dxa"/>
          <w:right w:w="62" w:type="dxa"/>
        </w:tblCellMar>
        <w:tblLook w:val="0000"/>
      </w:tblPr>
      <w:tblGrid>
        <w:gridCol w:w="2700"/>
        <w:gridCol w:w="5760"/>
      </w:tblGrid>
      <w:tr w:rsidTr="00D00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1)</w:t>
            </w:r>
            <w:r w:rsidRPr="000300FC">
              <w:t xml:space="preserve"> </w:t>
            </w:r>
            <w:r w:rsidRPr="000300FC">
              <w:rPr>
                <w:rStyle w:val="SpecialBold"/>
              </w:rPr>
              <w:t>Scope:</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00F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1.1) Descriptor</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This unit covers the design of computer application for control processes. It encompasses apply knowledge of control devices, control systems, programmable logic controllers, supervisory control and data acquisition systems and control programming methods,</w:t>
            </w:r>
            <w:r w:rsidRPr="000300FC">
              <w:t xml:space="preserve"> developing alternative design schemes based on design brief, customer relations and documenting designs.</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3" w:name="O_534181"/>
      <w:bookmarkEnd w:id="3"/>
      <w:r w:rsidRPr="000300FC">
        <w:t>Application of the Unit</w:t>
      </w:r>
    </w:p>
    <w:tbl>
      <w:tblPr>
        <w:tblW w:w="0" w:type="auto"/>
        <w:tblLayout w:type="fixed"/>
        <w:tblCellMar>
          <w:left w:w="62" w:type="dxa"/>
          <w:right w:w="62" w:type="dxa"/>
        </w:tblCellMar>
        <w:tblLook w:val="0000"/>
      </w:tblPr>
      <w:tblGrid>
        <w:gridCol w:w="2672"/>
        <w:gridCol w:w="5699"/>
      </w:tblGrid>
      <w:tr w:rsidTr="00D000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2)</w:t>
            </w:r>
          </w:p>
        </w:tc>
      </w:tr>
      <w:tr w:rsidTr="00D000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This unit is intended to augment formally-acquired competencies. It is suitabl</w:t>
            </w:r>
            <w:r w:rsidRPr="000300FC">
              <w:t>e for employment-based programs under an approved contract of training. It applies to any formal recognition for this standard at the aligned AQF 6 level.</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4" w:name="O_534180"/>
      <w:bookmarkEnd w:id="4"/>
      <w:r w:rsidRPr="000300FC">
        <w:t>Licensing/Regulatory Information</w:t>
      </w:r>
    </w:p>
    <w:tbl>
      <w:tblPr>
        <w:tblW w:w="0" w:type="auto"/>
        <w:tblLayout w:type="fixed"/>
        <w:tblCellMar>
          <w:left w:w="62" w:type="dxa"/>
          <w:right w:w="62" w:type="dxa"/>
        </w:tblCellMar>
        <w:tblLook w:val="0000"/>
      </w:tblPr>
      <w:tblGrid>
        <w:gridCol w:w="2700"/>
        <w:gridCol w:w="5760"/>
      </w:tblGrid>
      <w:tr w:rsidTr="00D00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 xml:space="preserve">3) </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The skills and knowledge described in this unit do not require a license to practice in the workplace. However, practice in this unit is subject to regulations directly related to occupational health and safety and where applicable contracts of training su</w:t>
            </w:r>
            <w:r w:rsidRPr="000300FC">
              <w:t>ch as apprenticeships.</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5" w:name="O_534179"/>
      <w:bookmarkEnd w:id="5"/>
      <w:r w:rsidRPr="000300FC">
        <w:t>Pre-Requisites</w:t>
      </w:r>
    </w:p>
    <w:tbl>
      <w:tblPr>
        <w:tblW w:w="0" w:type="auto"/>
        <w:tblLayout w:type="fixed"/>
        <w:tblCellMar>
          <w:left w:w="62" w:type="dxa"/>
          <w:right w:w="62" w:type="dxa"/>
        </w:tblCellMar>
        <w:tblLook w:val="0000"/>
      </w:tblPr>
      <w:tblGrid>
        <w:gridCol w:w="2638"/>
        <w:gridCol w:w="1800"/>
        <w:gridCol w:w="3960"/>
      </w:tblGrid>
      <w:tr w:rsidTr="000300F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 xml:space="preserve">4) </w:t>
            </w:r>
          </w:p>
        </w:tc>
      </w:tr>
      <w:tr w:rsidTr="000300F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4.1)</w:t>
            </w:r>
          </w:p>
        </w:tc>
      </w:tr>
      <w:tr w:rsidTr="000300F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Granting of competency in this unit shall be made only after competency in the following unit(s) has/have been confirmed.</w:t>
            </w:r>
          </w:p>
        </w:tc>
      </w:tr>
      <w:tr w:rsidTr="000300F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Unit Code</w:t>
            </w:r>
          </w:p>
        </w:tc>
        <w:tc>
          <w:tcPr>
            <w:tcW w:w="39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Unit Title</w:t>
            </w:r>
          </w:p>
        </w:tc>
      </w:tr>
      <w:tr w:rsidTr="000300F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0300FC">
            <w:pPr>
              <w:pStyle w:val="BodyText"/>
              <w:rPr>
                <w:lang w:val="en-NZ"/>
              </w:rPr>
            </w:pPr>
            <w:r w:rsidRPr="000300FC">
              <w:t>Apply Occupational Health and Safety regulations, codes and practices in the workplace</w:t>
            </w:r>
          </w:p>
        </w:tc>
      </w:tr>
      <w:tr w:rsidTr="000300F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UEENEEI150A</w:t>
            </w:r>
          </w:p>
        </w:tc>
        <w:tc>
          <w:tcPr>
            <w:tcW w:w="39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 xml:space="preserve">Develop, enter and verify discrete control programs for programmable logic controllers </w:t>
            </w:r>
          </w:p>
        </w:tc>
      </w:tr>
      <w:tr w:rsidTr="000300F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UEENEEI151A</w:t>
            </w:r>
          </w:p>
        </w:tc>
        <w:tc>
          <w:tcPr>
            <w:tcW w:w="39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Develop, enter and verify word and analog</w:t>
            </w:r>
            <w:r w:rsidRPr="000300FC">
              <w:t>ue control programs for programmable logic controllers.</w:t>
            </w:r>
          </w:p>
        </w:tc>
      </w:tr>
    </w:tbl>
    <w:p w:rsidR="00000000" w:rsidRPr="000300FC" w:rsidP="000300F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0001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 xml:space="preserve">4.2) </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 xml:space="preserve">Participants are best equipped to achieve competency in this unit if they have reading, writing and numeracy skills indicated by the following </w:t>
            </w:r>
            <w:r w:rsidRPr="000300FC">
              <w:t>scales. Description of each scale is given in Volume 2, Part 3 ‘Literacy and Numeracy’</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Reading</w:t>
            </w:r>
          </w:p>
        </w:tc>
        <w:tc>
          <w:tcPr>
            <w:tcW w:w="81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5</w:t>
            </w:r>
          </w:p>
        </w:tc>
        <w:tc>
          <w:tcPr>
            <w:tcW w:w="99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Writing</w:t>
            </w:r>
          </w:p>
        </w:tc>
        <w:tc>
          <w:tcPr>
            <w:tcW w:w="90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5</w:t>
            </w:r>
          </w:p>
        </w:tc>
        <w:tc>
          <w:tcPr>
            <w:tcW w:w="12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Numeracy</w:t>
            </w:r>
          </w:p>
        </w:tc>
        <w:tc>
          <w:tcPr>
            <w:tcW w:w="72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5</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6" w:name="O_534178"/>
      <w:bookmarkEnd w:id="6"/>
      <w:r w:rsidRPr="000300FC">
        <w:t>Employability Skills Information</w:t>
      </w:r>
    </w:p>
    <w:tbl>
      <w:tblPr>
        <w:tblW w:w="0" w:type="auto"/>
        <w:tblLayout w:type="fixed"/>
        <w:tblCellMar>
          <w:left w:w="62" w:type="dxa"/>
          <w:right w:w="62" w:type="dxa"/>
        </w:tblCellMar>
        <w:tblLook w:val="0000"/>
      </w:tblPr>
      <w:tblGrid>
        <w:gridCol w:w="2700"/>
        <w:gridCol w:w="5760"/>
      </w:tblGrid>
      <w:tr w:rsidTr="00D00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 xml:space="preserve">5) </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The r</w:t>
            </w:r>
            <w:r w:rsidRPr="000300FC">
              <w:t>equired outcomes described in this unit of competency contain applicable facets of Employability Skills. The Employability Skills Summary of the qualification in which this unit of competency is packaged will assist in identifying Employability Skill requi</w:t>
            </w:r>
            <w:r w:rsidRPr="000300FC">
              <w:t>rements.</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7" w:name="O_534177"/>
      <w:bookmarkEnd w:id="7"/>
      <w:r w:rsidRPr="000300FC">
        <w:t>Elements and Performance Criteria Pre-Content</w:t>
      </w:r>
    </w:p>
    <w:tbl>
      <w:tblPr>
        <w:tblW w:w="0" w:type="auto"/>
        <w:tblLayout w:type="fixed"/>
        <w:tblCellMar>
          <w:left w:w="62" w:type="dxa"/>
          <w:right w:w="62" w:type="dxa"/>
        </w:tblCellMar>
        <w:tblLook w:val="0000"/>
      </w:tblPr>
      <w:tblGrid>
        <w:gridCol w:w="2700"/>
        <w:gridCol w:w="5760"/>
      </w:tblGrid>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6)</w:t>
            </w:r>
            <w:r w:rsidRPr="000300F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Performance Criteria describe the required performance needed to demonstrate achievement of the element. Assessment of performance is to be consistent with the Evidence Guide.</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8" w:name="O_534176"/>
      <w:bookmarkEnd w:id="8"/>
      <w:r w:rsidRPr="000300FC">
        <w:t>Elements and Performance Criteria</w:t>
      </w:r>
    </w:p>
    <w:tbl>
      <w:tblPr>
        <w:tblW w:w="0" w:type="auto"/>
        <w:tblLayout w:type="fixed"/>
        <w:tblCellMar>
          <w:left w:w="62" w:type="dxa"/>
          <w:right w:w="62" w:type="dxa"/>
        </w:tblCellMar>
        <w:tblLook w:val="0000"/>
      </w:tblPr>
      <w:tblGrid>
        <w:gridCol w:w="324"/>
        <w:gridCol w:w="2154"/>
        <w:gridCol w:w="222"/>
        <w:gridCol w:w="604"/>
        <w:gridCol w:w="4457"/>
        <w:gridCol w:w="699"/>
      </w:tblGrid>
      <w:tr w:rsidTr="00D0001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PERFORMANCE CRITE</w:t>
            </w:r>
            <w:r w:rsidRPr="000300FC">
              <w:rPr>
                <w:rStyle w:val="SpecialBold"/>
              </w:rPr>
              <w:t>RIA</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1</w:t>
            </w:r>
          </w:p>
        </w:tc>
        <w:tc>
          <w:tcPr>
            <w:tcW w:w="2154" w:type="dxa"/>
            <w:vMerge w:val="restart"/>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Prepare to design engineering computer applications.</w:t>
            </w: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1.1</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OHS processes and procedures for a given work area are identified, obtained and understood.</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1.2</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Established OHS risk control measures and procedures are followed in preparation for the work.</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1.3</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The extent of the proposed control system is determined from the design brief or in consultation with appropriate person(s).</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1.4</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Design development work is planned to meet scheduled timelines in consultation with others involved on the work site.</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w:t>
            </w:r>
          </w:p>
        </w:tc>
        <w:tc>
          <w:tcPr>
            <w:tcW w:w="2154" w:type="dxa"/>
            <w:vMerge w:val="restart"/>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Develop engineering computer applications design.</w:t>
            </w: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2.1</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Knowledge of control devices, control systems and control programming methods are applied to the design.</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2.2</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Alternative concepts for the design are tested based on the requirements outlined in the design brief. (Note)</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2.3</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Safety, functional and budget considerations are incorporated in the design.</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2.4</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System design draft is checked for compliance with the design brief and regulatory requirements.</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2.5</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System design is documented for submission to appropriate person(s) for approval.</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2.6</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Solutions to unplanned situation are provided consistent with organisation’s policy.</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3</w:t>
            </w:r>
          </w:p>
        </w:tc>
        <w:tc>
          <w:tcPr>
            <w:tcW w:w="2154" w:type="dxa"/>
            <w:vMerge w:val="restart"/>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Obtain approval for engineering computer applications design.</w:t>
            </w: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3.1</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System desi</w:t>
            </w:r>
            <w:r w:rsidRPr="000300FC">
              <w:t>gn is presented and explained to client representative and/or other relevant person(s).</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3.2</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Requests for alterations to the design are negotiated with relevant person(s) within the constraints of organisation’s policy.</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3.3</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Final design is documented and approval obtained from appropriate person(s).</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3.4</w:t>
            </w:r>
          </w:p>
        </w:tc>
        <w:tc>
          <w:tcPr>
            <w:tcW w:w="4457"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Quality of work is monitored against personal performance agreement and/or established organisational or professional standards.</w:t>
            </w:r>
          </w:p>
        </w:tc>
      </w:tr>
      <w:tr w:rsidTr="00D00018">
        <w:tblPrEx>
          <w:tblW w:w="0" w:type="auto"/>
          <w:tblLayout w:type="fixed"/>
          <w:tblCellMar>
            <w:left w:w="62" w:type="dxa"/>
            <w:right w:w="62" w:type="dxa"/>
          </w:tblCellMar>
          <w:tblLook w:val="0000"/>
        </w:tblPrEx>
        <w:trPr>
          <w:gridAfter w:val="1"/>
          <w:wAfter w:w="699" w:type="dxa"/>
        </w:trPr>
        <w:tc>
          <w:tcPr>
            <w:tcW w:w="3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3" w:type="dxa"/>
            <w:gridSpan w:val="3"/>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Note.</w:t>
            </w:r>
            <w:r w:rsidRPr="000300FC">
              <w:br/>
            </w:r>
            <w:r w:rsidRPr="000300FC">
              <w:t>Design concepts should be tested by real or virtual prototyping where it cannot be shown easily by other means that particular aspects of the design meet specified requirements</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9" w:name="O_534175"/>
      <w:bookmarkEnd w:id="9"/>
      <w:r w:rsidRPr="000300FC">
        <w:t>Required Skills and Knowledge</w:t>
      </w:r>
    </w:p>
    <w:tbl>
      <w:tblPr>
        <w:tblW w:w="0" w:type="auto"/>
        <w:tblLayout w:type="fixed"/>
        <w:tblCellMar>
          <w:left w:w="62" w:type="dxa"/>
          <w:right w:w="62" w:type="dxa"/>
        </w:tblCellMar>
        <w:tblLook w:val="0000"/>
      </w:tblPr>
      <w:tblGrid>
        <w:gridCol w:w="8460"/>
      </w:tblGrid>
      <w:tr w:rsidTr="00D000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REQUIRED SKILLS AND KNOWLEDGE</w:t>
            </w:r>
          </w:p>
        </w:tc>
      </w:tr>
      <w:tr w:rsidTr="00D0001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8)</w:t>
            </w:r>
            <w:r w:rsidRPr="000300FC">
              <w:t xml:space="preserve"> This describes the required skills and knowledge and their level, required for this unit.</w:t>
            </w:r>
          </w:p>
          <w:p w:rsidR="00000000" w:rsidRPr="000300FC" w:rsidP="000300FC">
            <w:pPr>
              <w:pStyle w:val="BodyText"/>
            </w:pPr>
            <w:r w:rsidRPr="000300FC">
              <w:t>Evidence shall show that knowledge has been acquired of safe working practices and designing a computer based control system.</w:t>
            </w:r>
          </w:p>
          <w:p w:rsidR="00000000" w:rsidRPr="000300FC" w:rsidP="000300FC">
            <w:pPr>
              <w:pStyle w:val="BodyText"/>
            </w:pPr>
            <w:r w:rsidRPr="000300FC">
              <w:t>All kn</w:t>
            </w:r>
            <w:r w:rsidRPr="000300FC">
              <w:t>owledge and skills detailed in this unit should be contextualised to current industry practices and technologies.</w:t>
            </w:r>
          </w:p>
          <w:p w:rsidR="00000000" w:rsidRPr="000300FC" w:rsidP="000300FC">
            <w:pPr>
              <w:pStyle w:val="BodyText"/>
            </w:pPr>
            <w:r w:rsidRPr="000300FC">
              <w:rPr>
                <w:rStyle w:val="SpecialBold"/>
              </w:rPr>
              <w:t>KS01-EI154A</w:t>
            </w:r>
            <w:r w:rsidRPr="000300FC">
              <w:rPr>
                <w:rStyle w:val="SpecialBold"/>
              </w:rPr>
              <w:tab/>
              <w:t xml:space="preserve">     PLC system applications </w:t>
            </w:r>
          </w:p>
          <w:p w:rsidR="00000000" w:rsidRPr="000300FC" w:rsidP="000300FC">
            <w:pPr>
              <w:pStyle w:val="BodyText"/>
            </w:pPr>
            <w:r w:rsidRPr="000300FC">
              <w:t>Evidence shall show an understanding of PLC system applications to an extent indicated by the follow</w:t>
            </w:r>
            <w:r w:rsidRPr="000300FC">
              <w:t>ing aspects:</w:t>
            </w:r>
          </w:p>
          <w:p w:rsidR="00000000" w:rsidRPr="000300FC" w:rsidP="000300FC">
            <w:pPr>
              <w:pStyle w:val="BodyText"/>
            </w:pPr>
            <w:r w:rsidRPr="000300FC">
              <w:t xml:space="preserve">T1. Alternative/enhancing programming methods </w:t>
            </w:r>
          </w:p>
          <w:p w:rsidR="00000000" w:rsidRPr="000300FC" w:rsidP="000300FC">
            <w:pPr>
              <w:pStyle w:val="BodyText"/>
            </w:pPr>
            <w:r w:rsidRPr="000300FC">
              <w:t>T2. System diagnostics techniques.</w:t>
            </w:r>
          </w:p>
          <w:p w:rsidR="00000000" w:rsidRPr="000300FC" w:rsidP="000300FC">
            <w:pPr>
              <w:pStyle w:val="BodyText"/>
            </w:pPr>
            <w:r w:rsidRPr="000300FC">
              <w:t>T3. Control loops encompassing:</w:t>
            </w:r>
          </w:p>
          <w:p w:rsidR="00000000" w:rsidRPr="000300FC" w:rsidP="000300FC">
            <w:pPr>
              <w:pStyle w:val="ListBullet"/>
            </w:pPr>
            <w:r w:rsidRPr="000300FC">
              <w:t>Regulated loop control</w:t>
            </w:r>
          </w:p>
          <w:p w:rsidR="00000000" w:rsidRPr="000300FC" w:rsidP="000300FC">
            <w:pPr>
              <w:pStyle w:val="ListBullet"/>
            </w:pPr>
            <w:r w:rsidRPr="000300FC">
              <w:t>Proportional / integral /derivative (PID) control</w:t>
            </w:r>
          </w:p>
          <w:p w:rsidR="00000000" w:rsidRPr="000300FC" w:rsidP="000300FC">
            <w:pPr>
              <w:pStyle w:val="ListBullet"/>
            </w:pPr>
            <w:r w:rsidRPr="000300FC">
              <w:t>Applications of PID control</w:t>
            </w:r>
          </w:p>
          <w:p w:rsidR="00000000" w:rsidRPr="000300FC" w:rsidP="000300FC">
            <w:pPr>
              <w:pStyle w:val="ListBullet"/>
            </w:pPr>
            <w:r w:rsidRPr="000300FC">
              <w:t>Methods used to achieve PID control using a PLC</w:t>
            </w:r>
          </w:p>
          <w:p w:rsidR="00000000" w:rsidRPr="000300FC" w:rsidP="000300FC">
            <w:pPr>
              <w:pStyle w:val="BodyText"/>
            </w:pPr>
            <w:r w:rsidRPr="000300FC">
              <w:t>T4. Specialist instructions - interrupt driven applications, high speed counters, positional encoders</w:t>
            </w:r>
          </w:p>
          <w:p w:rsidR="00000000" w:rsidRPr="000300FC" w:rsidP="000300FC">
            <w:pPr>
              <w:pStyle w:val="BodyText"/>
            </w:pPr>
            <w:r w:rsidRPr="000300FC">
              <w:t>T5. Communications methods and requirements encompassing:</w:t>
            </w:r>
          </w:p>
          <w:p w:rsidR="00000000" w:rsidRPr="000300FC" w:rsidP="000300FC">
            <w:pPr>
              <w:pStyle w:val="ListBullet"/>
            </w:pPr>
            <w:r w:rsidRPr="000300FC">
              <w:t>Common protocols and interface standards</w:t>
            </w:r>
          </w:p>
          <w:p w:rsidR="00000000" w:rsidRPr="000300FC" w:rsidP="000300FC">
            <w:pPr>
              <w:pStyle w:val="ListBullet"/>
            </w:pPr>
            <w:r w:rsidRPr="000300FC">
              <w:t>Requir</w:t>
            </w:r>
            <w:r w:rsidRPr="000300FC">
              <w:t>ements when networking/interfacing PLC’s</w:t>
            </w:r>
          </w:p>
          <w:p w:rsidR="00000000" w:rsidRPr="000300FC" w:rsidP="000300FC">
            <w:pPr>
              <w:pStyle w:val="ListBullet"/>
            </w:pPr>
            <w:r w:rsidRPr="000300FC">
              <w:t>Communication mediums</w:t>
            </w:r>
          </w:p>
          <w:p w:rsidR="00000000" w:rsidRPr="000300FC" w:rsidP="000300FC">
            <w:pPr>
              <w:pStyle w:val="ListBullet"/>
            </w:pPr>
            <w:r w:rsidRPr="000300FC">
              <w:t xml:space="preserve">Network types and topologies </w:t>
            </w:r>
          </w:p>
          <w:p w:rsidR="00000000" w:rsidRPr="000300FC" w:rsidP="000300FC">
            <w:pPr>
              <w:pStyle w:val="ListBullet"/>
            </w:pPr>
            <w:r w:rsidRPr="000300FC">
              <w:t>Hierarchal networks</w:t>
            </w:r>
          </w:p>
          <w:p w:rsidR="00000000" w:rsidRPr="000300FC" w:rsidP="000300FC">
            <w:pPr>
              <w:pStyle w:val="ListBullet"/>
            </w:pPr>
            <w:r w:rsidRPr="000300FC">
              <w:t>Peer to peer networks</w:t>
            </w:r>
          </w:p>
          <w:p w:rsidR="00000000" w:rsidRPr="000300FC" w:rsidP="000300FC">
            <w:pPr>
              <w:pStyle w:val="ListBullet"/>
            </w:pPr>
            <w:r w:rsidRPr="000300FC">
              <w:t>Handshaking</w:t>
            </w:r>
          </w:p>
          <w:p w:rsidR="00000000" w:rsidRPr="000300FC" w:rsidP="000300FC">
            <w:pPr>
              <w:pStyle w:val="ListBullet"/>
            </w:pPr>
            <w:r w:rsidRPr="000300FC">
              <w:t>Open architecture communications</w:t>
            </w:r>
          </w:p>
          <w:p w:rsidR="00000000" w:rsidRPr="000300FC" w:rsidP="000300FC">
            <w:pPr>
              <w:pStyle w:val="ListBullet"/>
            </w:pPr>
            <w:r w:rsidRPr="000300FC">
              <w:t>Remote I/O</w:t>
            </w:r>
          </w:p>
          <w:p w:rsidR="00000000" w:rsidRPr="000300FC" w:rsidP="000300FC">
            <w:pPr>
              <w:pStyle w:val="BodyText"/>
            </w:pPr>
            <w:r w:rsidRPr="000300FC">
              <w:t>T6. Intelligent terminals/graphic interfaces installation and com</w:t>
            </w:r>
            <w:r w:rsidRPr="000300FC">
              <w:t>munication requirements</w:t>
            </w:r>
          </w:p>
          <w:p w:rsidR="00000000" w:rsidRPr="000300FC" w:rsidP="000300FC">
            <w:pPr>
              <w:pStyle w:val="BodyText"/>
            </w:pPr>
            <w:r w:rsidRPr="000300FC">
              <w:t>T7. Data link layer encompassing:</w:t>
            </w:r>
          </w:p>
          <w:p w:rsidR="00000000" w:rsidRPr="000300FC" w:rsidP="000300FC">
            <w:pPr>
              <w:pStyle w:val="ListBullet"/>
            </w:pPr>
            <w:r w:rsidRPr="000300FC">
              <w:t>Device types</w:t>
            </w:r>
          </w:p>
          <w:p w:rsidR="00000000" w:rsidRPr="000300FC" w:rsidP="000300FC">
            <w:pPr>
              <w:pStyle w:val="ListBullet"/>
            </w:pPr>
            <w:r w:rsidRPr="000300FC">
              <w:t>Bus arbitration</w:t>
            </w:r>
          </w:p>
          <w:p w:rsidR="00000000" w:rsidRPr="000300FC" w:rsidP="000300FC">
            <w:pPr>
              <w:pStyle w:val="ListBullet"/>
            </w:pPr>
            <w:r w:rsidRPr="000300FC">
              <w:t>Device initialisation</w:t>
            </w:r>
          </w:p>
          <w:p w:rsidR="00000000" w:rsidRPr="000300FC" w:rsidP="000300FC">
            <w:pPr>
              <w:pStyle w:val="ListBullet"/>
            </w:pPr>
            <w:r w:rsidRPr="000300FC">
              <w:t>Synchronous / Asynchronous messaging.</w:t>
            </w:r>
          </w:p>
          <w:p w:rsidR="00000000" w:rsidRPr="000300FC" w:rsidP="000300FC">
            <w:pPr>
              <w:pStyle w:val="ListBullet"/>
            </w:pPr>
            <w:r w:rsidRPr="000300FC">
              <w:t>Time management</w:t>
            </w:r>
          </w:p>
          <w:p w:rsidR="00000000" w:rsidRPr="000300FC" w:rsidP="000300FC">
            <w:pPr>
              <w:pStyle w:val="ListBullet"/>
            </w:pPr>
            <w:r w:rsidRPr="000300FC">
              <w:t>Link active scheduler specific functions</w:t>
            </w:r>
          </w:p>
          <w:p w:rsidR="00000000" w:rsidRPr="000300FC" w:rsidP="000300FC">
            <w:pPr>
              <w:pStyle w:val="BodyText"/>
            </w:pPr>
            <w:r w:rsidRPr="000300FC">
              <w:t>T8. Bus monitor encompassing:</w:t>
            </w:r>
          </w:p>
          <w:p w:rsidR="00000000" w:rsidRPr="000300FC" w:rsidP="000300FC">
            <w:pPr>
              <w:pStyle w:val="ListBullet"/>
            </w:pPr>
            <w:r w:rsidRPr="000300FC">
              <w:t>capturing</w:t>
            </w:r>
          </w:p>
          <w:p w:rsidR="00000000" w:rsidRPr="000300FC" w:rsidP="000300FC">
            <w:pPr>
              <w:pStyle w:val="ListBullet"/>
            </w:pPr>
            <w:r w:rsidRPr="000300FC">
              <w:t>filtering</w:t>
            </w:r>
          </w:p>
          <w:p w:rsidR="00000000" w:rsidRPr="000300FC" w:rsidP="000300FC">
            <w:pPr>
              <w:pStyle w:val="BodyText"/>
            </w:pPr>
            <w:r w:rsidRPr="000300FC">
              <w:t>T9. Fieldbus message specification encompassing:</w:t>
            </w:r>
          </w:p>
          <w:p w:rsidR="00000000" w:rsidRPr="000300FC" w:rsidP="000300FC">
            <w:pPr>
              <w:pStyle w:val="ListBullet"/>
            </w:pPr>
            <w:r w:rsidRPr="000300FC">
              <w:t>Virtual field device</w:t>
            </w:r>
          </w:p>
          <w:p w:rsidR="00000000" w:rsidRPr="000300FC" w:rsidP="000300FC">
            <w:pPr>
              <w:pStyle w:val="ListBullet"/>
            </w:pPr>
            <w:r w:rsidRPr="000300FC">
              <w:t>Object dictionary</w:t>
            </w:r>
          </w:p>
          <w:p w:rsidR="00000000" w:rsidRPr="000300FC" w:rsidP="000300FC">
            <w:pPr>
              <w:pStyle w:val="ListBullet"/>
            </w:pPr>
            <w:r w:rsidRPr="000300FC">
              <w:t>Communicate objectives</w:t>
            </w:r>
          </w:p>
          <w:p w:rsidR="00000000" w:rsidRPr="000300FC" w:rsidP="000300FC">
            <w:pPr>
              <w:pStyle w:val="ListBullet"/>
            </w:pPr>
            <w:r w:rsidRPr="000300FC">
              <w:t>Communicate services</w:t>
            </w:r>
          </w:p>
          <w:p w:rsidR="00000000" w:rsidRPr="000300FC" w:rsidP="000300FC">
            <w:pPr>
              <w:pStyle w:val="BodyText"/>
            </w:pPr>
            <w:r w:rsidRPr="000300FC">
              <w:t>T10. High speed Ethernet encompassing:</w:t>
            </w:r>
          </w:p>
          <w:p w:rsidR="00000000" w:rsidRPr="000300FC" w:rsidP="000300FC">
            <w:pPr>
              <w:pStyle w:val="ListBullet"/>
            </w:pPr>
            <w:r w:rsidRPr="000300FC">
              <w:t xml:space="preserve">Protocols </w:t>
            </w:r>
          </w:p>
          <w:p w:rsidR="00000000" w:rsidRPr="000300FC" w:rsidP="000300FC">
            <w:pPr>
              <w:pStyle w:val="ListBullet"/>
            </w:pPr>
            <w:r w:rsidRPr="000300FC">
              <w:t>FDA agents</w:t>
            </w:r>
          </w:p>
          <w:p w:rsidR="00000000" w:rsidRPr="000300FC" w:rsidP="000300FC">
            <w:pPr>
              <w:pStyle w:val="ListBullet"/>
            </w:pPr>
            <w:r w:rsidRPr="000300FC">
              <w:t>Messaging</w:t>
            </w:r>
          </w:p>
          <w:p w:rsidR="00000000" w:rsidRPr="000300FC" w:rsidP="000300FC">
            <w:pPr>
              <w:pStyle w:val="ListBullet"/>
            </w:pPr>
            <w:r w:rsidRPr="000300FC">
              <w:t>Sessions</w:t>
            </w:r>
          </w:p>
          <w:p w:rsidR="00000000" w:rsidRPr="000300FC" w:rsidP="000300FC">
            <w:pPr>
              <w:pStyle w:val="ListBullet"/>
            </w:pPr>
            <w:r w:rsidRPr="000300FC">
              <w:t>Time synchronisation</w:t>
            </w:r>
          </w:p>
          <w:p w:rsidR="00000000" w:rsidRPr="000300FC" w:rsidP="000300FC">
            <w:pPr>
              <w:pStyle w:val="ListBullet"/>
            </w:pPr>
            <w:r w:rsidRPr="000300FC">
              <w:t>Redundancy</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10" w:name="O_534174"/>
      <w:bookmarkEnd w:id="10"/>
      <w:r w:rsidRPr="000300FC">
        <w:t>Evidence Guide</w:t>
      </w:r>
    </w:p>
    <w:tbl>
      <w:tblPr>
        <w:tblW w:w="0" w:type="auto"/>
        <w:tblLayout w:type="fixed"/>
        <w:tblCellMar>
          <w:left w:w="62" w:type="dxa"/>
          <w:right w:w="62" w:type="dxa"/>
        </w:tblCellMar>
        <w:tblLook w:val="0000"/>
      </w:tblPr>
      <w:tblGrid>
        <w:gridCol w:w="8460"/>
      </w:tblGrid>
      <w:tr w:rsidTr="00D000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EVIDENCE GUIDE</w:t>
            </w:r>
          </w:p>
        </w:tc>
      </w:tr>
      <w:tr w:rsidTr="00D000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9)</w:t>
            </w:r>
            <w:r w:rsidRPr="000300FC">
              <w:t xml:space="preserve"> This provides essential advice for assessment of the unit and must be read in conjunction with the performance criteria and the range statement of the unit and the Training Package Assessment Guidelines.</w:t>
            </w:r>
          </w:p>
          <w:p w:rsidR="00000000" w:rsidRPr="000300FC" w:rsidP="000300FC">
            <w:pPr>
              <w:pStyle w:val="BodyText"/>
            </w:pPr>
            <w:r w:rsidRPr="000300FC">
              <w:t>Th</w:t>
            </w:r>
            <w:r w:rsidRPr="000300FC">
              <w:t>e Evidence Guide forms an integral part of this unit. It must be used in conjunction with all parts of this unit and performed in accordance with the Assessment Guidelines of this Training Package.</w:t>
            </w:r>
          </w:p>
        </w:tc>
      </w:tr>
    </w:tbl>
    <w:p w:rsidR="00000000" w:rsidRPr="000300FC" w:rsidP="000300FC">
      <w:pPr>
        <w:pStyle w:val="BodyText"/>
      </w:pPr>
    </w:p>
    <w:tbl>
      <w:tblPr>
        <w:tblW w:w="0" w:type="auto"/>
        <w:tblLayout w:type="fixed"/>
        <w:tblCellMar>
          <w:left w:w="62" w:type="dxa"/>
          <w:right w:w="62" w:type="dxa"/>
        </w:tblCellMar>
        <w:tblLook w:val="0000"/>
      </w:tblPr>
      <w:tblGrid>
        <w:gridCol w:w="1890"/>
        <w:gridCol w:w="6570"/>
      </w:tblGrid>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9.1)</w:t>
            </w:r>
          </w:p>
        </w:tc>
      </w:tr>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Longitudinal competency development approaches to assessment, such as Profiling, require data to be reliably gathered in a form that can be consistently interpreted over time. This approach is best utilised in Apprenticeship programs and reduces assessment</w:t>
            </w:r>
            <w:r w:rsidRPr="000300F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300FC">
              <w:t>ncy in a realistically simulated work environment. It is recognised that, in some circumstances, assessment in part or full can occur outside the workplace. However, it must be in accordance with industry and regulatory policy.</w:t>
            </w:r>
          </w:p>
          <w:p w:rsidR="00000000" w:rsidRPr="000300FC" w:rsidP="000300FC">
            <w:pPr>
              <w:pStyle w:val="BodyText"/>
            </w:pPr>
            <w:r w:rsidRPr="000300FC">
              <w:t>Methods chosen for a particu</w:t>
            </w:r>
            <w:r w:rsidRPr="000300FC">
              <w:t>lar assessment will be influenced by various factors. These include the extent of the assessment, the most effective locations for the assessment activities to take place, access to physical resources, additional safety measures that may be required and th</w:t>
            </w:r>
            <w:r w:rsidRPr="000300FC">
              <w:t>e critical nature of the competencies being assessed.</w:t>
            </w:r>
          </w:p>
          <w:p w:rsidR="00000000" w:rsidRPr="000300FC" w:rsidP="000300FC">
            <w:pPr>
              <w:pStyle w:val="BodyText"/>
            </w:pPr>
            <w:r w:rsidRPr="000300FC">
              <w:t>The critical safety nature of working with electricity, electrical equipment, gas or any other hazardous substance/material carries risk in deeming a person competent. Sources of evidence need to be ‘ri</w:t>
            </w:r>
            <w:r w:rsidRPr="000300FC">
              <w:t>ch’ in nature to minimise error in judgment.</w:t>
            </w:r>
          </w:p>
          <w:p w:rsidR="00000000" w:rsidRPr="000300FC" w:rsidP="000300FC">
            <w:pPr>
              <w:pStyle w:val="BodyText"/>
            </w:pPr>
            <w:r w:rsidRPr="000300FC">
              <w:t>Activities associated with normal everyday work have a bearing on the decision as to how much and how detailed the data gathered will contribute to its ‘richness’. Some skills are more critical to safety and ope</w:t>
            </w:r>
            <w:r w:rsidRPr="000300FC">
              <w:t>rational requirements while the same skills may be more or less frequently practised. These points are raised for the assessors to consider when choosing an assessment method and developing assessment instruments. Sample assessment instruments are included</w:t>
            </w:r>
            <w:r w:rsidRPr="000300FC">
              <w:t xml:space="preserve"> for Assessors in the Assessment Guidelines of this Training Package.</w:t>
            </w:r>
          </w:p>
        </w:tc>
      </w:tr>
    </w:tbl>
    <w:p w:rsidR="00000000" w:rsidRPr="000300FC" w:rsidP="000300FC">
      <w:pPr>
        <w:pStyle w:val="BodyText"/>
      </w:pPr>
    </w:p>
    <w:tbl>
      <w:tblPr>
        <w:tblW w:w="0" w:type="auto"/>
        <w:tblLayout w:type="fixed"/>
        <w:tblCellMar>
          <w:left w:w="62" w:type="dxa"/>
          <w:right w:w="62" w:type="dxa"/>
        </w:tblCellMar>
        <w:tblLook w:val="0000"/>
      </w:tblPr>
      <w:tblGrid>
        <w:gridCol w:w="1842"/>
        <w:gridCol w:w="48"/>
        <w:gridCol w:w="1260"/>
        <w:gridCol w:w="5310"/>
      </w:tblGrid>
      <w:tr w:rsidTr="00D0001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9.2)</w:t>
            </w:r>
          </w:p>
        </w:tc>
      </w:tr>
      <w:tr w:rsidTr="00D0001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Before the critical aspects of evidence are considered all prerequisites shall be met.</w:t>
            </w:r>
          </w:p>
          <w:p w:rsidR="00000000" w:rsidRPr="000300FC" w:rsidP="000300FC">
            <w:pPr>
              <w:pStyle w:val="BodyText"/>
            </w:pPr>
            <w:r w:rsidRPr="000300FC">
              <w:t>Evidence for</w:t>
            </w:r>
            <w:r w:rsidRPr="000300FC">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0300FC" w:rsidP="000300FC">
            <w:pPr>
              <w:pStyle w:val="ListBullet"/>
            </w:pPr>
            <w:r w:rsidRPr="000300FC">
              <w:t>A represent</w:t>
            </w:r>
            <w:r w:rsidRPr="000300FC">
              <w:t>ative body of work performance demonstrated within the timeframes typically expected of the discipline, work function and industrial environment. In particular this shall incorporate evidence that shows a candidate is able to:</w:t>
            </w:r>
          </w:p>
          <w:p w:rsidR="00000000" w:rsidRPr="000300FC" w:rsidP="000300FC">
            <w:pPr>
              <w:pStyle w:val="ListBullet2"/>
            </w:pPr>
            <w:r w:rsidRPr="000300FC">
              <w:t>Implement Occupational Health and Safety workplace procedures and practices, including the use of risk control measures as specified in the performance criteria and range statement</w:t>
            </w:r>
          </w:p>
          <w:p w:rsidR="00000000" w:rsidRPr="000300FC" w:rsidP="000300FC">
            <w:pPr>
              <w:pStyle w:val="ListBullet2"/>
            </w:pPr>
            <w:r w:rsidRPr="000300FC">
              <w:t>Apply sustainable energy principles and practices as specified in the perfo</w:t>
            </w:r>
            <w:r w:rsidRPr="000300FC">
              <w:t>rmance criteria and range statement</w:t>
            </w:r>
          </w:p>
          <w:p w:rsidR="00000000" w:rsidRPr="000300FC" w:rsidP="000300FC">
            <w:pPr>
              <w:pStyle w:val="ListBullet2"/>
            </w:pPr>
            <w:r w:rsidRPr="000300FC">
              <w:t>Demonstrate an understanding of the required knowledge and associated skills as described in this unit.  It may be required by some jurisdictions that RTOs provide a percentile graded result for the purpose of regulatory</w:t>
            </w:r>
            <w:r w:rsidRPr="000300FC">
              <w:t xml:space="preserve"> or licensing requirements.   </w:t>
            </w:r>
          </w:p>
          <w:p w:rsidR="00000000" w:rsidRPr="000300FC" w:rsidP="000300FC">
            <w:pPr>
              <w:pStyle w:val="ListBullet2"/>
            </w:pPr>
            <w:r w:rsidRPr="000300FC">
              <w:t>Demonstrate an appropriate level of skills enabling employment</w:t>
            </w:r>
          </w:p>
          <w:p w:rsidR="00000000" w:rsidRPr="000300FC" w:rsidP="000300FC">
            <w:pPr>
              <w:pStyle w:val="ListBullet2"/>
            </w:pPr>
            <w:r w:rsidRPr="000300FC">
              <w:t>Conduct work observing the relevant Anti Discrimination legislation, regulations, polices and workplace procedures</w:t>
            </w:r>
          </w:p>
          <w:p w:rsidR="00000000" w:rsidRPr="000300FC" w:rsidP="000300FC">
            <w:pPr>
              <w:pStyle w:val="ListBullet"/>
            </w:pPr>
            <w:r w:rsidRPr="000300FC">
              <w:t>Demonstrated consistent performance across a r</w:t>
            </w:r>
            <w:r w:rsidRPr="000300FC">
              <w:t>epresentative range of contexts from the prescribed items below:</w:t>
            </w:r>
          </w:p>
          <w:p w:rsidR="00000000" w:rsidP="000300FC">
            <w:pPr>
              <w:pStyle w:val="ListBullet2"/>
              <w:rPr>
                <w:lang w:val="en-NZ"/>
              </w:rPr>
            </w:pPr>
            <w:r w:rsidRPr="000300FC">
              <w:t>Design a PLC computer based control system as described in 8) and including:</w:t>
            </w:r>
          </w:p>
        </w:tc>
      </w:tr>
      <w:tr w:rsidTr="00D00018">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A</w:t>
            </w:r>
          </w:p>
        </w:tc>
        <w:tc>
          <w:tcPr>
            <w:tcW w:w="531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Develop and test PLC code using advanced programming tools</w:t>
            </w:r>
          </w:p>
        </w:tc>
      </w:tr>
      <w:tr w:rsidTr="00D00018">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B</w:t>
            </w:r>
          </w:p>
        </w:tc>
        <w:tc>
          <w:tcPr>
            <w:tcW w:w="531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Program and test a cont</w:t>
            </w:r>
            <w:r w:rsidRPr="000300FC">
              <w:t>inuous control loop (such as PID) using a PLC.</w:t>
            </w:r>
          </w:p>
        </w:tc>
      </w:tr>
      <w:tr w:rsidTr="00D00018">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C</w:t>
            </w:r>
          </w:p>
        </w:tc>
        <w:tc>
          <w:tcPr>
            <w:tcW w:w="531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 xml:space="preserve">Configure and test a PLC network enabling data to be shared between PLC’s. </w:t>
            </w:r>
          </w:p>
        </w:tc>
      </w:tr>
      <w:tr w:rsidTr="00D00018">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D</w:t>
            </w:r>
          </w:p>
        </w:tc>
        <w:tc>
          <w:tcPr>
            <w:tcW w:w="531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Configure and test a field bus style network (remote I/O)</w:t>
            </w:r>
          </w:p>
        </w:tc>
      </w:tr>
      <w:tr w:rsidTr="00D00018">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E</w:t>
            </w:r>
          </w:p>
        </w:tc>
        <w:tc>
          <w:tcPr>
            <w:tcW w:w="531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Configure a HMI using software applicable to the PLC available.</w:t>
            </w:r>
          </w:p>
        </w:tc>
      </w:tr>
      <w:tr w:rsidTr="00D00018">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F</w:t>
            </w:r>
          </w:p>
        </w:tc>
        <w:tc>
          <w:tcPr>
            <w:tcW w:w="531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Dealing with unplanned events by drawing on required knowledge and skills to provide appropriate solutions incorporated in a holistic assessment with the above listed items.</w:t>
            </w:r>
          </w:p>
        </w:tc>
      </w:tr>
    </w:tbl>
    <w:p w:rsidR="00000000" w:rsidRPr="000300FC" w:rsidP="000300FC">
      <w:pPr>
        <w:pStyle w:val="BodyText"/>
      </w:pPr>
    </w:p>
    <w:tbl>
      <w:tblPr>
        <w:tblW w:w="0" w:type="auto"/>
        <w:tblLayout w:type="fixed"/>
        <w:tblCellMar>
          <w:left w:w="62" w:type="dxa"/>
          <w:right w:w="62" w:type="dxa"/>
        </w:tblCellMar>
        <w:tblLook w:val="0000"/>
      </w:tblPr>
      <w:tblGrid>
        <w:gridCol w:w="1890"/>
        <w:gridCol w:w="6570"/>
      </w:tblGrid>
      <w:tr w:rsidTr="00D0001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9.3)</w:t>
            </w:r>
          </w:p>
        </w:tc>
      </w:tr>
      <w:tr w:rsidTr="00D0001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This unit should be</w:t>
            </w:r>
            <w:r w:rsidRPr="000300FC">
              <w:t xml:space="preserve"> assessed as it relates to normal work practice using procedures, information and resources typical of a workplace. This should include:</w:t>
            </w:r>
          </w:p>
          <w:p w:rsidR="00000000" w:rsidRPr="000300FC" w:rsidP="000300FC">
            <w:pPr>
              <w:pStyle w:val="ListBullet"/>
            </w:pPr>
            <w:r w:rsidRPr="000300FC">
              <w:t>OHS policy and work procedures and instructions.</w:t>
            </w:r>
          </w:p>
          <w:p w:rsidR="00000000" w:rsidRPr="000300FC" w:rsidP="000300FC">
            <w:pPr>
              <w:pStyle w:val="ListBullet"/>
            </w:pPr>
            <w:r w:rsidRPr="000300FC">
              <w:t>Suitable work environment, facilities, equipment and materials to undertake actual work as prescribed in this unit.</w:t>
            </w:r>
          </w:p>
          <w:p w:rsidR="00000000" w:rsidRPr="000300FC" w:rsidP="000300FC">
            <w:pPr>
              <w:pStyle w:val="BodyText"/>
            </w:pPr>
            <w:r w:rsidRPr="000300FC">
              <w:t>These should be used in the formal learning/assessment environment.</w:t>
            </w:r>
          </w:p>
          <w:p w:rsidR="00000000" w:rsidRPr="000300FC" w:rsidP="000300FC">
            <w:pPr>
              <w:pStyle w:val="BodyText"/>
            </w:pPr>
            <w:r w:rsidRPr="000300FC">
              <w:t>Note:</w:t>
            </w:r>
          </w:p>
          <w:p w:rsidR="00000000" w:rsidRPr="000300FC" w:rsidP="000300FC">
            <w:pPr>
              <w:pStyle w:val="BodyText"/>
            </w:pPr>
            <w:r w:rsidRPr="000300FC">
              <w:t>Where simulation is considered a suitable strategy for assessment,</w:t>
            </w:r>
            <w:r w:rsidRPr="000300FC">
              <w:t xml:space="preserve"> conditions for assessment must be authentic and as far as possible reproduce and replicate the workplace and be consistent with the approved industry simulation policy.</w:t>
            </w:r>
          </w:p>
          <w:p w:rsidR="00000000" w:rsidRPr="000300FC" w:rsidP="000300FC">
            <w:pPr>
              <w:pStyle w:val="BodyText"/>
            </w:pPr>
            <w:r w:rsidRPr="000300FC">
              <w:t>The resources used for assessment should reflect current industry practices in relatio</w:t>
            </w:r>
            <w:r w:rsidRPr="000300FC">
              <w:t>n to design a computer based control system.</w:t>
            </w:r>
          </w:p>
        </w:tc>
      </w:tr>
    </w:tbl>
    <w:p w:rsidR="00000000" w:rsidRPr="000300FC" w:rsidP="000300FC">
      <w:pPr>
        <w:pStyle w:val="BodyText"/>
      </w:pPr>
    </w:p>
    <w:tbl>
      <w:tblPr>
        <w:tblW w:w="0" w:type="auto"/>
        <w:tblLayout w:type="fixed"/>
        <w:tblCellMar>
          <w:left w:w="62" w:type="dxa"/>
          <w:right w:w="62" w:type="dxa"/>
        </w:tblCellMar>
        <w:tblLook w:val="0000"/>
      </w:tblPr>
      <w:tblGrid>
        <w:gridCol w:w="1890"/>
        <w:gridCol w:w="6570"/>
      </w:tblGrid>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9.4)</w:t>
            </w:r>
          </w:p>
        </w:tc>
      </w:tr>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This unit shall be assessed by methods given in Volume 1, Part 3 ‘Assessment Guidelines’.</w:t>
            </w:r>
          </w:p>
          <w:p w:rsidR="00000000" w:rsidRPr="000300FC" w:rsidP="000300FC">
            <w:pPr>
              <w:pStyle w:val="BodyText"/>
            </w:pPr>
            <w:r w:rsidRPr="000300FC">
              <w:t xml:space="preserve">Note: </w:t>
            </w:r>
          </w:p>
          <w:p w:rsidR="00000000" w:rsidRPr="000300FC" w:rsidP="000300FC">
            <w:pPr>
              <w:pStyle w:val="BodyText"/>
            </w:pPr>
            <w:r w:rsidRPr="000300FC">
              <w:t>Competent performance with inherent safe working practices is expected in the Industry to which this unit applies. This requires assessment in a structured environment which is primarily intended for learning/assessment and incorporates all necessary equip</w:t>
            </w:r>
            <w:r w:rsidRPr="000300FC">
              <w:t>ment and facilities for learners to develop and demonstrate the required knowledge and skills described in this unit.</w:t>
            </w:r>
          </w:p>
        </w:tc>
      </w:tr>
    </w:tbl>
    <w:p w:rsidR="00000000" w:rsidRPr="000300FC" w:rsidP="000300FC">
      <w:pPr>
        <w:pStyle w:val="BodyText"/>
      </w:pPr>
    </w:p>
    <w:tbl>
      <w:tblPr>
        <w:tblW w:w="0" w:type="auto"/>
        <w:tblLayout w:type="fixed"/>
        <w:tblCellMar>
          <w:left w:w="62" w:type="dxa"/>
          <w:right w:w="62" w:type="dxa"/>
        </w:tblCellMar>
        <w:tblLook w:val="0000"/>
      </w:tblPr>
      <w:tblGrid>
        <w:gridCol w:w="1890"/>
        <w:gridCol w:w="1530"/>
        <w:gridCol w:w="5040"/>
      </w:tblGrid>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9.5)</w:t>
            </w:r>
          </w:p>
        </w:tc>
      </w:tr>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For optimisation of training and assessment effort, competency developme</w:t>
            </w:r>
            <w:r w:rsidRPr="000300FC">
              <w:t xml:space="preserve">nt in this unit may be arranged concurrently with unit: </w:t>
            </w:r>
          </w:p>
        </w:tc>
      </w:tr>
      <w:tr w:rsidTr="00D000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t>UEENEEE011C</w:t>
            </w:r>
          </w:p>
        </w:tc>
        <w:tc>
          <w:tcPr>
            <w:tcW w:w="504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Manage risk in electrotechnology activities</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11" w:name="O_534173"/>
      <w:bookmarkEnd w:id="11"/>
      <w:r w:rsidRPr="000300FC">
        <w:t>Range Statement</w:t>
      </w:r>
    </w:p>
    <w:tbl>
      <w:tblPr>
        <w:tblW w:w="0" w:type="auto"/>
        <w:tblLayout w:type="fixed"/>
        <w:tblCellMar>
          <w:left w:w="62" w:type="dxa"/>
          <w:right w:w="62" w:type="dxa"/>
        </w:tblCellMar>
        <w:tblLook w:val="0000"/>
      </w:tblPr>
      <w:tblGrid>
        <w:gridCol w:w="8460"/>
      </w:tblGrid>
      <w:tr w:rsidTr="00D000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RANGE STATEMENT</w:t>
            </w:r>
          </w:p>
        </w:tc>
      </w:tr>
      <w:tr w:rsidTr="00D000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10)</w:t>
            </w:r>
            <w:r w:rsidRPr="000300FC">
              <w:t xml:space="preserve"> This relates to the unit as a whole providing the range of contexts and conditions to which the performance criteria apply. It allows for different work environments and situations that will affect performance.</w:t>
            </w:r>
          </w:p>
          <w:p w:rsidR="00000000" w:rsidRPr="000300FC" w:rsidP="000300FC">
            <w:pPr>
              <w:pStyle w:val="BodyText"/>
            </w:pPr>
            <w:r w:rsidRPr="000300FC">
              <w:t xml:space="preserve">This unit shall be demonstrated in relation </w:t>
            </w:r>
            <w:r w:rsidRPr="000300FC">
              <w:t>to designing a computer based control system incorporating at least five interacting subsystems modes.</w:t>
            </w:r>
          </w:p>
          <w:p w:rsidR="00000000" w:rsidRPr="000300FC" w:rsidP="000300FC">
            <w:pPr>
              <w:pStyle w:val="ListBullet3"/>
            </w:pPr>
            <w:r w:rsidRPr="000300FC">
              <w:t>Configure and test a PLC Peer to Peer network</w:t>
            </w:r>
          </w:p>
          <w:p w:rsidR="00000000" w:rsidRPr="000300FC" w:rsidP="000300FC">
            <w:pPr>
              <w:pStyle w:val="ListBullet3"/>
            </w:pPr>
            <w:r w:rsidRPr="000300FC">
              <w:t>Configure and test a PLC Hierarchical network</w:t>
            </w:r>
          </w:p>
          <w:p w:rsidR="00000000" w:rsidRPr="000300FC" w:rsidP="000300FC">
            <w:pPr>
              <w:pStyle w:val="ListBullet3"/>
            </w:pPr>
            <w:r w:rsidRPr="000300FC">
              <w:t>Configure and test a PLC field bus style network</w:t>
            </w:r>
          </w:p>
          <w:p w:rsidR="00000000" w:rsidRPr="000300FC" w:rsidP="000300FC">
            <w:pPr>
              <w:pStyle w:val="ListBullet3"/>
            </w:pPr>
            <w:r w:rsidRPr="000300FC">
              <w:t xml:space="preserve">Develop </w:t>
            </w:r>
            <w:r w:rsidRPr="000300FC">
              <w:t>PLC code using a structured text programming tool</w:t>
            </w:r>
          </w:p>
          <w:p w:rsidR="00000000" w:rsidRPr="000300FC" w:rsidP="000300FC">
            <w:pPr>
              <w:pStyle w:val="ListBullet3"/>
            </w:pPr>
            <w:r w:rsidRPr="000300FC">
              <w:t>Develop PLC code using a sequential function chart programming tool</w:t>
            </w:r>
          </w:p>
          <w:p w:rsidR="00000000" w:rsidRPr="000300FC" w:rsidP="000300FC">
            <w:pPr>
              <w:pStyle w:val="ListBullet3"/>
            </w:pPr>
            <w:r w:rsidRPr="000300FC">
              <w:t>Design a simple HMI interface using a typical touch screen device</w:t>
            </w:r>
          </w:p>
          <w:p w:rsidR="00000000" w:rsidRPr="000300FC" w:rsidP="000300FC">
            <w:pPr>
              <w:pStyle w:val="ListBullet3"/>
            </w:pPr>
            <w:r w:rsidRPr="000300FC">
              <w:t>Use system diagnostics to fault find hardware/software issues</w:t>
            </w:r>
          </w:p>
          <w:p w:rsidR="00000000" w:rsidRPr="000300FC" w:rsidP="000300FC">
            <w:pPr>
              <w:pStyle w:val="ListBullet3"/>
            </w:pPr>
            <w:r w:rsidRPr="000300FC">
              <w:t>Program an</w:t>
            </w:r>
            <w:r w:rsidRPr="000300FC">
              <w:t>d test a PID functional control/program block</w:t>
            </w:r>
          </w:p>
          <w:p w:rsidR="00000000" w:rsidRPr="000300FC" w:rsidP="000300FC">
            <w:pPr>
              <w:pStyle w:val="BodyText"/>
            </w:pPr>
            <w:r w:rsidRPr="000300FC">
              <w:t>Generic terms used throughout this Vocational Standard shall be regarded as part of the Range Statement in which competency is demonstrated. The definition of these and other terms that apply are given in Volum</w:t>
            </w:r>
            <w:r w:rsidRPr="000300FC">
              <w:t>e 2, Part 2.1.</w:t>
            </w:r>
          </w:p>
        </w:tc>
      </w:tr>
    </w:tbl>
    <w:p w:rsidR="00000000" w:rsidRPr="000300FC" w:rsidP="000300FC">
      <w:pPr>
        <w:pStyle w:val="BodyText"/>
      </w:pPr>
    </w:p>
    <w:p w:rsidR="00000000" w:rsidRPr="000300FC" w:rsidP="000300FC">
      <w:pPr>
        <w:pStyle w:val="AllowPageBreak"/>
      </w:pPr>
    </w:p>
    <w:p w:rsidR="00000000" w:rsidRPr="000300FC" w:rsidP="000300FC">
      <w:pPr>
        <w:pStyle w:val="Heading1"/>
      </w:pPr>
      <w:bookmarkStart w:id="12" w:name="O_534172"/>
      <w:bookmarkEnd w:id="12"/>
      <w:r w:rsidRPr="000300FC">
        <w:t>Unit Sector(s)</w:t>
      </w:r>
    </w:p>
    <w:p w:rsidR="00000000" w:rsidRPr="000300FC" w:rsidP="000300FC">
      <w:pPr>
        <w:pStyle w:val="BodyText"/>
      </w:pPr>
      <w:r w:rsidRPr="000300FC">
        <w:t>Not applicable.</w:t>
      </w:r>
    </w:p>
    <w:p w:rsidR="00000000" w:rsidRPr="000300FC" w:rsidP="000300FC">
      <w:pPr>
        <w:pStyle w:val="AllowPageBreak"/>
      </w:pPr>
    </w:p>
    <w:p w:rsidR="00000000" w:rsidRPr="000300FC" w:rsidP="000300FC">
      <w:pPr>
        <w:pStyle w:val="Heading1"/>
      </w:pPr>
      <w:bookmarkStart w:id="13" w:name="O_534171"/>
      <w:bookmarkEnd w:id="13"/>
      <w:r w:rsidRPr="000300FC">
        <w:t>Competency Field</w:t>
      </w:r>
    </w:p>
    <w:tbl>
      <w:tblPr>
        <w:tblW w:w="0" w:type="auto"/>
        <w:tblLayout w:type="fixed"/>
        <w:tblCellMar>
          <w:left w:w="62" w:type="dxa"/>
          <w:right w:w="62" w:type="dxa"/>
        </w:tblCellMar>
        <w:tblLook w:val="0000"/>
      </w:tblPr>
      <w:tblGrid>
        <w:gridCol w:w="2700"/>
        <w:gridCol w:w="5760"/>
      </w:tblGrid>
      <w:tr w:rsidTr="00D000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00FC">
            <w:pPr>
              <w:pStyle w:val="BodyText"/>
              <w:rPr>
                <w:lang w:val="en-NZ"/>
              </w:rPr>
            </w:pPr>
            <w:r w:rsidRPr="000300FC">
              <w:rPr>
                <w:rStyle w:val="SpecialBold"/>
              </w:rPr>
              <w:t xml:space="preserve">11) </w:t>
            </w:r>
          </w:p>
        </w:tc>
      </w:tr>
      <w:tr w:rsidTr="00D000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00FC" w:rsidP="000300FC">
            <w:pPr>
              <w:pStyle w:val="BodyText"/>
            </w:pPr>
            <w:r w:rsidRPr="000300FC">
              <w:t>Instrumentation and Control</w:t>
            </w:r>
          </w:p>
        </w:tc>
      </w:tr>
    </w:tbl>
    <w:p w:rsidR="00000000" w:rsidRPr="000300FC" w:rsidP="000300FC">
      <w:pPr>
        <w:pStyle w:val="BodyText"/>
      </w:pPr>
    </w:p>
    <w:p w:rsidR="00000000" w:rsidRPr="000300FC" w:rsidP="000300FC"/>
    <w:sectPr w:rsidSect="00030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FC" w:rsidRPr="00D00018" w:rsidP="00D000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18" w:rsidP="000300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0018" w:rsidP="000300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00018" w:rsidP="000300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FC" w:rsidRPr="00D00018" w:rsidP="00D000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18" w:rsidRPr="002D2AF8" w:rsidP="000300FC">
    <w:pPr>
      <w:pStyle w:val="Header"/>
      <w:framePr w:wrap="around"/>
    </w:pPr>
    <w:r>
      <w:fldChar w:fldCharType="begin"/>
    </w:r>
    <w:r>
      <w:instrText xml:space="preserve"> TITLE   \* MERGEFORMAT </w:instrText>
    </w:r>
    <w:r>
      <w:fldChar w:fldCharType="separate"/>
    </w:r>
    <w:r>
      <w:t>UEENEEI154A Design and use advanced programming tools PC networks and HMI Interfacing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00018" w:rsidP="00030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967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E3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E1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0FC"/>
    <w:pPr>
      <w:spacing w:before="360" w:after="60"/>
      <w:outlineLvl w:val="0"/>
    </w:pPr>
    <w:rPr>
      <w:sz w:val="32"/>
    </w:rPr>
  </w:style>
  <w:style w:type="paragraph" w:styleId="Heading2">
    <w:name w:val="heading 2"/>
    <w:basedOn w:val="HeadingBase"/>
    <w:next w:val="BodyText"/>
    <w:link w:val="Heading2Char"/>
    <w:qFormat/>
    <w:rsid w:val="000300FC"/>
    <w:pPr>
      <w:keepLines/>
      <w:spacing w:before="240" w:after="120"/>
      <w:outlineLvl w:val="1"/>
    </w:pPr>
    <w:rPr>
      <w:sz w:val="28"/>
      <w:szCs w:val="40"/>
    </w:rPr>
  </w:style>
  <w:style w:type="paragraph" w:styleId="Heading3">
    <w:name w:val="heading 3"/>
    <w:basedOn w:val="HeadingBase"/>
    <w:next w:val="BodyText"/>
    <w:link w:val="Heading3Char"/>
    <w:qFormat/>
    <w:rsid w:val="000300FC"/>
    <w:pPr>
      <w:spacing w:before="180" w:after="120"/>
      <w:outlineLvl w:val="2"/>
    </w:pPr>
    <w:rPr>
      <w:spacing w:val="-10"/>
      <w:kern w:val="32"/>
    </w:rPr>
  </w:style>
  <w:style w:type="paragraph" w:styleId="Heading4">
    <w:name w:val="heading 4"/>
    <w:basedOn w:val="HeadingBase"/>
    <w:next w:val="BodyText"/>
    <w:link w:val="Heading4Char"/>
    <w:qFormat/>
    <w:rsid w:val="000300FC"/>
    <w:pPr>
      <w:spacing w:before="160" w:after="120"/>
      <w:outlineLvl w:val="3"/>
    </w:pPr>
    <w:rPr>
      <w:sz w:val="22"/>
    </w:rPr>
  </w:style>
  <w:style w:type="paragraph" w:styleId="Heading5">
    <w:name w:val="heading 5"/>
    <w:basedOn w:val="HeadingBase"/>
    <w:next w:val="Normal"/>
    <w:link w:val="Heading5Char"/>
    <w:qFormat/>
    <w:rsid w:val="000300FC"/>
    <w:pPr>
      <w:spacing w:before="80"/>
      <w:outlineLvl w:val="4"/>
    </w:pPr>
    <w:rPr>
      <w:color w:val="918585"/>
      <w:sz w:val="20"/>
    </w:rPr>
  </w:style>
  <w:style w:type="paragraph" w:styleId="Heading6">
    <w:name w:val="heading 6"/>
    <w:basedOn w:val="HeadingBase"/>
    <w:next w:val="Normal"/>
    <w:link w:val="Heading6Char"/>
    <w:qFormat/>
    <w:rsid w:val="000300FC"/>
    <w:pPr>
      <w:spacing w:before="60"/>
      <w:outlineLvl w:val="5"/>
    </w:pPr>
    <w:rPr>
      <w:color w:val="918585"/>
      <w:sz w:val="20"/>
    </w:rPr>
  </w:style>
  <w:style w:type="paragraph" w:styleId="Heading7">
    <w:name w:val="heading 7"/>
    <w:basedOn w:val="Normal"/>
    <w:next w:val="Normal"/>
    <w:link w:val="Heading7Char"/>
    <w:qFormat/>
    <w:rsid w:val="000300FC"/>
    <w:pPr>
      <w:ind w:left="720"/>
      <w:outlineLvl w:val="6"/>
    </w:pPr>
    <w:rPr>
      <w:i/>
    </w:rPr>
  </w:style>
  <w:style w:type="paragraph" w:styleId="Heading8">
    <w:name w:val="heading 8"/>
    <w:basedOn w:val="Normal"/>
    <w:next w:val="Normal"/>
    <w:link w:val="Heading8Char"/>
    <w:qFormat/>
    <w:rsid w:val="000300FC"/>
    <w:pPr>
      <w:ind w:left="720"/>
      <w:outlineLvl w:val="7"/>
    </w:pPr>
    <w:rPr>
      <w:i/>
    </w:rPr>
  </w:style>
  <w:style w:type="paragraph" w:styleId="Heading9">
    <w:name w:val="heading 9"/>
    <w:basedOn w:val="Normal"/>
    <w:next w:val="Normal"/>
    <w:link w:val="Heading9Char"/>
    <w:qFormat/>
    <w:rsid w:val="000300FC"/>
    <w:pPr>
      <w:ind w:left="720"/>
      <w:outlineLvl w:val="8"/>
    </w:pPr>
    <w:rPr>
      <w:i/>
    </w:rPr>
  </w:style>
  <w:style w:type="character" w:default="1" w:styleId="DefaultParagraphFont">
    <w:name w:val="Default Paragraph Font"/>
    <w:uiPriority w:val="1"/>
    <w:unhideWhenUsed/>
    <w:rsid w:val="00030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0FC"/>
  </w:style>
  <w:style w:type="character" w:customStyle="1" w:styleId="Heading1Char">
    <w:name w:val="Heading 1 Char"/>
    <w:basedOn w:val="DefaultParagraphFont"/>
    <w:link w:val="Heading1"/>
    <w:rsid w:val="000300FC"/>
    <w:rPr>
      <w:rFonts w:ascii="Times New Roman" w:eastAsia="Times New Roman" w:hAnsi="Times New Roman" w:cs="Times New Roman"/>
      <w:b/>
      <w:sz w:val="32"/>
      <w:szCs w:val="20"/>
      <w:lang w:eastAsia="en-US"/>
    </w:rPr>
  </w:style>
  <w:style w:type="paragraph" w:styleId="BodyText">
    <w:name w:val="Body Text"/>
    <w:basedOn w:val="Normal"/>
    <w:link w:val="BodyTextChar"/>
    <w:rsid w:val="000300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0FC"/>
    <w:rPr>
      <w:rFonts w:ascii="Times New Roman" w:eastAsia="Times New Roman" w:hAnsi="Times New Roman" w:cs="Times New Roman"/>
      <w:sz w:val="24"/>
      <w:lang w:eastAsia="en-US"/>
    </w:rPr>
  </w:style>
  <w:style w:type="paragraph" w:styleId="ListBullet">
    <w:name w:val="List Bullet"/>
    <w:basedOn w:val="List"/>
    <w:rsid w:val="000300FC"/>
    <w:pPr>
      <w:numPr>
        <w:numId w:val="14"/>
      </w:numPr>
      <w:tabs>
        <w:tab w:val="clear" w:pos="340"/>
      </w:tabs>
      <w:spacing w:before="40" w:after="40"/>
    </w:pPr>
  </w:style>
  <w:style w:type="character" w:customStyle="1" w:styleId="SpecialBold">
    <w:name w:val="Special Bold"/>
    <w:basedOn w:val="DefaultParagraphFont"/>
    <w:rsid w:val="000300FC"/>
    <w:rPr>
      <w:b/>
      <w:spacing w:val="0"/>
    </w:rPr>
  </w:style>
  <w:style w:type="paragraph" w:styleId="ListBullet2">
    <w:name w:val="List Bullet 2"/>
    <w:basedOn w:val="List2"/>
    <w:rsid w:val="000300FC"/>
    <w:pPr>
      <w:numPr>
        <w:numId w:val="15"/>
      </w:numPr>
      <w:tabs>
        <w:tab w:val="clear" w:pos="680"/>
      </w:tabs>
    </w:pPr>
  </w:style>
  <w:style w:type="paragraph" w:customStyle="1" w:styleId="SuperHeading">
    <w:name w:val="SuperHeading"/>
    <w:basedOn w:val="Normal"/>
    <w:rsid w:val="000300FC"/>
    <w:pPr>
      <w:spacing w:before="240" w:after="120"/>
      <w:outlineLvl w:val="0"/>
    </w:pPr>
    <w:rPr>
      <w:rFonts w:ascii="Times New Roman" w:hAnsi="Times New Roman"/>
      <w:b/>
      <w:sz w:val="32"/>
    </w:rPr>
  </w:style>
  <w:style w:type="paragraph" w:customStyle="1" w:styleId="AllowPageBreak">
    <w:name w:val="AllowPageBreak"/>
    <w:rsid w:val="000300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00FC"/>
    <w:pPr>
      <w:numPr>
        <w:numId w:val="3"/>
      </w:numPr>
      <w:tabs>
        <w:tab w:val="clear" w:pos="1021"/>
      </w:tabs>
      <w:ind w:left="1037" w:hanging="357"/>
    </w:pPr>
  </w:style>
  <w:style w:type="character" w:customStyle="1" w:styleId="Heading2Char">
    <w:name w:val="Heading 2 Char"/>
    <w:basedOn w:val="DefaultParagraphFont"/>
    <w:link w:val="Heading2"/>
    <w:rsid w:val="00030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0FC"/>
    <w:rPr>
      <w:rFonts w:ascii="Courier New" w:eastAsia="Times New Roman" w:hAnsi="Courier New" w:cs="Times New Roman"/>
      <w:i/>
      <w:szCs w:val="20"/>
      <w:lang w:eastAsia="en-US"/>
    </w:rPr>
  </w:style>
  <w:style w:type="paragraph" w:customStyle="1" w:styleId="HeadingBase">
    <w:name w:val="Heading Base"/>
    <w:rsid w:val="00030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0FC"/>
    <w:pPr>
      <w:tabs>
        <w:tab w:val="right" w:leader="dot" w:pos="9072"/>
      </w:tabs>
      <w:ind w:left="567"/>
    </w:pPr>
    <w:rPr>
      <w:szCs w:val="22"/>
    </w:rPr>
  </w:style>
  <w:style w:type="paragraph" w:customStyle="1" w:styleId="TOCBase">
    <w:name w:val="TOC Base"/>
    <w:rsid w:val="00030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0FC"/>
    <w:pPr>
      <w:tabs>
        <w:tab w:val="right" w:leader="dot" w:pos="9072"/>
      </w:tabs>
      <w:spacing w:before="40" w:after="40"/>
      <w:ind w:left="284"/>
    </w:pPr>
    <w:rPr>
      <w:rFonts w:ascii="Times New Roman" w:hAnsi="Times New Roman"/>
    </w:rPr>
  </w:style>
  <w:style w:type="paragraph" w:styleId="TOC1">
    <w:name w:val="toc 1"/>
    <w:basedOn w:val="TOCBase"/>
    <w:next w:val="Normal"/>
    <w:rsid w:val="000300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0FC"/>
    <w:rPr>
      <w:rFonts w:ascii="Times New Roman" w:eastAsia="Times New Roman" w:hAnsi="Times New Roman" w:cs="Times New Roman"/>
      <w:sz w:val="16"/>
      <w:lang w:eastAsia="en-US"/>
    </w:rPr>
  </w:style>
  <w:style w:type="paragraph" w:styleId="Title">
    <w:name w:val="Title"/>
    <w:basedOn w:val="HeadingBase"/>
    <w:link w:val="TitleChar"/>
    <w:qFormat/>
    <w:rsid w:val="000300FC"/>
    <w:pPr>
      <w:spacing w:before="5040"/>
      <w:jc w:val="center"/>
    </w:pPr>
    <w:rPr>
      <w:sz w:val="48"/>
      <w:szCs w:val="72"/>
      <w:lang w:val="en-US"/>
    </w:rPr>
  </w:style>
  <w:style w:type="character" w:customStyle="1" w:styleId="TitleChar">
    <w:name w:val="Title Char"/>
    <w:basedOn w:val="DefaultParagraphFont"/>
    <w:link w:val="Title"/>
    <w:rsid w:val="00030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0FC"/>
    <w:pPr>
      <w:tabs>
        <w:tab w:val="left" w:pos="3600"/>
        <w:tab w:val="left" w:pos="3958"/>
      </w:tabs>
    </w:pPr>
  </w:style>
  <w:style w:type="paragraph" w:styleId="List">
    <w:name w:val="List"/>
    <w:basedOn w:val="BodyText"/>
    <w:next w:val="BodyText"/>
    <w:rsid w:val="000300FC"/>
    <w:pPr>
      <w:tabs>
        <w:tab w:val="left" w:pos="340"/>
      </w:tabs>
      <w:spacing w:before="60" w:after="60"/>
      <w:ind w:left="340" w:hanging="340"/>
    </w:pPr>
  </w:style>
  <w:style w:type="paragraph" w:customStyle="1" w:styleId="Note">
    <w:name w:val="Note"/>
    <w:basedOn w:val="BodyText"/>
    <w:rsid w:val="00030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0FC"/>
    <w:pPr>
      <w:framePr w:wrap="auto" w:hAnchor="text" w:y="6049"/>
    </w:pPr>
    <w:rPr>
      <w:color w:val="000000"/>
      <w:sz w:val="40"/>
    </w:rPr>
  </w:style>
  <w:style w:type="paragraph" w:customStyle="1" w:styleId="TOCTitle">
    <w:name w:val="TOCTitle"/>
    <w:basedOn w:val="Heading1"/>
    <w:rsid w:val="000300FC"/>
    <w:pPr>
      <w:spacing w:after="240"/>
      <w:jc w:val="center"/>
      <w:outlineLvl w:val="9"/>
    </w:pPr>
    <w:rPr>
      <w:caps/>
    </w:rPr>
  </w:style>
  <w:style w:type="paragraph" w:customStyle="1" w:styleId="Version">
    <w:name w:val="Version"/>
    <w:rsid w:val="000300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0FC"/>
    <w:pPr>
      <w:keepNext w:val="0"/>
      <w:tabs>
        <w:tab w:val="right" w:pos="4176"/>
      </w:tabs>
      <w:ind w:left="198" w:hanging="198"/>
    </w:pPr>
    <w:rPr>
      <w:rFonts w:ascii="Garamond" w:hAnsi="Garamond"/>
    </w:rPr>
  </w:style>
  <w:style w:type="paragraph" w:styleId="IndexHeading">
    <w:name w:val="index heading"/>
    <w:basedOn w:val="Normal"/>
    <w:next w:val="Index1"/>
    <w:semiHidden/>
    <w:rsid w:val="000300FC"/>
    <w:pPr>
      <w:spacing w:before="120" w:after="120"/>
    </w:pPr>
    <w:rPr>
      <w:rFonts w:ascii="Arial" w:hAnsi="Arial"/>
      <w:b/>
      <w:color w:val="918585"/>
      <w:sz w:val="24"/>
    </w:rPr>
  </w:style>
  <w:style w:type="paragraph" w:styleId="Header">
    <w:name w:val="header"/>
    <w:basedOn w:val="Normal"/>
    <w:link w:val="HeaderChar"/>
    <w:rsid w:val="00030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0FC"/>
    <w:rPr>
      <w:rFonts w:ascii="Times New Roman" w:eastAsia="Times New Roman" w:hAnsi="Times New Roman" w:cs="Times New Roman"/>
      <w:sz w:val="16"/>
      <w:szCs w:val="20"/>
      <w:lang w:val="en-GB" w:eastAsia="en-US"/>
    </w:rPr>
  </w:style>
  <w:style w:type="paragraph" w:customStyle="1" w:styleId="Chapter">
    <w:name w:val="Chapter"/>
    <w:basedOn w:val="Normal"/>
    <w:rsid w:val="000300FC"/>
    <w:pPr>
      <w:spacing w:before="240"/>
    </w:pPr>
    <w:rPr>
      <w:rFonts w:ascii="Times New Roman" w:hAnsi="Times New Roman"/>
      <w:smallCaps/>
      <w:spacing w:val="80"/>
      <w:sz w:val="28"/>
    </w:rPr>
  </w:style>
  <w:style w:type="paragraph" w:customStyle="1" w:styleId="InChapter">
    <w:name w:val="InChapter"/>
    <w:basedOn w:val="Heading3"/>
    <w:rsid w:val="000300FC"/>
    <w:pPr>
      <w:spacing w:after="240"/>
      <w:outlineLvl w:val="9"/>
    </w:pPr>
    <w:rPr>
      <w:noProof/>
    </w:rPr>
  </w:style>
  <w:style w:type="paragraph" w:styleId="Index2">
    <w:name w:val="index 2"/>
    <w:basedOn w:val="Normal"/>
    <w:next w:val="Normal"/>
    <w:semiHidden/>
    <w:rsid w:val="000300FC"/>
    <w:pPr>
      <w:tabs>
        <w:tab w:val="right" w:pos="4176"/>
      </w:tabs>
      <w:ind w:left="568" w:hanging="284"/>
    </w:pPr>
    <w:rPr>
      <w:rFonts w:ascii="Garamond" w:hAnsi="Garamond"/>
    </w:rPr>
  </w:style>
  <w:style w:type="paragraph" w:customStyle="1" w:styleId="Byline">
    <w:name w:val="Byline"/>
    <w:rsid w:val="00030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0FC"/>
    <w:pPr>
      <w:tabs>
        <w:tab w:val="clear" w:pos="3600"/>
        <w:tab w:val="clear" w:pos="3958"/>
      </w:tabs>
      <w:jc w:val="right"/>
    </w:pPr>
  </w:style>
  <w:style w:type="character" w:styleId="Emphasis">
    <w:name w:val="Emphasis"/>
    <w:basedOn w:val="DefaultParagraphFont"/>
    <w:qFormat/>
    <w:rsid w:val="000300FC"/>
    <w:rPr>
      <w:i/>
    </w:rPr>
  </w:style>
  <w:style w:type="paragraph" w:styleId="Caption">
    <w:name w:val="caption"/>
    <w:basedOn w:val="BodyText"/>
    <w:next w:val="Normal"/>
    <w:qFormat/>
    <w:rsid w:val="000300FC"/>
    <w:pPr>
      <w:framePr w:w="2268" w:hSpace="181" w:vSpace="181" w:wrap="around" w:vAnchor="text" w:hAnchor="page" w:x="1135" w:y="285" w:anchorLock="1"/>
    </w:pPr>
    <w:rPr>
      <w:i/>
    </w:rPr>
  </w:style>
  <w:style w:type="paragraph" w:customStyle="1" w:styleId="MiniTOCTitle">
    <w:name w:val="MiniTOCTitle"/>
    <w:basedOn w:val="Heading4"/>
    <w:rsid w:val="000300FC"/>
    <w:pPr>
      <w:spacing w:before="240"/>
      <w:outlineLvl w:val="9"/>
    </w:pPr>
    <w:rPr>
      <w:noProof/>
      <w:sz w:val="24"/>
    </w:rPr>
  </w:style>
  <w:style w:type="paragraph" w:customStyle="1" w:styleId="MiniTOCItem">
    <w:name w:val="MiniTOCItem"/>
    <w:basedOn w:val="ListBullet"/>
    <w:rsid w:val="000300FC"/>
    <w:pPr>
      <w:numPr>
        <w:numId w:val="0"/>
      </w:numPr>
      <w:tabs>
        <w:tab w:val="right" w:leader="dot" w:pos="6521"/>
      </w:tabs>
      <w:spacing w:before="0" w:after="0"/>
    </w:pPr>
  </w:style>
  <w:style w:type="paragraph" w:customStyle="1" w:styleId="TOFTitle">
    <w:name w:val="TOFTitle"/>
    <w:basedOn w:val="TOCTitle"/>
    <w:rsid w:val="000300FC"/>
  </w:style>
  <w:style w:type="paragraph" w:styleId="TableofFigures">
    <w:name w:val="table of figures"/>
    <w:basedOn w:val="Normal"/>
    <w:next w:val="Normal"/>
    <w:semiHidden/>
    <w:rsid w:val="000300FC"/>
    <w:pPr>
      <w:tabs>
        <w:tab w:val="right" w:leader="dot" w:pos="9072"/>
      </w:tabs>
      <w:ind w:left="970" w:hanging="403"/>
    </w:pPr>
    <w:rPr>
      <w:rFonts w:ascii="Times New Roman" w:hAnsi="Times New Roman"/>
      <w:b/>
    </w:rPr>
  </w:style>
  <w:style w:type="paragraph" w:styleId="ListNumber">
    <w:name w:val="List Number"/>
    <w:basedOn w:val="List"/>
    <w:rsid w:val="000300FC"/>
    <w:pPr>
      <w:numPr>
        <w:numId w:val="12"/>
      </w:numPr>
    </w:pPr>
  </w:style>
  <w:style w:type="character" w:customStyle="1" w:styleId="WingdingSymbols">
    <w:name w:val="Wingding Symbols"/>
    <w:rsid w:val="000300FC"/>
    <w:rPr>
      <w:rFonts w:ascii="Wingdings" w:hAnsi="Wingdings"/>
    </w:rPr>
  </w:style>
  <w:style w:type="paragraph" w:customStyle="1" w:styleId="TableHeading">
    <w:name w:val="Table Heading"/>
    <w:basedOn w:val="HeadingBase"/>
    <w:rsid w:val="000300FC"/>
    <w:pPr>
      <w:keepLines/>
      <w:pBdr>
        <w:bottom w:val="single" w:sz="6" w:space="1" w:color="918585"/>
      </w:pBdr>
      <w:spacing w:before="240"/>
    </w:pPr>
  </w:style>
  <w:style w:type="character" w:customStyle="1" w:styleId="HotSpot">
    <w:name w:val="HotSpot"/>
    <w:rsid w:val="000300FC"/>
    <w:rPr>
      <w:color w:val="0033CC"/>
      <w:u w:val="none"/>
    </w:rPr>
  </w:style>
  <w:style w:type="paragraph" w:customStyle="1" w:styleId="BodyTextRight">
    <w:name w:val="Body Text Right"/>
    <w:basedOn w:val="BodyText"/>
    <w:rsid w:val="000300FC"/>
    <w:pPr>
      <w:spacing w:before="0" w:after="0"/>
      <w:jc w:val="right"/>
    </w:pPr>
  </w:style>
  <w:style w:type="paragraph" w:styleId="Index3">
    <w:name w:val="index 3"/>
    <w:basedOn w:val="ListNumber2"/>
    <w:next w:val="Normal"/>
    <w:semiHidden/>
    <w:rsid w:val="000300FC"/>
    <w:pPr>
      <w:numPr>
        <w:numId w:val="0"/>
      </w:numPr>
      <w:tabs>
        <w:tab w:val="right" w:leader="dot" w:pos="4176"/>
      </w:tabs>
    </w:pPr>
  </w:style>
  <w:style w:type="paragraph" w:styleId="ListNumber2">
    <w:name w:val="List Number 2"/>
    <w:basedOn w:val="List2"/>
    <w:rsid w:val="000300FC"/>
    <w:pPr>
      <w:numPr>
        <w:numId w:val="11"/>
      </w:numPr>
      <w:tabs>
        <w:tab w:val="clear" w:pos="1060"/>
      </w:tabs>
    </w:pPr>
  </w:style>
  <w:style w:type="paragraph" w:customStyle="1" w:styleId="MarginNote">
    <w:name w:val="Margin Note"/>
    <w:basedOn w:val="BodyText"/>
    <w:rsid w:val="00030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0FC"/>
    <w:rPr>
      <w:sz w:val="32"/>
    </w:rPr>
  </w:style>
  <w:style w:type="paragraph" w:customStyle="1" w:styleId="HeadingProcedure">
    <w:name w:val="Heading Procedure"/>
    <w:basedOn w:val="HeadingBase"/>
    <w:next w:val="Normal"/>
    <w:rsid w:val="000300FC"/>
    <w:pPr>
      <w:tabs>
        <w:tab w:val="left" w:pos="0"/>
      </w:tabs>
      <w:spacing w:before="120" w:after="60"/>
    </w:pPr>
    <w:rPr>
      <w:i/>
      <w:color w:val="918585"/>
      <w:sz w:val="22"/>
    </w:rPr>
  </w:style>
  <w:style w:type="paragraph" w:customStyle="1" w:styleId="TableBodyText">
    <w:name w:val="Table Body Text"/>
    <w:basedOn w:val="BodyText"/>
    <w:rsid w:val="000300FC"/>
    <w:pPr>
      <w:spacing w:before="60" w:after="60"/>
    </w:pPr>
  </w:style>
  <w:style w:type="paragraph" w:styleId="ListContinue">
    <w:name w:val="List Continue"/>
    <w:basedOn w:val="List"/>
    <w:rsid w:val="000300FC"/>
    <w:pPr>
      <w:ind w:firstLine="0"/>
    </w:pPr>
  </w:style>
  <w:style w:type="paragraph" w:customStyle="1" w:styleId="ListNote">
    <w:name w:val="List Note"/>
    <w:basedOn w:val="List"/>
    <w:rsid w:val="000300FC"/>
    <w:pPr>
      <w:pBdr>
        <w:top w:val="single" w:sz="6" w:space="2" w:color="918585"/>
        <w:bottom w:val="single" w:sz="6" w:space="2" w:color="918585"/>
      </w:pBdr>
      <w:tabs>
        <w:tab w:val="left" w:pos="1021"/>
      </w:tabs>
      <w:ind w:firstLine="0"/>
    </w:pPr>
  </w:style>
  <w:style w:type="paragraph" w:customStyle="1" w:styleId="Warning">
    <w:name w:val="Warning"/>
    <w:basedOn w:val="BodyText"/>
    <w:rsid w:val="000300FC"/>
    <w:pPr>
      <w:shd w:val="clear" w:color="auto" w:fill="D9D9D9"/>
      <w:tabs>
        <w:tab w:val="left" w:pos="992"/>
      </w:tabs>
      <w:ind w:left="119" w:right="119"/>
    </w:pPr>
    <w:rPr>
      <w:sz w:val="20"/>
    </w:rPr>
  </w:style>
  <w:style w:type="paragraph" w:customStyle="1" w:styleId="MarginIcons">
    <w:name w:val="Margin Icons"/>
    <w:basedOn w:val="BodyText"/>
    <w:rsid w:val="00030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0FC"/>
    <w:rPr>
      <w:rFonts w:ascii="Courier New" w:hAnsi="Courier New"/>
    </w:rPr>
  </w:style>
  <w:style w:type="paragraph" w:customStyle="1" w:styleId="NoteBullet">
    <w:name w:val="Note Bullet"/>
    <w:basedOn w:val="Note"/>
    <w:rsid w:val="000300FC"/>
    <w:pPr>
      <w:tabs>
        <w:tab w:val="clear" w:pos="680"/>
      </w:tabs>
      <w:spacing w:before="60" w:after="60"/>
    </w:pPr>
  </w:style>
  <w:style w:type="paragraph" w:customStyle="1" w:styleId="SubHeading2">
    <w:name w:val="SubHeading2"/>
    <w:basedOn w:val="HeadingBase"/>
    <w:rsid w:val="000300FC"/>
    <w:pPr>
      <w:spacing w:before="240" w:after="60"/>
    </w:pPr>
    <w:rPr>
      <w:sz w:val="20"/>
    </w:rPr>
  </w:style>
  <w:style w:type="paragraph" w:customStyle="1" w:styleId="SubHeading1">
    <w:name w:val="SubHeading1"/>
    <w:basedOn w:val="HeadingBase"/>
    <w:rsid w:val="000300FC"/>
    <w:pPr>
      <w:spacing w:before="240" w:after="60"/>
    </w:pPr>
    <w:rPr>
      <w:color w:val="918585"/>
      <w:sz w:val="22"/>
    </w:rPr>
  </w:style>
  <w:style w:type="paragraph" w:customStyle="1" w:styleId="SideHeading">
    <w:name w:val="Side Heading"/>
    <w:basedOn w:val="HeadingBase"/>
    <w:rsid w:val="00030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0FC"/>
    <w:pPr>
      <w:numPr>
        <w:numId w:val="13"/>
      </w:numPr>
    </w:pPr>
  </w:style>
  <w:style w:type="paragraph" w:styleId="PlainText">
    <w:name w:val="Plain Text"/>
    <w:basedOn w:val="Normal"/>
    <w:link w:val="PlainTextChar"/>
    <w:rsid w:val="000300FC"/>
    <w:rPr>
      <w:sz w:val="20"/>
    </w:rPr>
  </w:style>
  <w:style w:type="character" w:customStyle="1" w:styleId="PlainTextChar">
    <w:name w:val="Plain Text Char"/>
    <w:basedOn w:val="DefaultParagraphFont"/>
    <w:link w:val="PlainText"/>
    <w:rsid w:val="000300FC"/>
    <w:rPr>
      <w:rFonts w:ascii="Courier New" w:eastAsia="Times New Roman" w:hAnsi="Courier New" w:cs="Times New Roman"/>
      <w:sz w:val="20"/>
      <w:szCs w:val="20"/>
      <w:lang w:eastAsia="en-US"/>
    </w:rPr>
  </w:style>
  <w:style w:type="character" w:customStyle="1" w:styleId="MenuOption">
    <w:name w:val="Menu Option"/>
    <w:basedOn w:val="DefaultParagraphFont"/>
    <w:rsid w:val="000300FC"/>
    <w:rPr>
      <w:b/>
      <w:smallCaps/>
    </w:rPr>
  </w:style>
  <w:style w:type="paragraph" w:customStyle="1" w:styleId="TableListNumber">
    <w:name w:val="Table List Number"/>
    <w:basedOn w:val="ListNumber"/>
    <w:rsid w:val="000300FC"/>
    <w:pPr>
      <w:numPr>
        <w:numId w:val="0"/>
      </w:numPr>
    </w:pPr>
  </w:style>
  <w:style w:type="paragraph" w:styleId="TOC4">
    <w:name w:val="toc 4"/>
    <w:basedOn w:val="TOCBase"/>
    <w:next w:val="Normal"/>
    <w:semiHidden/>
    <w:rsid w:val="000300FC"/>
    <w:pPr>
      <w:tabs>
        <w:tab w:val="right" w:leader="dot" w:pos="9071"/>
      </w:tabs>
      <w:ind w:left="1701"/>
    </w:pPr>
  </w:style>
  <w:style w:type="paragraph" w:customStyle="1" w:styleId="ListAlpha">
    <w:name w:val="List Alpha"/>
    <w:basedOn w:val="List"/>
    <w:rsid w:val="000300FC"/>
    <w:pPr>
      <w:numPr>
        <w:numId w:val="10"/>
      </w:numPr>
    </w:pPr>
  </w:style>
  <w:style w:type="paragraph" w:customStyle="1" w:styleId="ListAlpha2">
    <w:name w:val="List Alpha 2"/>
    <w:basedOn w:val="List2"/>
    <w:rsid w:val="000300FC"/>
    <w:pPr>
      <w:numPr>
        <w:numId w:val="9"/>
      </w:numPr>
    </w:pPr>
  </w:style>
  <w:style w:type="paragraph" w:styleId="List2">
    <w:name w:val="List 2"/>
    <w:basedOn w:val="BodyText"/>
    <w:rsid w:val="000300FC"/>
    <w:pPr>
      <w:tabs>
        <w:tab w:val="left" w:pos="680"/>
      </w:tabs>
      <w:spacing w:before="60" w:after="60"/>
      <w:ind w:left="680" w:hanging="340"/>
    </w:pPr>
  </w:style>
  <w:style w:type="paragraph" w:styleId="List3">
    <w:name w:val="List 3"/>
    <w:basedOn w:val="BodyText"/>
    <w:rsid w:val="000300FC"/>
    <w:pPr>
      <w:tabs>
        <w:tab w:val="left" w:pos="1021"/>
      </w:tabs>
      <w:spacing w:before="60" w:after="60"/>
      <w:ind w:left="1020" w:hanging="340"/>
    </w:pPr>
  </w:style>
  <w:style w:type="paragraph" w:styleId="List4">
    <w:name w:val="List 4"/>
    <w:basedOn w:val="BodyText"/>
    <w:rsid w:val="000300FC"/>
    <w:pPr>
      <w:tabs>
        <w:tab w:val="left" w:pos="1361"/>
      </w:tabs>
      <w:spacing w:before="60" w:after="60"/>
      <w:ind w:left="1361" w:hanging="340"/>
    </w:pPr>
  </w:style>
  <w:style w:type="paragraph" w:styleId="List5">
    <w:name w:val="List 5"/>
    <w:basedOn w:val="BodyText"/>
    <w:rsid w:val="000300FC"/>
    <w:pPr>
      <w:tabs>
        <w:tab w:val="left" w:pos="1701"/>
      </w:tabs>
      <w:spacing w:before="60" w:after="60"/>
      <w:ind w:left="1701" w:hanging="340"/>
    </w:pPr>
  </w:style>
  <w:style w:type="paragraph" w:styleId="ListBullet4">
    <w:name w:val="List Bullet 4"/>
    <w:basedOn w:val="List4"/>
    <w:rsid w:val="000300FC"/>
    <w:pPr>
      <w:numPr>
        <w:numId w:val="4"/>
      </w:numPr>
    </w:pPr>
  </w:style>
  <w:style w:type="paragraph" w:styleId="ListBullet5">
    <w:name w:val="List Bullet 5"/>
    <w:basedOn w:val="List5"/>
    <w:rsid w:val="000300FC"/>
    <w:pPr>
      <w:numPr>
        <w:numId w:val="5"/>
      </w:numPr>
    </w:pPr>
  </w:style>
  <w:style w:type="paragraph" w:styleId="ListContinue2">
    <w:name w:val="List Continue 2"/>
    <w:basedOn w:val="List2"/>
    <w:rsid w:val="000300FC"/>
    <w:pPr>
      <w:ind w:firstLine="0"/>
    </w:pPr>
  </w:style>
  <w:style w:type="paragraph" w:styleId="ListContinue3">
    <w:name w:val="List Continue 3"/>
    <w:basedOn w:val="List3"/>
    <w:rsid w:val="000300FC"/>
    <w:pPr>
      <w:ind w:left="1021" w:firstLine="0"/>
    </w:pPr>
  </w:style>
  <w:style w:type="paragraph" w:styleId="ListContinue4">
    <w:name w:val="List Continue 4"/>
    <w:basedOn w:val="List4"/>
    <w:rsid w:val="000300FC"/>
    <w:pPr>
      <w:ind w:firstLine="0"/>
    </w:pPr>
  </w:style>
  <w:style w:type="paragraph" w:styleId="ListContinue5">
    <w:name w:val="List Continue 5"/>
    <w:basedOn w:val="List5"/>
    <w:rsid w:val="000300FC"/>
    <w:pPr>
      <w:ind w:firstLine="0"/>
    </w:pPr>
  </w:style>
  <w:style w:type="paragraph" w:styleId="ListNumber3">
    <w:name w:val="List Number 3"/>
    <w:basedOn w:val="List3"/>
    <w:rsid w:val="000300FC"/>
    <w:pPr>
      <w:numPr>
        <w:numId w:val="6"/>
      </w:numPr>
    </w:pPr>
  </w:style>
  <w:style w:type="paragraph" w:styleId="ListNumber4">
    <w:name w:val="List Number 4"/>
    <w:basedOn w:val="List4"/>
    <w:rsid w:val="000300FC"/>
    <w:pPr>
      <w:numPr>
        <w:numId w:val="7"/>
      </w:numPr>
    </w:pPr>
  </w:style>
  <w:style w:type="paragraph" w:styleId="ListNumber5">
    <w:name w:val="List Number 5"/>
    <w:basedOn w:val="List5"/>
    <w:rsid w:val="000300FC"/>
    <w:pPr>
      <w:numPr>
        <w:numId w:val="8"/>
      </w:numPr>
    </w:pPr>
  </w:style>
  <w:style w:type="paragraph" w:styleId="BlockText">
    <w:name w:val="Block Text"/>
    <w:basedOn w:val="Normal"/>
    <w:rsid w:val="000300FC"/>
    <w:pPr>
      <w:spacing w:after="120"/>
      <w:ind w:left="1440" w:right="1440"/>
    </w:pPr>
  </w:style>
  <w:style w:type="character" w:customStyle="1" w:styleId="Subscript">
    <w:name w:val="Subscript"/>
    <w:basedOn w:val="DefaultParagraphFont"/>
    <w:rsid w:val="000300FC"/>
    <w:rPr>
      <w:sz w:val="16"/>
      <w:vertAlign w:val="subscript"/>
    </w:rPr>
  </w:style>
  <w:style w:type="character" w:customStyle="1" w:styleId="Superscript">
    <w:name w:val="Superscript"/>
    <w:basedOn w:val="DefaultParagraphFont"/>
    <w:rsid w:val="000300FC"/>
    <w:rPr>
      <w:sz w:val="16"/>
      <w:vertAlign w:val="superscript"/>
    </w:rPr>
  </w:style>
  <w:style w:type="character" w:customStyle="1" w:styleId="Symbols">
    <w:name w:val="Symbols"/>
    <w:basedOn w:val="DefaultParagraphFont"/>
    <w:rsid w:val="000300FC"/>
    <w:rPr>
      <w:rFonts w:ascii="Symbol" w:hAnsi="Symbol"/>
    </w:rPr>
  </w:style>
  <w:style w:type="character" w:customStyle="1" w:styleId="MenuOptions">
    <w:name w:val="Menu Options"/>
    <w:basedOn w:val="DefaultParagraphFont"/>
    <w:rsid w:val="000300FC"/>
    <w:rPr>
      <w:rFonts w:ascii="Arial Narrow" w:hAnsi="Arial Narrow"/>
      <w:smallCaps/>
    </w:rPr>
  </w:style>
  <w:style w:type="character" w:customStyle="1" w:styleId="Buttons">
    <w:name w:val="Buttons"/>
    <w:basedOn w:val="DefaultParagraphFont"/>
    <w:rsid w:val="000300FC"/>
    <w:rPr>
      <w:b/>
    </w:rPr>
  </w:style>
  <w:style w:type="character" w:customStyle="1" w:styleId="Underlined">
    <w:name w:val="Underlined"/>
    <w:basedOn w:val="DefaultParagraphFont"/>
    <w:rsid w:val="000300FC"/>
    <w:rPr>
      <w:u w:val="single"/>
    </w:rPr>
  </w:style>
  <w:style w:type="paragraph" w:customStyle="1" w:styleId="TableBodyTextRight">
    <w:name w:val="Table Body Text Right"/>
    <w:basedOn w:val="TableBodyText"/>
    <w:rsid w:val="000300FC"/>
    <w:pPr>
      <w:widowControl w:val="0"/>
      <w:autoSpaceDE w:val="0"/>
      <w:autoSpaceDN w:val="0"/>
      <w:adjustRightInd w:val="0"/>
      <w:jc w:val="right"/>
    </w:pPr>
    <w:rPr>
      <w:rFonts w:cs="Arial"/>
      <w:szCs w:val="18"/>
    </w:rPr>
  </w:style>
  <w:style w:type="paragraph" w:customStyle="1" w:styleId="CopyrightText">
    <w:name w:val="Copyright Text"/>
    <w:basedOn w:val="BodyText"/>
    <w:rsid w:val="000300FC"/>
    <w:rPr>
      <w:sz w:val="18"/>
    </w:rPr>
  </w:style>
  <w:style w:type="paragraph" w:customStyle="1" w:styleId="BodySmallRight">
    <w:name w:val="Body Small Right"/>
    <w:basedOn w:val="BodyTextRight"/>
    <w:rsid w:val="000300FC"/>
    <w:rPr>
      <w:sz w:val="18"/>
      <w:szCs w:val="18"/>
    </w:rPr>
  </w:style>
  <w:style w:type="paragraph" w:customStyle="1" w:styleId="MarginEdition">
    <w:name w:val="Margin Edition"/>
    <w:basedOn w:val="MarginNote"/>
    <w:rsid w:val="000300FC"/>
    <w:pPr>
      <w:spacing w:before="0" w:after="0"/>
    </w:pPr>
    <w:rPr>
      <w:rFonts w:ascii="Times New Roman" w:hAnsi="Times New Roman"/>
      <w:color w:val="999999"/>
    </w:rPr>
  </w:style>
  <w:style w:type="paragraph" w:customStyle="1" w:styleId="Spacer">
    <w:name w:val="Spacer"/>
    <w:basedOn w:val="Normal"/>
    <w:rsid w:val="000300FC"/>
    <w:rPr>
      <w:sz w:val="2"/>
      <w:szCs w:val="2"/>
    </w:rPr>
  </w:style>
  <w:style w:type="character" w:customStyle="1" w:styleId="Small">
    <w:name w:val="Small"/>
    <w:basedOn w:val="DefaultParagraphFont"/>
    <w:rsid w:val="000300FC"/>
    <w:rPr>
      <w:sz w:val="16"/>
    </w:rPr>
  </w:style>
  <w:style w:type="paragraph" w:customStyle="1" w:styleId="WideTable">
    <w:name w:val="Wide Table"/>
    <w:basedOn w:val="Normal"/>
    <w:rsid w:val="000300FC"/>
    <w:pPr>
      <w:ind w:left="-1418"/>
    </w:pPr>
    <w:rPr>
      <w:sz w:val="2"/>
      <w:szCs w:val="2"/>
    </w:rPr>
  </w:style>
  <w:style w:type="character" w:styleId="PageNumber">
    <w:name w:val="page number"/>
    <w:basedOn w:val="DefaultParagraphFont"/>
    <w:rsid w:val="000300FC"/>
  </w:style>
  <w:style w:type="paragraph" w:styleId="Quote">
    <w:name w:val="Quote"/>
    <w:basedOn w:val="Heading1"/>
    <w:link w:val="QuoteChar"/>
    <w:qFormat/>
    <w:rsid w:val="000300FC"/>
    <w:rPr>
      <w:b w:val="0"/>
      <w:sz w:val="72"/>
      <w:szCs w:val="72"/>
      <w:lang w:val="en-NZ"/>
    </w:rPr>
  </w:style>
  <w:style w:type="character" w:customStyle="1" w:styleId="QuoteChar">
    <w:name w:val="Quote Char"/>
    <w:basedOn w:val="DefaultParagraphFont"/>
    <w:link w:val="Quote"/>
    <w:rsid w:val="00030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0FC"/>
    <w:pPr>
      <w:pageBreakBefore/>
    </w:pPr>
  </w:style>
  <w:style w:type="paragraph" w:customStyle="1" w:styleId="Border">
    <w:name w:val="Border"/>
    <w:basedOn w:val="Normal"/>
    <w:qFormat/>
    <w:rsid w:val="00030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0FC"/>
    <w:rPr>
      <w:b/>
      <w:bCs/>
      <w:i/>
      <w:iCs/>
      <w:color w:val="auto"/>
    </w:rPr>
  </w:style>
  <w:style w:type="paragraph" w:styleId="IntenseQuote">
    <w:name w:val="Intense Quote"/>
    <w:basedOn w:val="Normal"/>
    <w:next w:val="Normal"/>
    <w:link w:val="IntenseQuoteChar"/>
    <w:uiPriority w:val="30"/>
    <w:qFormat/>
    <w:rsid w:val="00030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0FC"/>
    <w:rPr>
      <w:smallCaps/>
      <w:color w:val="auto"/>
      <w:u w:val="single"/>
    </w:rPr>
  </w:style>
  <w:style w:type="character" w:styleId="IntenseReference">
    <w:name w:val="Intense Reference"/>
    <w:basedOn w:val="DefaultParagraphFont"/>
    <w:uiPriority w:val="32"/>
    <w:qFormat/>
    <w:rsid w:val="000300FC"/>
    <w:rPr>
      <w:b/>
      <w:bCs/>
      <w:smallCaps/>
      <w:color w:val="auto"/>
      <w:spacing w:val="5"/>
      <w:u w:val="single"/>
    </w:rPr>
  </w:style>
  <w:style w:type="paragraph" w:customStyle="1" w:styleId="2ColumnHeading">
    <w:name w:val="2Column Heading"/>
    <w:basedOn w:val="BodyText"/>
    <w:qFormat/>
    <w:rsid w:val="000300FC"/>
    <w:pPr>
      <w:spacing w:after="60"/>
      <w:ind w:left="-2268"/>
    </w:pPr>
    <w:rPr>
      <w:b/>
    </w:rPr>
  </w:style>
  <w:style w:type="paragraph" w:customStyle="1" w:styleId="Heading1TOC">
    <w:name w:val="Heading1 TOC"/>
    <w:basedOn w:val="Normal"/>
    <w:qFormat/>
    <w:rsid w:val="000300FC"/>
    <w:pPr>
      <w:spacing w:before="240" w:after="120"/>
    </w:pPr>
    <w:rPr>
      <w:rFonts w:ascii="Times New Roman" w:hAnsi="Times New Roman"/>
      <w:b/>
      <w:sz w:val="32"/>
    </w:rPr>
  </w:style>
  <w:style w:type="paragraph" w:customStyle="1" w:styleId="Heading2TOC">
    <w:name w:val="Heading2 TOC"/>
    <w:basedOn w:val="Normal"/>
    <w:qFormat/>
    <w:rsid w:val="000300FC"/>
    <w:pPr>
      <w:spacing w:before="240" w:after="60"/>
    </w:pPr>
    <w:rPr>
      <w:rFonts w:ascii="Times New Roman" w:hAnsi="Times New Roman"/>
      <w:b/>
      <w:sz w:val="28"/>
    </w:rPr>
  </w:style>
  <w:style w:type="character" w:customStyle="1" w:styleId="Underline">
    <w:name w:val="Underline"/>
    <w:basedOn w:val="DefaultParagraphFont"/>
    <w:qFormat/>
    <w:rsid w:val="000300FC"/>
    <w:rPr>
      <w:u w:val="single"/>
    </w:rPr>
  </w:style>
  <w:style w:type="character" w:customStyle="1" w:styleId="BoldandItalics">
    <w:name w:val="Bold and Italics"/>
    <w:qFormat/>
    <w:rsid w:val="000300FC"/>
    <w:rPr>
      <w:b/>
      <w:i/>
      <w:u w:val="none"/>
    </w:rPr>
  </w:style>
  <w:style w:type="paragraph" w:styleId="BalloonText">
    <w:name w:val="Balloon Text"/>
    <w:basedOn w:val="Normal"/>
    <w:link w:val="BalloonTextChar"/>
    <w:rsid w:val="000300FC"/>
    <w:rPr>
      <w:rFonts w:ascii="Tahoma" w:hAnsi="Tahoma" w:cs="Tahoma"/>
      <w:sz w:val="16"/>
      <w:szCs w:val="16"/>
    </w:rPr>
  </w:style>
  <w:style w:type="character" w:customStyle="1" w:styleId="BalloonTextChar">
    <w:name w:val="Balloon Text Char"/>
    <w:basedOn w:val="DefaultParagraphFont"/>
    <w:link w:val="BalloonText"/>
    <w:rsid w:val="00030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0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0FC"/>
    <w:rPr>
      <w:b/>
      <w:color w:val="660033"/>
      <w:spacing w:val="0"/>
    </w:rPr>
  </w:style>
  <w:style w:type="paragraph" w:customStyle="1" w:styleId="Nameditemlist">
    <w:name w:val="Named item list"/>
    <w:basedOn w:val="BodyText"/>
    <w:qFormat/>
    <w:rsid w:val="000300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1999</Words>
  <Characters>12025</Characters>
  <Application>Microsoft Office Word</Application>
  <DocSecurity>0</DocSecurity>
  <Lines>503</Lines>
  <Paragraphs>228</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UEENEEI154A Design and use advanced programming tools PC networks and HMI Interfacing</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2013-03-07T16:11:00Z</dcterms:created>
  <dcterms:modified xsi:type="dcterms:W3CDTF">2013-03-07T16:11:00Z</dcterms:modified>
</cp:coreProperties>
</file>