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271" w:rsidP="00A42271">
      <w:pPr>
        <w:pStyle w:val="Title"/>
      </w:pPr>
      <w:bookmarkStart w:id="0" w:name="_GoBack"/>
      <w:bookmarkEnd w:id="0"/>
      <w:r>
        <w:fldChar w:fldCharType="begin"/>
      </w:r>
      <w:r>
        <w:instrText xml:space="preserve"> TITLE   \* MERGEFORMAT </w:instrText>
      </w:r>
      <w:r>
        <w:fldChar w:fldCharType="separate"/>
      </w:r>
      <w:r>
        <w:t>UEENEEI146A Diagnose and rectify faults in d.c. motor drive systems</w:t>
      </w:r>
      <w:r>
        <w:fldChar w:fldCharType="end"/>
      </w:r>
    </w:p>
    <w:p w:rsidR="00A42271" w:rsidP="00A42271">
      <w:pPr>
        <w:pStyle w:val="Version"/>
        <w:sectPr w:rsidSect="00143D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3D3F" w:rsidP="00143D3F">
      <w:pPr>
        <w:pStyle w:val="SuperHeading"/>
      </w:pPr>
      <w:r w:rsidRPr="00143D3F">
        <w:t>UEENEEI146A Diagnose and rectify faults in d.c. motor drive systems</w:t>
      </w:r>
    </w:p>
    <w:p w:rsidR="00000000" w:rsidRPr="00143D3F" w:rsidP="00143D3F">
      <w:pPr>
        <w:pStyle w:val="Heading1"/>
      </w:pPr>
      <w:bookmarkStart w:id="1" w:name="O_534348"/>
      <w:bookmarkEnd w:id="1"/>
      <w:r w:rsidRPr="00143D3F">
        <w:t>Modification History</w:t>
      </w:r>
    </w:p>
    <w:tbl>
      <w:tblPr>
        <w:tblW w:w="0" w:type="auto"/>
        <w:tblCellMar>
          <w:left w:w="62" w:type="dxa"/>
          <w:right w:w="62" w:type="dxa"/>
        </w:tblCellMar>
        <w:tblLook w:val="0000"/>
      </w:tblPr>
      <w:tblGrid>
        <w:gridCol w:w="846"/>
        <w:gridCol w:w="846"/>
        <w:gridCol w:w="1354"/>
        <w:gridCol w:w="5093"/>
        <w:gridCol w:w="1057"/>
      </w:tblGrid>
      <w:tr w:rsidTr="00A422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UEENEEI146A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Diagnose and rectify faults in d.c. motor drive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p>
        </w:tc>
      </w:tr>
      <w:tr w:rsidTr="00A422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Points</w:t>
            </w:r>
          </w:p>
        </w:tc>
      </w:tr>
      <w:tr w:rsidTr="00A42271">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Show full pre-req chain in the unit.</w:t>
            </w:r>
            <w:r w:rsidRPr="00143D3F">
              <w:tab/>
            </w:r>
            <w:r w:rsidRPr="00143D3F">
              <w:tab/>
              <w: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p>
        </w:tc>
      </w:tr>
      <w:tr w:rsidTr="00A422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p>
        </w:tc>
      </w:tr>
      <w:tr w:rsidTr="00A42271">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D3F">
            <w:pPr>
              <w:pStyle w:val="BodyText"/>
              <w:rPr>
                <w:lang w:val="en-NZ"/>
              </w:rPr>
            </w:pPr>
            <w:r w:rsidRPr="00143D3F">
              <w:t>Replace “essential knowledge and associated skills”</w:t>
            </w:r>
            <w:r w:rsidRPr="00143D3F">
              <w:t xml:space="preserve">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D3F" w:rsidP="00143D3F">
            <w:pPr>
              <w:pStyle w:val="BodyText"/>
            </w:pP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2" w:name="O_534347"/>
      <w:bookmarkEnd w:id="2"/>
      <w:r w:rsidRPr="00143D3F">
        <w:t>Unit Descriptor</w:t>
      </w:r>
    </w:p>
    <w:tbl>
      <w:tblPr>
        <w:tblW w:w="0" w:type="auto"/>
        <w:tblLayout w:type="fixed"/>
        <w:tblCellMar>
          <w:left w:w="62" w:type="dxa"/>
          <w:right w:w="62" w:type="dxa"/>
        </w:tblCellMar>
        <w:tblLook w:val="0000"/>
      </w:tblPr>
      <w:tblGrid>
        <w:gridCol w:w="2700"/>
        <w:gridCol w:w="5760"/>
      </w:tblGrid>
      <w:tr w:rsidTr="00A422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1)</w:t>
            </w:r>
            <w:r w:rsidRPr="00143D3F">
              <w:t xml:space="preserve"> </w:t>
            </w:r>
            <w:r w:rsidRPr="00143D3F">
              <w:rPr>
                <w:rStyle w:val="SpecialBold"/>
              </w:rPr>
              <w:t>Scope:</w:t>
            </w:r>
          </w:p>
        </w:tc>
      </w:tr>
      <w:tr w:rsidTr="00A422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43D3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1.1) Descriptor</w:t>
            </w:r>
          </w:p>
        </w:tc>
      </w:tr>
      <w:tr w:rsidTr="00A422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This unit covers diagnosing and rectifying faults in systems controlling starting, speed, torque, power output, efficient running and braking of d.c. motors. The unit encompasses safe working practices, interpreting technical data, applying knowledge of d.</w:t>
            </w:r>
            <w:r w:rsidRPr="00143D3F">
              <w:t>c motors operating parameters to logical fault finding processes, implementing fault rectification, safety and functional testing and reporting work activities and outcomes.</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3" w:name="O_534346"/>
      <w:bookmarkEnd w:id="3"/>
      <w:r w:rsidRPr="00143D3F">
        <w:t>Application of the Unit</w:t>
      </w:r>
    </w:p>
    <w:tbl>
      <w:tblPr>
        <w:tblW w:w="0" w:type="auto"/>
        <w:tblLayout w:type="fixed"/>
        <w:tblCellMar>
          <w:left w:w="62" w:type="dxa"/>
          <w:right w:w="62" w:type="dxa"/>
        </w:tblCellMar>
        <w:tblLook w:val="0000"/>
      </w:tblPr>
      <w:tblGrid>
        <w:gridCol w:w="2672"/>
        <w:gridCol w:w="5699"/>
      </w:tblGrid>
      <w:tr w:rsidTr="00A422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2)</w:t>
            </w:r>
          </w:p>
        </w:tc>
      </w:tr>
      <w:tr w:rsidTr="00A422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This unit is intended as an additional competency to relevant competencies previously acquired. It is suitable for employment-based programs under an approved contract of training at the aligned AQF 5 level or higher.</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4" w:name="O_534345"/>
      <w:bookmarkEnd w:id="4"/>
      <w:r w:rsidRPr="00143D3F">
        <w:t>Licensing/Regulator</w:t>
      </w:r>
      <w:r w:rsidRPr="00143D3F">
        <w:t>y Information</w:t>
      </w:r>
    </w:p>
    <w:tbl>
      <w:tblPr>
        <w:tblW w:w="0" w:type="auto"/>
        <w:tblLayout w:type="fixed"/>
        <w:tblCellMar>
          <w:left w:w="62" w:type="dxa"/>
          <w:right w:w="62" w:type="dxa"/>
        </w:tblCellMar>
        <w:tblLook w:val="0000"/>
      </w:tblPr>
      <w:tblGrid>
        <w:gridCol w:w="2700"/>
        <w:gridCol w:w="5760"/>
      </w:tblGrid>
      <w:tr w:rsidTr="00A422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 xml:space="preserve">3) </w:t>
            </w:r>
          </w:p>
        </w:tc>
      </w:tr>
      <w:tr w:rsidTr="00A422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The skills and knowledge described in this unit require a license to practice in the workplace where plant and equipment operate at voltage above 120 V d.c. However other conditions may apply in some jurisdictions su</w:t>
            </w:r>
            <w:r w:rsidRPr="00143D3F">
              <w:t>bject to regulations related to electrical work. Practice in the workplace and during training is also subject to regulations directly related to occupational health and safety and where applicable contracts of training such as apprenticeships.</w:t>
            </w:r>
          </w:p>
          <w:p w:rsidR="00000000" w:rsidRPr="00143D3F" w:rsidP="00143D3F">
            <w:pPr>
              <w:pStyle w:val="BodyText"/>
            </w:pPr>
            <w:r w:rsidRPr="00143D3F">
              <w:t xml:space="preserve">Note: </w:t>
            </w:r>
          </w:p>
          <w:p w:rsidR="00000000" w:rsidRPr="00143D3F" w:rsidP="00143D3F">
            <w:pPr>
              <w:pStyle w:val="BodyText"/>
            </w:pPr>
            <w:r w:rsidRPr="00143D3F">
              <w:t>1. C</w:t>
            </w:r>
            <w:r w:rsidRPr="00143D3F">
              <w:t>ompliance with permits may be required in various jurisdictions and typically relates to the operation of plant, machinery and equipment such as elevating work platforms, powder operated fixing tools, power operated tools, vehicles, road signage and traffi</w:t>
            </w:r>
            <w:r w:rsidRPr="00143D3F">
              <w:t>c control and lifting equipment. Permits may also be required for some work environments such as confined spaces, working aloft, near live electrical apparatus and site rehabilitation.</w:t>
            </w:r>
          </w:p>
          <w:p w:rsidR="00000000" w:rsidRPr="00143D3F" w:rsidP="00143D3F">
            <w:pPr>
              <w:pStyle w:val="BodyText"/>
            </w:pPr>
            <w:r w:rsidRPr="00143D3F">
              <w:t>2. Compliance may be required in various jurisdictions relating to curr</w:t>
            </w:r>
            <w:r w:rsidRPr="00143D3F">
              <w:t>ency in First Aid, confined space, lifting and risk safety measures.</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5" w:name="O_534344"/>
      <w:bookmarkEnd w:id="5"/>
      <w:r w:rsidRPr="00143D3F">
        <w:t>Pre-Requisites</w:t>
      </w:r>
    </w:p>
    <w:tbl>
      <w:tblPr>
        <w:tblW w:w="0" w:type="auto"/>
        <w:tblLayout w:type="fixed"/>
        <w:tblCellMar>
          <w:left w:w="62" w:type="dxa"/>
          <w:right w:w="62" w:type="dxa"/>
        </w:tblCellMar>
        <w:tblLook w:val="0000"/>
      </w:tblPr>
      <w:tblGrid>
        <w:gridCol w:w="2638"/>
        <w:gridCol w:w="1800"/>
        <w:gridCol w:w="3960"/>
      </w:tblGrid>
      <w:tr w:rsidTr="00143D3F">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 xml:space="preserve">4) </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4.1)</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Granting of competency in this unit shall be made only after competency in the following unit(s) has/have been confirmed.</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Unit Code</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Unit Title</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143D3F">
            <w:pPr>
              <w:pStyle w:val="BodyText"/>
              <w:rPr>
                <w:lang w:val="en-NZ"/>
              </w:rPr>
            </w:pPr>
            <w:r w:rsidRPr="00143D3F">
              <w:t>Apply Occupational Health and Safety regulations, codes and practices in the workplace</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143D3F">
            <w:pPr>
              <w:pStyle w:val="BodyText"/>
              <w:rPr>
                <w:lang w:val="en-NZ"/>
              </w:rPr>
            </w:pPr>
            <w:r w:rsidRPr="00143D3F">
              <w:t>Solve problems in d.c. Circuits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43D3F">
            <w:pPr>
              <w:pStyle w:val="BodyText"/>
              <w:rPr>
                <w:lang w:val="en-NZ"/>
              </w:rPr>
            </w:pPr>
            <w:r w:rsidRPr="00143D3F">
              <w:t>UEENEEE105A</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Fix and secure electrotechnology equipment</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43D3F">
            <w:pPr>
              <w:pStyle w:val="BodyText"/>
              <w:rPr>
                <w:lang w:val="en-NZ"/>
              </w:rPr>
            </w:pPr>
            <w:r w:rsidRPr="00143D3F">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143D3F">
            <w:pPr>
              <w:pStyle w:val="BodyText"/>
              <w:rPr>
                <w:lang w:val="en-NZ"/>
              </w:rPr>
            </w:pPr>
            <w:r w:rsidRPr="00143D3F">
              <w:t>Use drawings, diagrams, schedules, standards, codes and specifications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43D3F">
            <w:pPr>
              <w:pStyle w:val="BodyText"/>
              <w:rPr>
                <w:lang w:val="en-NZ"/>
              </w:rPr>
            </w:pPr>
            <w:r w:rsidRPr="00143D3F">
              <w:t>UEENEEG006A</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Solve problems in single and three phase low voltage machines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43D3F">
            <w:pPr>
              <w:pStyle w:val="BodyText"/>
              <w:rPr>
                <w:lang w:val="en-NZ"/>
              </w:rPr>
            </w:pPr>
            <w:r w:rsidRPr="00143D3F">
              <w:t>UEENEEG033A</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Solve problems in single and three phase electrical apparatus and circuits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43D3F">
            <w:pPr>
              <w:pStyle w:val="BodyText"/>
              <w:rPr>
                <w:lang w:val="en-NZ"/>
              </w:rPr>
            </w:pPr>
            <w:r w:rsidRPr="00143D3F">
              <w:t xml:space="preserve">UEENEEG063A </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Arrange circuits, control and protection for general electrical installations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UEENEEG101</w:t>
            </w:r>
            <w:r w:rsidRPr="00143D3F">
              <w:t>A</w:t>
            </w:r>
          </w:p>
        </w:tc>
        <w:tc>
          <w:tcPr>
            <w:tcW w:w="3960" w:type="dxa"/>
            <w:tcBorders>
              <w:top w:val="nil"/>
              <w:left w:val="nil"/>
              <w:bottom w:val="nil"/>
              <w:right w:val="nil"/>
            </w:tcBorders>
            <w:tcMar>
              <w:top w:w="0" w:type="dxa"/>
              <w:left w:w="62" w:type="dxa"/>
              <w:bottom w:w="0" w:type="dxa"/>
              <w:right w:w="62" w:type="dxa"/>
            </w:tcMar>
            <w:vAlign w:val="bottom"/>
          </w:tcPr>
          <w:p w:rsidR="00000000" w:rsidP="00143D3F">
            <w:pPr>
              <w:pStyle w:val="BodyText"/>
              <w:rPr>
                <w:lang w:val="en-NZ"/>
              </w:rPr>
            </w:pPr>
            <w:r w:rsidRPr="00143D3F">
              <w:t>Solve problems in electromagnetic devices and related circuits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UEENEEG102A</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Solve problems in low voltage a.c. circuits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143D3F">
            <w:pPr>
              <w:pStyle w:val="BodyText"/>
              <w:rPr>
                <w:lang w:val="en-NZ"/>
              </w:rPr>
            </w:pPr>
            <w:r w:rsidRPr="00143D3F">
              <w:t>UEENEEG106A</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Terminate cables, cords and accessories for low voltage circuits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UEENEEI124A</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Fault find and repair analogue circuits and components in electronic control systems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UEENEEI148A</w:t>
            </w:r>
          </w:p>
        </w:tc>
        <w:tc>
          <w:tcPr>
            <w:tcW w:w="39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Solve problems in single phase electronic power control circuits</w:t>
            </w:r>
          </w:p>
        </w:tc>
      </w:tr>
      <w:tr w:rsidTr="00143D3F">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 xml:space="preserve">UEENEEI149A </w:t>
            </w:r>
          </w:p>
        </w:tc>
        <w:tc>
          <w:tcPr>
            <w:tcW w:w="39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Solve problems in polyphase electronic power control circuits</w:t>
            </w:r>
          </w:p>
        </w:tc>
      </w:tr>
    </w:tbl>
    <w:p w:rsidR="00000000" w:rsidRPr="00143D3F" w:rsidP="00143D3F">
      <w:pPr>
        <w:pStyle w:val="BodyText"/>
      </w:pPr>
    </w:p>
    <w:tbl>
      <w:tblPr>
        <w:tblW w:w="0" w:type="auto"/>
        <w:tblLayout w:type="fixed"/>
        <w:tblCellMar>
          <w:left w:w="62" w:type="dxa"/>
          <w:right w:w="62" w:type="dxa"/>
        </w:tblCellMar>
        <w:tblLook w:val="0000"/>
      </w:tblPr>
      <w:tblGrid>
        <w:gridCol w:w="2610"/>
        <w:gridCol w:w="1170"/>
        <w:gridCol w:w="810"/>
        <w:gridCol w:w="990"/>
        <w:gridCol w:w="900"/>
        <w:gridCol w:w="1260"/>
        <w:gridCol w:w="630"/>
      </w:tblGrid>
      <w:tr w:rsidTr="00A42271">
        <w:tblPrEx>
          <w:tblW w:w="0" w:type="auto"/>
          <w:tblLayout w:type="fixed"/>
          <w:tblCellMar>
            <w:left w:w="62" w:type="dxa"/>
            <w:right w:w="62" w:type="dxa"/>
          </w:tblCellMar>
          <w:tblLook w:val="0000"/>
        </w:tblPrEx>
        <w:trPr>
          <w:trHeight w:val="212"/>
        </w:trPr>
        <w:tc>
          <w:tcPr>
            <w:tcW w:w="261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 xml:space="preserve">4.2) </w:t>
            </w:r>
          </w:p>
        </w:tc>
      </w:tr>
      <w:tr w:rsidTr="00A4227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Participants are best equipped to achieve competency in this unit if they have reading, writing and numeracy skills indicated by the following scales. Description of each scale is given in Volume 2, Part 3 ‘</w:t>
            </w:r>
            <w:r w:rsidRPr="00143D3F">
              <w:t>Literacy and Numeracy’</w:t>
            </w:r>
          </w:p>
        </w:tc>
      </w:tr>
      <w:tr w:rsidTr="00A4227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7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Reading</w:t>
            </w:r>
          </w:p>
        </w:tc>
        <w:tc>
          <w:tcPr>
            <w:tcW w:w="81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4</w:t>
            </w:r>
          </w:p>
        </w:tc>
        <w:tc>
          <w:tcPr>
            <w:tcW w:w="99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Writing</w:t>
            </w: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4</w:t>
            </w:r>
          </w:p>
        </w:tc>
        <w:tc>
          <w:tcPr>
            <w:tcW w:w="12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Numeracy</w:t>
            </w:r>
          </w:p>
        </w:tc>
        <w:tc>
          <w:tcPr>
            <w:tcW w:w="63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4</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6" w:name="O_534343"/>
      <w:bookmarkEnd w:id="6"/>
      <w:r w:rsidRPr="00143D3F">
        <w:t>Employability Skills Information</w:t>
      </w:r>
    </w:p>
    <w:tbl>
      <w:tblPr>
        <w:tblW w:w="0" w:type="auto"/>
        <w:tblLayout w:type="fixed"/>
        <w:tblCellMar>
          <w:left w:w="62" w:type="dxa"/>
          <w:right w:w="62" w:type="dxa"/>
        </w:tblCellMar>
        <w:tblLook w:val="0000"/>
      </w:tblPr>
      <w:tblGrid>
        <w:gridCol w:w="2700"/>
        <w:gridCol w:w="5760"/>
      </w:tblGrid>
      <w:tr w:rsidTr="00A422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 xml:space="preserve">5) </w:t>
            </w:r>
          </w:p>
        </w:tc>
      </w:tr>
      <w:tr w:rsidTr="00A422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This unit contains Employability Skills</w:t>
            </w:r>
          </w:p>
          <w:p w:rsidR="00000000" w:rsidRPr="00143D3F" w:rsidP="00143D3F">
            <w:pPr>
              <w:pStyle w:val="BodyText"/>
            </w:pPr>
            <w:r w:rsidRPr="00143D3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43D3F">
              <w:t>requirements.</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7" w:name="O_534342"/>
      <w:bookmarkEnd w:id="7"/>
      <w:r w:rsidRPr="00143D3F">
        <w:t>Elements and Performance Criteria Pre-Content</w:t>
      </w:r>
    </w:p>
    <w:tbl>
      <w:tblPr>
        <w:tblW w:w="0" w:type="auto"/>
        <w:tblLayout w:type="fixed"/>
        <w:tblCellMar>
          <w:left w:w="62" w:type="dxa"/>
          <w:right w:w="62" w:type="dxa"/>
        </w:tblCellMar>
        <w:tblLook w:val="0000"/>
      </w:tblPr>
      <w:tblGrid>
        <w:gridCol w:w="2700"/>
        <w:gridCol w:w="5760"/>
      </w:tblGrid>
      <w:tr w:rsidTr="00A422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6)</w:t>
            </w:r>
            <w:r w:rsidRPr="00143D3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Performance Criteria describe the required performance needed to demonstrate achievement of the element. Assessment of performance is to be consistent with the Evidence Guide.</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8" w:name="O_534341"/>
      <w:bookmarkEnd w:id="8"/>
      <w:r w:rsidRPr="00143D3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422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PERFORMANCE CRITER</w:t>
            </w:r>
            <w:r w:rsidRPr="00143D3F">
              <w:rPr>
                <w:rStyle w:val="SpecialBold"/>
              </w:rPr>
              <w:t>IA</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1</w:t>
            </w:r>
          </w:p>
        </w:tc>
        <w:tc>
          <w:tcPr>
            <w:tcW w:w="2296" w:type="dxa"/>
            <w:vMerge w:val="restart"/>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1.1</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OHS procedures for a given work area are identified, obtained and understood.</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1.2</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Established OHS risk control measures and procedures in preparation for the work are followed.</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1.3</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Safety hazards that have not previously been identified are documented and risk control measures devised and implemented in consultation with appropriate personnel.</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1.4</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The extent of faults is determined from reports and other documentation and from dis</w:t>
            </w:r>
            <w:r w:rsidRPr="00143D3F">
              <w:t>cussion with appropriate personnel.</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1.5</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Appropriate personnel are consulted to ensure the work is coordinated effectively with others involved on the work site.</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1.6</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Tools, equipment and testing devices needed to diagnose faults are obtained in accordance with established procedures and checked for correct operation and safety.</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w:t>
            </w:r>
          </w:p>
        </w:tc>
        <w:tc>
          <w:tcPr>
            <w:tcW w:w="2296" w:type="dxa"/>
            <w:vMerge w:val="restart"/>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Diagnose and rectify faults.</w:t>
            </w: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2.1</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OHS risk control measures and procedures for carrying ou</w:t>
            </w:r>
            <w:r w:rsidRPr="00143D3F">
              <w:t>t the work are followed.</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2.2</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The need to test or measure live is determined in strict accordance with OHS requirements and when necessary conducted within established safety procedures.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2.3</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Circuits/machines/plant are checked as being isolated where necessary in strict accordance OHS requirements and procedures.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2.4</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Logical diagnostic methods are applied to diagnose a.c. motor control system faults employing measurements and estimations of</w:t>
            </w:r>
            <w:r w:rsidRPr="00143D3F">
              <w:t xml:space="preserve"> system operating parameters referenced to system operational requirements.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2.5</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Suspected fault scenarios are tested as being the source of system problems.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2.6</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Causes of the faults are identified and appropriately competent persons are engaged to rectify the fault where it is outside the scope of the control system.</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2.7</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Faults in the control components of the system are rectified to raise a.c. motor control sy</w:t>
            </w:r>
            <w:r w:rsidRPr="00143D3F">
              <w:t>stem to its operation standard.</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2.8</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System is tested to verify that the system operates as intended and to specified requirements.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2.9</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Decisions for dealing with unexpected situations are made from discussions with appropriate persons and job specifi</w:t>
            </w:r>
            <w:r w:rsidRPr="00143D3F">
              <w:t>cations and requirements.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2.10</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Methods for dealing with unexpected situations are selected on the basis of safety and specified work outcomes.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2.11</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Diagnosis and rectification activities are carried out efficiently without unnecessary waste of materials or damage to apparatus and the surrounding environment or services and using sustainable energy practices.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3</w:t>
            </w:r>
          </w:p>
        </w:tc>
        <w:tc>
          <w:tcPr>
            <w:tcW w:w="2296"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 xml:space="preserve">Complete and report fault diagnosis and </w:t>
            </w:r>
            <w:r w:rsidRPr="00143D3F">
              <w:t>rectification activities.</w:t>
            </w: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3.1</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OHS work completion risk control measures and procedures are followed.</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3.2</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Work site is made safe in accordance with established safety procedures.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3.3</w:t>
            </w:r>
          </w:p>
        </w:tc>
        <w:tc>
          <w:tcPr>
            <w:tcW w:w="48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Rectification of faults is documented in accordance with established</w:t>
            </w:r>
            <w:r w:rsidRPr="00143D3F">
              <w:t xml:space="preserve"> procedures.</w:t>
            </w:r>
          </w:p>
        </w:tc>
      </w:tr>
      <w:tr w:rsidTr="00A4227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3.4</w:t>
            </w:r>
          </w:p>
        </w:tc>
        <w:tc>
          <w:tcPr>
            <w:tcW w:w="48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Appropriate person or persons notified, in accordance with established procedures, that the system faults have been rectified.</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9" w:name="O_534340"/>
      <w:bookmarkEnd w:id="9"/>
      <w:r w:rsidRPr="00143D3F">
        <w:t>Required Skills and Knowledge</w:t>
      </w:r>
    </w:p>
    <w:tbl>
      <w:tblPr>
        <w:tblW w:w="0" w:type="auto"/>
        <w:tblLayout w:type="fixed"/>
        <w:tblCellMar>
          <w:left w:w="62" w:type="dxa"/>
          <w:right w:w="62" w:type="dxa"/>
        </w:tblCellMar>
        <w:tblLook w:val="0000"/>
      </w:tblPr>
      <w:tblGrid>
        <w:gridCol w:w="1620"/>
        <w:gridCol w:w="6840"/>
      </w:tblGrid>
      <w:tr w:rsidTr="00A4227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REQUIRED SKILLS AND KNOWLEDGE</w:t>
            </w:r>
          </w:p>
        </w:tc>
      </w:tr>
      <w:tr w:rsidTr="00A42271">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8)</w:t>
            </w:r>
            <w:r w:rsidRPr="00143D3F">
              <w:t xml:space="preserve"> This describes the required knowledge and skills and their level, required for this unit.</w:t>
            </w:r>
          </w:p>
          <w:p w:rsidR="00000000" w:rsidRPr="00143D3F" w:rsidP="00143D3F">
            <w:pPr>
              <w:pStyle w:val="BodyText"/>
            </w:pPr>
            <w:r w:rsidRPr="00143D3F">
              <w:t>Evidence shall show that knowledge has been acquired of safe working practices and diagnosing and rectifying faults in d.c. motor drive systems.</w:t>
            </w:r>
          </w:p>
          <w:p w:rsidR="00000000" w:rsidP="00143D3F">
            <w:pPr>
              <w:pStyle w:val="BodyText"/>
              <w:rPr>
                <w:lang w:val="en-NZ"/>
              </w:rPr>
            </w:pPr>
            <w:r w:rsidRPr="00143D3F">
              <w:t>All knowledge and skills detailed in this unit should be contextualised to current industry practices and technologies.</w:t>
            </w:r>
          </w:p>
        </w:tc>
      </w:tr>
      <w:tr w:rsidTr="00A42271">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KS01-EI146A</w:t>
            </w:r>
          </w:p>
        </w:tc>
        <w:tc>
          <w:tcPr>
            <w:tcW w:w="684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Variable speed drives for d.c. motors</w:t>
            </w:r>
          </w:p>
        </w:tc>
      </w:tr>
      <w:tr w:rsidTr="00A4227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Evidence shall show an understanding of d.c. variable speed drive to an extent ind</w:t>
            </w:r>
            <w:r w:rsidRPr="00143D3F">
              <w:t>icated by the following aspects:</w:t>
            </w:r>
          </w:p>
        </w:tc>
      </w:tr>
      <w:tr w:rsidTr="00A4227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T1</w:t>
            </w:r>
          </w:p>
        </w:tc>
        <w:tc>
          <w:tcPr>
            <w:tcW w:w="6840" w:type="dxa"/>
            <w:tcBorders>
              <w:top w:val="nil"/>
              <w:left w:val="nil"/>
              <w:bottom w:val="nil"/>
              <w:right w:val="nil"/>
            </w:tcBorders>
            <w:tcMar>
              <w:top w:w="0" w:type="dxa"/>
              <w:left w:w="62" w:type="dxa"/>
              <w:bottom w:w="0" w:type="dxa"/>
              <w:right w:w="62" w:type="dxa"/>
            </w:tcMar>
          </w:tcPr>
          <w:p w:rsidR="00000000" w:rsidP="00143D3F">
            <w:pPr>
              <w:pStyle w:val="ListBullet2"/>
              <w:rPr>
                <w:lang w:val="en-NZ"/>
              </w:rPr>
            </w:pPr>
            <w:r w:rsidRPr="00143D3F">
              <w:t>Methods and operating principles</w:t>
            </w:r>
          </w:p>
        </w:tc>
      </w:tr>
      <w:tr w:rsidTr="00A4227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T2</w:t>
            </w:r>
          </w:p>
        </w:tc>
        <w:tc>
          <w:tcPr>
            <w:tcW w:w="6840" w:type="dxa"/>
            <w:tcBorders>
              <w:top w:val="nil"/>
              <w:left w:val="nil"/>
              <w:bottom w:val="nil"/>
              <w:right w:val="nil"/>
            </w:tcBorders>
            <w:tcMar>
              <w:top w:w="0" w:type="dxa"/>
              <w:left w:w="62" w:type="dxa"/>
              <w:bottom w:w="0" w:type="dxa"/>
              <w:right w:w="62" w:type="dxa"/>
            </w:tcMar>
          </w:tcPr>
          <w:p w:rsidR="00000000" w:rsidP="00143D3F">
            <w:pPr>
              <w:pStyle w:val="ListBullet2"/>
              <w:rPr>
                <w:lang w:val="en-NZ"/>
              </w:rPr>
            </w:pPr>
            <w:r w:rsidRPr="00143D3F">
              <w:t>Installation requirements</w:t>
            </w:r>
          </w:p>
        </w:tc>
      </w:tr>
      <w:tr w:rsidTr="00A4227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T3</w:t>
            </w:r>
          </w:p>
        </w:tc>
        <w:tc>
          <w:tcPr>
            <w:tcW w:w="6840" w:type="dxa"/>
            <w:tcBorders>
              <w:top w:val="nil"/>
              <w:left w:val="nil"/>
              <w:bottom w:val="nil"/>
              <w:right w:val="nil"/>
            </w:tcBorders>
            <w:tcMar>
              <w:top w:w="0" w:type="dxa"/>
              <w:left w:w="62" w:type="dxa"/>
              <w:bottom w:w="0" w:type="dxa"/>
              <w:right w:w="62" w:type="dxa"/>
            </w:tcMar>
          </w:tcPr>
          <w:p w:rsidR="00000000" w:rsidP="00143D3F">
            <w:pPr>
              <w:pStyle w:val="ListBullet2"/>
              <w:rPr>
                <w:lang w:val="en-NZ"/>
              </w:rPr>
            </w:pPr>
            <w:r w:rsidRPr="00143D3F">
              <w:t>Filtering</w:t>
            </w:r>
          </w:p>
        </w:tc>
      </w:tr>
      <w:tr w:rsidTr="00A42271">
        <w:tblPrEx>
          <w:tblW w:w="0" w:type="auto"/>
          <w:tblLayout w:type="fixed"/>
          <w:tblCellMar>
            <w:left w:w="62" w:type="dxa"/>
            <w:right w:w="62" w:type="dxa"/>
          </w:tblCellMar>
          <w:tblLook w:val="0000"/>
        </w:tblPrEx>
        <w:trPr>
          <w:trHeight w:val="361"/>
        </w:trPr>
        <w:tc>
          <w:tcPr>
            <w:tcW w:w="16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T4</w:t>
            </w:r>
          </w:p>
        </w:tc>
        <w:tc>
          <w:tcPr>
            <w:tcW w:w="6840" w:type="dxa"/>
            <w:tcBorders>
              <w:top w:val="nil"/>
              <w:left w:val="nil"/>
              <w:bottom w:val="nil"/>
              <w:right w:val="nil"/>
            </w:tcBorders>
            <w:tcMar>
              <w:top w:w="0" w:type="dxa"/>
              <w:left w:w="62" w:type="dxa"/>
              <w:bottom w:w="0" w:type="dxa"/>
              <w:right w:w="62" w:type="dxa"/>
            </w:tcMar>
          </w:tcPr>
          <w:p w:rsidR="00000000" w:rsidP="00143D3F">
            <w:pPr>
              <w:pStyle w:val="ListBullet2"/>
              <w:rPr>
                <w:lang w:val="en-NZ"/>
              </w:rPr>
            </w:pPr>
            <w:r w:rsidRPr="00143D3F">
              <w:t>Performance characteristics</w:t>
            </w:r>
          </w:p>
        </w:tc>
      </w:tr>
      <w:tr w:rsidTr="00A42271">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T5</w:t>
            </w:r>
          </w:p>
        </w:tc>
        <w:tc>
          <w:tcPr>
            <w:tcW w:w="6840" w:type="dxa"/>
            <w:tcBorders>
              <w:top w:val="nil"/>
              <w:left w:val="nil"/>
              <w:bottom w:val="nil"/>
              <w:right w:val="nil"/>
            </w:tcBorders>
            <w:tcMar>
              <w:top w:w="0" w:type="dxa"/>
              <w:left w:w="62" w:type="dxa"/>
              <w:bottom w:w="0" w:type="dxa"/>
              <w:right w:w="62" w:type="dxa"/>
            </w:tcMar>
          </w:tcPr>
          <w:p w:rsidR="00000000" w:rsidP="00143D3F">
            <w:pPr>
              <w:pStyle w:val="ListBullet2"/>
              <w:rPr>
                <w:lang w:val="en-NZ"/>
              </w:rPr>
            </w:pPr>
            <w:r w:rsidRPr="00143D3F">
              <w:t>Set up and commissioning</w:t>
            </w:r>
          </w:p>
        </w:tc>
      </w:tr>
      <w:tr w:rsidTr="00A42271">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T6</w:t>
            </w:r>
          </w:p>
        </w:tc>
        <w:tc>
          <w:tcPr>
            <w:tcW w:w="6840" w:type="dxa"/>
            <w:tcBorders>
              <w:top w:val="nil"/>
              <w:left w:val="nil"/>
              <w:bottom w:val="nil"/>
              <w:right w:val="nil"/>
            </w:tcBorders>
            <w:tcMar>
              <w:top w:w="0" w:type="dxa"/>
              <w:left w:w="62" w:type="dxa"/>
              <w:bottom w:w="0" w:type="dxa"/>
              <w:right w:w="62" w:type="dxa"/>
            </w:tcMar>
          </w:tcPr>
          <w:p w:rsidR="00000000" w:rsidRPr="00143D3F" w:rsidP="00143D3F">
            <w:pPr>
              <w:pStyle w:val="ListBullet2"/>
            </w:pPr>
            <w:r w:rsidRPr="00143D3F">
              <w:t>Common faults their symptoms and causes.</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10" w:name="O_534339"/>
      <w:bookmarkEnd w:id="10"/>
      <w:r w:rsidRPr="00143D3F">
        <w:t>Evidence Guide</w:t>
      </w:r>
    </w:p>
    <w:tbl>
      <w:tblPr>
        <w:tblW w:w="0" w:type="auto"/>
        <w:tblLayout w:type="fixed"/>
        <w:tblCellMar>
          <w:left w:w="62" w:type="dxa"/>
          <w:right w:w="62" w:type="dxa"/>
        </w:tblCellMar>
        <w:tblLook w:val="0000"/>
      </w:tblPr>
      <w:tblGrid>
        <w:gridCol w:w="8460"/>
      </w:tblGrid>
      <w:tr w:rsidTr="00A422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EVIDENCE GUIDE</w:t>
            </w:r>
          </w:p>
        </w:tc>
      </w:tr>
      <w:tr w:rsidTr="00A422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9)</w:t>
            </w:r>
            <w:r w:rsidRPr="00143D3F">
              <w:t xml:space="preserve"> The evidence guide provides advice on assessment and must be read in conjunction with the Performance Criteria, Required Skills and Knowledge, the Range Statement and the Assessment Guidelines for this Training Package. </w:t>
            </w:r>
          </w:p>
          <w:p w:rsidR="00000000" w:rsidRPr="00143D3F" w:rsidP="00143D3F">
            <w:pPr>
              <w:pStyle w:val="BodyText"/>
            </w:pPr>
            <w:r w:rsidRPr="00143D3F">
              <w:t>T</w:t>
            </w:r>
            <w:r w:rsidRPr="00143D3F">
              <w:t>he Evidence Guide forms an integral part of this unit. It must be used in conjunction with all parts of this unit and performed in accordance with the Assessment Guidelines of this Training Package.</w:t>
            </w:r>
          </w:p>
        </w:tc>
      </w:tr>
    </w:tbl>
    <w:p w:rsidR="00000000" w:rsidRPr="00143D3F" w:rsidP="00143D3F">
      <w:pPr>
        <w:pStyle w:val="BodyText"/>
      </w:pPr>
    </w:p>
    <w:tbl>
      <w:tblPr>
        <w:tblW w:w="0" w:type="auto"/>
        <w:tblLayout w:type="fixed"/>
        <w:tblCellMar>
          <w:left w:w="62" w:type="dxa"/>
          <w:right w:w="62" w:type="dxa"/>
        </w:tblCellMar>
        <w:tblLook w:val="0000"/>
      </w:tblPr>
      <w:tblGrid>
        <w:gridCol w:w="1890"/>
        <w:gridCol w:w="6570"/>
      </w:tblGrid>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9.1)</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Longitudinal competency development approaches to assessment, such as Profiling, require data to be reliably gathered in a form that can be consistently interpreted over time. This approach is best utilised in Apprenticeship programs and reduces assessment</w:t>
            </w:r>
            <w:r w:rsidRPr="00143D3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143D3F">
              <w:t>tency in a realistically simulated work environment. It is recognised that, in some circumstances, assessment in part or full can occur outside the workplace. However, it must be in accordance with industry and regulatory policy.</w:t>
            </w:r>
          </w:p>
          <w:p w:rsidR="00000000" w:rsidRPr="00143D3F" w:rsidP="00143D3F">
            <w:pPr>
              <w:pStyle w:val="BodyText"/>
            </w:pPr>
            <w:r w:rsidRPr="00143D3F">
              <w:t>Methods chosen for a parti</w:t>
            </w:r>
            <w:r w:rsidRPr="00143D3F">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143D3F">
              <w:t>the critical nature of the competencies being assessed.</w:t>
            </w:r>
          </w:p>
          <w:p w:rsidR="00000000" w:rsidRPr="00143D3F" w:rsidP="00143D3F">
            <w:pPr>
              <w:pStyle w:val="BodyText"/>
            </w:pPr>
            <w:r w:rsidRPr="00143D3F">
              <w:t>The critical safety nature of working with electricity, electrical equipment, gas or any other hazardous substance/material carries risk in deeming a person competent. Sources of evidence need to be ‘</w:t>
            </w:r>
            <w:r w:rsidRPr="00143D3F">
              <w:t>rich’ in nature to minimise error in judgment.</w:t>
            </w:r>
          </w:p>
          <w:p w:rsidR="00000000" w:rsidRPr="00143D3F" w:rsidP="00143D3F">
            <w:pPr>
              <w:pStyle w:val="BodyText"/>
            </w:pPr>
            <w:r w:rsidRPr="00143D3F">
              <w:t xml:space="preserve">Activities associated with normal every day work have a bearing on the decision as to how much and how detailed the data gathered will contribute to its ‘richness’. Some skills are more critical to safety and </w:t>
            </w:r>
            <w:r w:rsidRPr="00143D3F">
              <w:t>operational requirements while the same skills may be more or less frequently practised. These points are raised for the assessors to consider when choosing an assessment method and developing assessment instruments. Sample assessment instruments are inclu</w:t>
            </w:r>
            <w:r w:rsidRPr="00143D3F">
              <w:t>ded for Assessors in the Assessment Guidelines of this Training Package.</w:t>
            </w:r>
          </w:p>
        </w:tc>
      </w:tr>
    </w:tbl>
    <w:p w:rsidR="00000000" w:rsidRPr="00143D3F" w:rsidP="00143D3F">
      <w:pPr>
        <w:pStyle w:val="BodyText"/>
      </w:pPr>
    </w:p>
    <w:tbl>
      <w:tblPr>
        <w:tblW w:w="0" w:type="auto"/>
        <w:tblLayout w:type="fixed"/>
        <w:tblCellMar>
          <w:left w:w="62" w:type="dxa"/>
          <w:right w:w="62" w:type="dxa"/>
        </w:tblCellMar>
        <w:tblLook w:val="0000"/>
      </w:tblPr>
      <w:tblGrid>
        <w:gridCol w:w="1890"/>
        <w:gridCol w:w="1350"/>
        <w:gridCol w:w="5220"/>
      </w:tblGrid>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9.2)</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Before the critical aspects of evidence are considered all prerequisites shall be met.</w:t>
            </w:r>
          </w:p>
          <w:p w:rsidR="00000000" w:rsidRPr="00143D3F" w:rsidP="00143D3F">
            <w:pPr>
              <w:pStyle w:val="BodyText"/>
            </w:pPr>
            <w:r w:rsidRPr="00143D3F">
              <w:t xml:space="preserve">Evidence </w:t>
            </w:r>
            <w:r w:rsidRPr="00143D3F">
              <w:t>for competence in this unit shall be considered holistically.  Each element and associated performance criteria shall be demonstrated on at least two occasions in accordance with the ‘Assessment Guidelines – UEE11’.  Evidence shall also comprise:</w:t>
            </w:r>
          </w:p>
          <w:p w:rsidR="00000000" w:rsidRPr="00143D3F" w:rsidP="00143D3F">
            <w:pPr>
              <w:pStyle w:val="ListBullet"/>
            </w:pPr>
            <w:r w:rsidRPr="00143D3F">
              <w:t>A representative body of work performance demonstrated within the timeframes typically expected of the discipline, work function and industrial environment. In particular this shall incorporate evidence that shows a candidate is able to:</w:t>
            </w:r>
          </w:p>
          <w:p w:rsidR="00000000" w:rsidRPr="00143D3F" w:rsidP="00143D3F">
            <w:pPr>
              <w:pStyle w:val="ListBullet2"/>
            </w:pPr>
            <w:r w:rsidRPr="00143D3F">
              <w:t>Implement Occupat</w:t>
            </w:r>
            <w:r w:rsidRPr="00143D3F">
              <w:t>ional Health and Safety workplace procedures and practices including the use of risk control measures as specified in the performance criteria and range statement</w:t>
            </w:r>
          </w:p>
          <w:p w:rsidR="00000000" w:rsidRPr="00143D3F" w:rsidP="00143D3F">
            <w:pPr>
              <w:pStyle w:val="ListBullet2"/>
            </w:pPr>
            <w:r w:rsidRPr="00143D3F">
              <w:t>Apply sustainable energy principles and practices as specified in the performance criteria an</w:t>
            </w:r>
            <w:r w:rsidRPr="00143D3F">
              <w:t>d range statement</w:t>
            </w:r>
          </w:p>
          <w:p w:rsidR="00000000" w:rsidRPr="00143D3F" w:rsidP="00143D3F">
            <w:pPr>
              <w:pStyle w:val="ListBullet2"/>
            </w:pPr>
            <w:r w:rsidRPr="00143D3F">
              <w:t xml:space="preserve">Demonstrate an understanding of the required skills and knowledge as described in this unit. It may be required by some jurisdictions that RTOs provide a percentile graded result for the purpose of regulatory or licensing requirements.   </w:t>
            </w:r>
          </w:p>
          <w:p w:rsidR="00000000" w:rsidRPr="00143D3F" w:rsidP="00143D3F">
            <w:pPr>
              <w:pStyle w:val="ListBullet2"/>
            </w:pPr>
            <w:r w:rsidRPr="00143D3F">
              <w:t>Demonstrate an appropriate level of skills enabling employment</w:t>
            </w:r>
          </w:p>
          <w:p w:rsidR="00000000" w:rsidRPr="00143D3F" w:rsidP="00143D3F">
            <w:pPr>
              <w:pStyle w:val="ListBullet2"/>
            </w:pPr>
            <w:r w:rsidRPr="00143D3F">
              <w:t>Conduct work observing the relevant Anti Discrimination legislation, regulations, polices and workplace procedures</w:t>
            </w:r>
          </w:p>
          <w:p w:rsidR="00000000" w:rsidRPr="00143D3F" w:rsidP="00143D3F">
            <w:pPr>
              <w:pStyle w:val="ListBullet"/>
            </w:pPr>
            <w:r w:rsidRPr="00143D3F">
              <w:t>Demonstrated consistent performance across a representative range of context</w:t>
            </w:r>
            <w:r w:rsidRPr="00143D3F">
              <w:t>s from the prescribed items below:</w:t>
            </w:r>
          </w:p>
          <w:p w:rsidR="00000000" w:rsidP="00143D3F">
            <w:pPr>
              <w:pStyle w:val="ListBullet2"/>
              <w:rPr>
                <w:lang w:val="en-NZ"/>
              </w:rPr>
            </w:pPr>
            <w:r w:rsidRPr="00143D3F">
              <w:t>Diagnosing and rectifying faults in d.c. motor drive systems as described in 8) and including:</w:t>
            </w:r>
          </w:p>
        </w:tc>
      </w:tr>
      <w:tr w:rsidTr="00A42271">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A</w:t>
            </w:r>
          </w:p>
        </w:tc>
        <w:tc>
          <w:tcPr>
            <w:tcW w:w="52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Applying logical diagnostic methods.</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B</w:t>
            </w:r>
          </w:p>
        </w:tc>
        <w:tc>
          <w:tcPr>
            <w:tcW w:w="52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Using fault scenarios to test the cause of system faults.</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C</w:t>
            </w:r>
          </w:p>
        </w:tc>
        <w:tc>
          <w:tcPr>
            <w:tcW w:w="52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Identifying faults and competency needed to rectify them.</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D</w:t>
            </w:r>
          </w:p>
        </w:tc>
        <w:tc>
          <w:tcPr>
            <w:tcW w:w="52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Rectifying faults in system controls.</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E</w:t>
            </w:r>
          </w:p>
        </w:tc>
        <w:tc>
          <w:tcPr>
            <w:tcW w:w="52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Verifying that the system operates correctly.</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F</w:t>
            </w:r>
          </w:p>
        </w:tc>
        <w:tc>
          <w:tcPr>
            <w:tcW w:w="52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Documenting fault rectification.</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G</w:t>
            </w:r>
          </w:p>
        </w:tc>
        <w:tc>
          <w:tcPr>
            <w:tcW w:w="522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Dealing with unplanned events by drawing on required skills and k</w:t>
            </w:r>
            <w:r w:rsidRPr="00143D3F">
              <w:t>nowledge to provide appropriate solutions incorporated in the holistic assessment with the above listed items.</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 xml:space="preserve">Note: </w:t>
            </w:r>
          </w:p>
          <w:p w:rsidR="00000000" w:rsidRPr="00143D3F" w:rsidP="00143D3F">
            <w:pPr>
              <w:pStyle w:val="BodyText"/>
            </w:pPr>
            <w:r w:rsidRPr="00143D3F">
              <w:t>Successful completion of relevant vendor training may be used to contribute to evidence on which competency is deemed. In these cases th</w:t>
            </w:r>
            <w:r w:rsidRPr="00143D3F">
              <w:t>e alignment of outcomes of vendor training with performance criteria and critical aspects of evidence shall be clearly identified.</w:t>
            </w:r>
          </w:p>
        </w:tc>
      </w:tr>
    </w:tbl>
    <w:p w:rsidR="00000000" w:rsidRPr="00143D3F" w:rsidP="00143D3F">
      <w:pPr>
        <w:pStyle w:val="BodyText"/>
      </w:pPr>
    </w:p>
    <w:tbl>
      <w:tblPr>
        <w:tblW w:w="0" w:type="auto"/>
        <w:tblLayout w:type="fixed"/>
        <w:tblCellMar>
          <w:left w:w="62" w:type="dxa"/>
          <w:right w:w="62" w:type="dxa"/>
        </w:tblCellMar>
        <w:tblLook w:val="0000"/>
      </w:tblPr>
      <w:tblGrid>
        <w:gridCol w:w="1890"/>
        <w:gridCol w:w="6570"/>
      </w:tblGrid>
      <w:tr w:rsidTr="00A4227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9.3)</w:t>
            </w:r>
          </w:p>
        </w:tc>
      </w:tr>
      <w:tr w:rsidTr="00A4227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This</w:t>
            </w:r>
            <w:r w:rsidRPr="00143D3F">
              <w:t xml:space="preserve"> unit should be assessed as it relates to normal work practice using procedures, information and resources typical of a workplace. This should include:</w:t>
            </w:r>
          </w:p>
          <w:p w:rsidR="00000000" w:rsidRPr="00143D3F" w:rsidP="00143D3F">
            <w:pPr>
              <w:pStyle w:val="ListBullet2"/>
            </w:pPr>
            <w:r w:rsidRPr="00143D3F">
              <w:t>OHS policy and work procedures and instructions.</w:t>
            </w:r>
          </w:p>
          <w:p w:rsidR="00000000" w:rsidRPr="00143D3F" w:rsidP="00143D3F">
            <w:pPr>
              <w:pStyle w:val="ListBullet2"/>
            </w:pPr>
            <w:r w:rsidRPr="00143D3F">
              <w:t>Suitable work environment, facilities, equipment and materials to undertake actual work as prescribed by this unit.</w:t>
            </w:r>
          </w:p>
          <w:p w:rsidR="00000000" w:rsidRPr="00143D3F" w:rsidP="00143D3F">
            <w:pPr>
              <w:pStyle w:val="BodyText"/>
            </w:pPr>
            <w:r w:rsidRPr="00143D3F">
              <w:t>These should be part of the formal learning/assessment environment.</w:t>
            </w:r>
          </w:p>
          <w:p w:rsidR="00000000" w:rsidRPr="00143D3F" w:rsidP="00143D3F">
            <w:pPr>
              <w:pStyle w:val="BodyText"/>
            </w:pPr>
            <w:r w:rsidRPr="00143D3F">
              <w:t>Note:</w:t>
            </w:r>
          </w:p>
          <w:p w:rsidR="00000000" w:rsidRPr="00143D3F" w:rsidP="00143D3F">
            <w:pPr>
              <w:pStyle w:val="BodyText"/>
            </w:pPr>
            <w:r w:rsidRPr="00143D3F">
              <w:t>Where simulation is considered a suitable strategy for assessment,</w:t>
            </w:r>
            <w:r w:rsidRPr="00143D3F">
              <w:t xml:space="preserve"> conditions must be authentic and as far as possible reproduce and replicate the workplace and be consistent with the approved industry simulation policy.</w:t>
            </w:r>
          </w:p>
          <w:p w:rsidR="00000000" w:rsidRPr="00143D3F" w:rsidP="00143D3F">
            <w:pPr>
              <w:pStyle w:val="BodyText"/>
            </w:pPr>
            <w:r w:rsidRPr="00143D3F">
              <w:t>The resources used for assessment should reflect current industry practices in relation to diagnosing</w:t>
            </w:r>
            <w:r w:rsidRPr="00143D3F">
              <w:t xml:space="preserve"> and rectifying faults in d.c. motor drive systems.</w:t>
            </w:r>
          </w:p>
        </w:tc>
      </w:tr>
    </w:tbl>
    <w:p w:rsidR="00000000" w:rsidRPr="00143D3F" w:rsidP="00143D3F">
      <w:pPr>
        <w:pStyle w:val="BodyText"/>
      </w:pPr>
    </w:p>
    <w:tbl>
      <w:tblPr>
        <w:tblW w:w="0" w:type="auto"/>
        <w:tblLayout w:type="fixed"/>
        <w:tblCellMar>
          <w:left w:w="62" w:type="dxa"/>
          <w:right w:w="62" w:type="dxa"/>
        </w:tblCellMar>
        <w:tblLook w:val="0000"/>
      </w:tblPr>
      <w:tblGrid>
        <w:gridCol w:w="1890"/>
        <w:gridCol w:w="6570"/>
      </w:tblGrid>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9.4)</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This unit shall be assessed by methods given in Volume 1, Part 3 ‘Assessment Guidelines’.</w:t>
            </w:r>
          </w:p>
          <w:p w:rsidR="00000000" w:rsidRPr="00143D3F" w:rsidP="00143D3F">
            <w:pPr>
              <w:pStyle w:val="BodyText"/>
            </w:pPr>
            <w:r w:rsidRPr="00143D3F">
              <w:t xml:space="preserve">Note: </w:t>
            </w:r>
          </w:p>
          <w:p w:rsidR="00000000" w:rsidRPr="00143D3F" w:rsidP="00143D3F">
            <w:pPr>
              <w:pStyle w:val="BodyText"/>
            </w:pPr>
            <w:r w:rsidRPr="00143D3F">
              <w:t>Competent performance with inherent safe working practices is expected in the industry to which this unit applies. This requires assessment in a structured environment which is primarily intended for learning/assessment and incorporates all necessary equip</w:t>
            </w:r>
            <w:r w:rsidRPr="00143D3F">
              <w:t>ment and facilities for learners to develop and demonstrate the required skills and knowledge described in this unit.</w:t>
            </w:r>
          </w:p>
        </w:tc>
      </w:tr>
    </w:tbl>
    <w:p w:rsidR="00000000" w:rsidRPr="00143D3F" w:rsidP="00143D3F">
      <w:pPr>
        <w:pStyle w:val="BodyText"/>
      </w:pPr>
    </w:p>
    <w:tbl>
      <w:tblPr>
        <w:tblW w:w="0" w:type="auto"/>
        <w:tblLayout w:type="fixed"/>
        <w:tblCellMar>
          <w:left w:w="62" w:type="dxa"/>
          <w:right w:w="62" w:type="dxa"/>
        </w:tblCellMar>
        <w:tblLook w:val="0000"/>
      </w:tblPr>
      <w:tblGrid>
        <w:gridCol w:w="1890"/>
        <w:gridCol w:w="6570"/>
      </w:tblGrid>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9.5)</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t>There are no concurrent assessment recommendations for this unit.</w:t>
            </w:r>
          </w:p>
        </w:tc>
      </w:tr>
      <w:tr w:rsidTr="00A422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The c</w:t>
            </w:r>
            <w:r w:rsidRPr="00143D3F">
              <w:t>ritical aspects of occupational health and safety covered in unit UEENEEE101A and other discipline specific occupational health and safety units shall be incorporated in relation to this unit.</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11" w:name="O_534338"/>
      <w:bookmarkEnd w:id="11"/>
      <w:r w:rsidRPr="00143D3F">
        <w:t>Range Statement</w:t>
      </w:r>
    </w:p>
    <w:tbl>
      <w:tblPr>
        <w:tblW w:w="0" w:type="auto"/>
        <w:tblLayout w:type="fixed"/>
        <w:tblCellMar>
          <w:left w:w="62" w:type="dxa"/>
          <w:right w:w="62" w:type="dxa"/>
        </w:tblCellMar>
        <w:tblLook w:val="0000"/>
      </w:tblPr>
      <w:tblGrid>
        <w:gridCol w:w="8460"/>
      </w:tblGrid>
      <w:tr w:rsidTr="00A422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RANGE STATEMENT</w:t>
            </w:r>
          </w:p>
        </w:tc>
      </w:tr>
      <w:tr w:rsidTr="00A422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10)</w:t>
            </w:r>
            <w:r w:rsidRPr="00143D3F">
              <w:t xml:space="preserve"> This relates to the unit as a whole providing the range of contexts and conditions to which the performance criteria apply. It allows for different work environments and situations that will affect performance.</w:t>
            </w:r>
          </w:p>
          <w:p w:rsidR="00000000" w:rsidRPr="00143D3F" w:rsidP="00143D3F">
            <w:pPr>
              <w:pStyle w:val="BodyText"/>
            </w:pPr>
            <w:r w:rsidRPr="00143D3F">
              <w:t xml:space="preserve">This unit shall be demonstrated in relation </w:t>
            </w:r>
            <w:r w:rsidRPr="00143D3F">
              <w:t>to diagnosing and rectifying at least four faults in a d.c. motor control system.</w:t>
            </w:r>
          </w:p>
          <w:p w:rsidR="00000000" w:rsidRPr="00143D3F" w:rsidP="00143D3F">
            <w:pPr>
              <w:pStyle w:val="BodyText"/>
            </w:pPr>
            <w:r w:rsidRPr="00143D3F">
              <w:t>Generic terms used throughout this Vocational Standard shall be regarded as part of the Range Statement in which competency is demonstrated. The definition of these and other</w:t>
            </w:r>
            <w:r w:rsidRPr="00143D3F">
              <w:t xml:space="preserve"> terms that apply are given in Volume 2, Part 2.1.</w:t>
            </w:r>
          </w:p>
        </w:tc>
      </w:tr>
    </w:tbl>
    <w:p w:rsidR="00000000" w:rsidRPr="00143D3F" w:rsidP="00143D3F">
      <w:pPr>
        <w:pStyle w:val="BodyText"/>
      </w:pPr>
    </w:p>
    <w:p w:rsidR="00000000" w:rsidRPr="00143D3F" w:rsidP="00143D3F">
      <w:pPr>
        <w:pStyle w:val="AllowPageBreak"/>
      </w:pPr>
    </w:p>
    <w:p w:rsidR="00000000" w:rsidRPr="00143D3F" w:rsidP="00143D3F">
      <w:pPr>
        <w:pStyle w:val="Heading1"/>
      </w:pPr>
      <w:bookmarkStart w:id="12" w:name="O_534337"/>
      <w:bookmarkEnd w:id="12"/>
      <w:r w:rsidRPr="00143D3F">
        <w:t>Unit Sector(s)</w:t>
      </w:r>
    </w:p>
    <w:p w:rsidR="00000000" w:rsidRPr="00143D3F" w:rsidP="00143D3F">
      <w:pPr>
        <w:pStyle w:val="BodyText"/>
      </w:pPr>
      <w:r w:rsidRPr="00143D3F">
        <w:t>Not applicable.</w:t>
      </w:r>
    </w:p>
    <w:p w:rsidR="00000000" w:rsidRPr="00143D3F" w:rsidP="00143D3F">
      <w:pPr>
        <w:pStyle w:val="AllowPageBreak"/>
      </w:pPr>
    </w:p>
    <w:p w:rsidR="00000000" w:rsidRPr="00143D3F" w:rsidP="00143D3F">
      <w:pPr>
        <w:pStyle w:val="Heading1"/>
      </w:pPr>
      <w:bookmarkStart w:id="13" w:name="O_534336"/>
      <w:bookmarkEnd w:id="13"/>
      <w:r w:rsidRPr="00143D3F">
        <w:t>Competency Field</w:t>
      </w:r>
    </w:p>
    <w:tbl>
      <w:tblPr>
        <w:tblW w:w="0" w:type="auto"/>
        <w:tblLayout w:type="fixed"/>
        <w:tblCellMar>
          <w:left w:w="62" w:type="dxa"/>
          <w:right w:w="62" w:type="dxa"/>
        </w:tblCellMar>
        <w:tblLook w:val="0000"/>
      </w:tblPr>
      <w:tblGrid>
        <w:gridCol w:w="2700"/>
        <w:gridCol w:w="5760"/>
      </w:tblGrid>
      <w:tr w:rsidTr="00A422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43D3F">
            <w:pPr>
              <w:pStyle w:val="BodyText"/>
              <w:rPr>
                <w:lang w:val="en-NZ"/>
              </w:rPr>
            </w:pPr>
            <w:r w:rsidRPr="00143D3F">
              <w:rPr>
                <w:rStyle w:val="SpecialBold"/>
              </w:rPr>
              <w:t xml:space="preserve">11) </w:t>
            </w:r>
          </w:p>
        </w:tc>
      </w:tr>
      <w:tr w:rsidTr="00A422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43D3F" w:rsidP="00143D3F">
            <w:pPr>
              <w:pStyle w:val="BodyText"/>
            </w:pPr>
            <w:r w:rsidRPr="00143D3F">
              <w:t>Instrumentation and control</w:t>
            </w:r>
          </w:p>
        </w:tc>
      </w:tr>
    </w:tbl>
    <w:p w:rsidR="00000000" w:rsidRPr="00143D3F" w:rsidP="00143D3F">
      <w:pPr>
        <w:pStyle w:val="BodyText"/>
      </w:pPr>
    </w:p>
    <w:p w:rsidR="00000000" w:rsidRPr="00143D3F" w:rsidP="00143D3F"/>
    <w:sectPr w:rsidSect="00143D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3F" w:rsidRPr="00A42271" w:rsidP="00A422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71" w:rsidP="00143D3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2271" w:rsidP="00143D3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A42271" w:rsidP="00143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3F" w:rsidRPr="00A42271" w:rsidP="00A422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71" w:rsidRPr="002D2AF8" w:rsidP="00143D3F">
    <w:pPr>
      <w:pStyle w:val="Header"/>
      <w:framePr w:wrap="around"/>
    </w:pPr>
    <w:r>
      <w:fldChar w:fldCharType="begin"/>
    </w:r>
    <w:r>
      <w:instrText xml:space="preserve"> TITLE   \* MERGEFORMAT </w:instrText>
    </w:r>
    <w:r>
      <w:fldChar w:fldCharType="separate"/>
    </w:r>
    <w:r>
      <w:t>UEENEEI146A Diagnose and rectify faults in d.c.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A42271" w:rsidP="00143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4CC9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CC0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046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D3F"/>
    <w:pPr>
      <w:spacing w:before="360" w:after="60"/>
      <w:outlineLvl w:val="0"/>
    </w:pPr>
    <w:rPr>
      <w:sz w:val="32"/>
    </w:rPr>
  </w:style>
  <w:style w:type="paragraph" w:styleId="Heading2">
    <w:name w:val="heading 2"/>
    <w:basedOn w:val="HeadingBase"/>
    <w:next w:val="BodyText"/>
    <w:link w:val="Heading2Char"/>
    <w:qFormat/>
    <w:rsid w:val="00143D3F"/>
    <w:pPr>
      <w:keepLines/>
      <w:spacing w:before="240" w:after="120"/>
      <w:outlineLvl w:val="1"/>
    </w:pPr>
    <w:rPr>
      <w:sz w:val="28"/>
      <w:szCs w:val="40"/>
    </w:rPr>
  </w:style>
  <w:style w:type="paragraph" w:styleId="Heading3">
    <w:name w:val="heading 3"/>
    <w:basedOn w:val="HeadingBase"/>
    <w:next w:val="BodyText"/>
    <w:link w:val="Heading3Char"/>
    <w:qFormat/>
    <w:rsid w:val="00143D3F"/>
    <w:pPr>
      <w:spacing w:before="180" w:after="120"/>
      <w:outlineLvl w:val="2"/>
    </w:pPr>
    <w:rPr>
      <w:spacing w:val="-10"/>
      <w:kern w:val="32"/>
    </w:rPr>
  </w:style>
  <w:style w:type="paragraph" w:styleId="Heading4">
    <w:name w:val="heading 4"/>
    <w:basedOn w:val="HeadingBase"/>
    <w:next w:val="BodyText"/>
    <w:link w:val="Heading4Char"/>
    <w:qFormat/>
    <w:rsid w:val="00143D3F"/>
    <w:pPr>
      <w:spacing w:before="160" w:after="120"/>
      <w:outlineLvl w:val="3"/>
    </w:pPr>
    <w:rPr>
      <w:sz w:val="22"/>
    </w:rPr>
  </w:style>
  <w:style w:type="paragraph" w:styleId="Heading5">
    <w:name w:val="heading 5"/>
    <w:basedOn w:val="HeadingBase"/>
    <w:next w:val="Normal"/>
    <w:link w:val="Heading5Char"/>
    <w:qFormat/>
    <w:rsid w:val="00143D3F"/>
    <w:pPr>
      <w:spacing w:before="80"/>
      <w:outlineLvl w:val="4"/>
    </w:pPr>
    <w:rPr>
      <w:color w:val="918585"/>
      <w:sz w:val="20"/>
    </w:rPr>
  </w:style>
  <w:style w:type="paragraph" w:styleId="Heading6">
    <w:name w:val="heading 6"/>
    <w:basedOn w:val="HeadingBase"/>
    <w:next w:val="Normal"/>
    <w:link w:val="Heading6Char"/>
    <w:qFormat/>
    <w:rsid w:val="00143D3F"/>
    <w:pPr>
      <w:spacing w:before="60"/>
      <w:outlineLvl w:val="5"/>
    </w:pPr>
    <w:rPr>
      <w:color w:val="918585"/>
      <w:sz w:val="20"/>
    </w:rPr>
  </w:style>
  <w:style w:type="paragraph" w:styleId="Heading7">
    <w:name w:val="heading 7"/>
    <w:basedOn w:val="Normal"/>
    <w:next w:val="Normal"/>
    <w:link w:val="Heading7Char"/>
    <w:qFormat/>
    <w:rsid w:val="00143D3F"/>
    <w:pPr>
      <w:ind w:left="720"/>
      <w:outlineLvl w:val="6"/>
    </w:pPr>
    <w:rPr>
      <w:i/>
    </w:rPr>
  </w:style>
  <w:style w:type="paragraph" w:styleId="Heading8">
    <w:name w:val="heading 8"/>
    <w:basedOn w:val="Normal"/>
    <w:next w:val="Normal"/>
    <w:link w:val="Heading8Char"/>
    <w:qFormat/>
    <w:rsid w:val="00143D3F"/>
    <w:pPr>
      <w:ind w:left="720"/>
      <w:outlineLvl w:val="7"/>
    </w:pPr>
    <w:rPr>
      <w:i/>
    </w:rPr>
  </w:style>
  <w:style w:type="paragraph" w:styleId="Heading9">
    <w:name w:val="heading 9"/>
    <w:basedOn w:val="Normal"/>
    <w:next w:val="Normal"/>
    <w:link w:val="Heading9Char"/>
    <w:qFormat/>
    <w:rsid w:val="00143D3F"/>
    <w:pPr>
      <w:ind w:left="720"/>
      <w:outlineLvl w:val="8"/>
    </w:pPr>
    <w:rPr>
      <w:i/>
    </w:rPr>
  </w:style>
  <w:style w:type="character" w:default="1" w:styleId="DefaultParagraphFont">
    <w:name w:val="Default Paragraph Font"/>
    <w:uiPriority w:val="1"/>
    <w:unhideWhenUsed/>
    <w:rsid w:val="00143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D3F"/>
  </w:style>
  <w:style w:type="character" w:customStyle="1" w:styleId="Heading1Char">
    <w:name w:val="Heading 1 Char"/>
    <w:basedOn w:val="DefaultParagraphFont"/>
    <w:link w:val="Heading1"/>
    <w:rsid w:val="00143D3F"/>
    <w:rPr>
      <w:rFonts w:ascii="Times New Roman" w:eastAsia="Times New Roman" w:hAnsi="Times New Roman" w:cs="Times New Roman"/>
      <w:b/>
      <w:sz w:val="32"/>
      <w:szCs w:val="20"/>
      <w:lang w:eastAsia="en-US"/>
    </w:rPr>
  </w:style>
  <w:style w:type="paragraph" w:styleId="BodyText">
    <w:name w:val="Body Text"/>
    <w:basedOn w:val="Normal"/>
    <w:link w:val="BodyTextChar"/>
    <w:rsid w:val="00143D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D3F"/>
    <w:rPr>
      <w:rFonts w:ascii="Times New Roman" w:eastAsia="Times New Roman" w:hAnsi="Times New Roman" w:cs="Times New Roman"/>
      <w:sz w:val="24"/>
      <w:lang w:eastAsia="en-US"/>
    </w:rPr>
  </w:style>
  <w:style w:type="paragraph" w:styleId="ListBullet">
    <w:name w:val="List Bullet"/>
    <w:basedOn w:val="List"/>
    <w:rsid w:val="00143D3F"/>
    <w:pPr>
      <w:numPr>
        <w:numId w:val="13"/>
      </w:numPr>
      <w:tabs>
        <w:tab w:val="clear" w:pos="340"/>
      </w:tabs>
      <w:spacing w:before="40" w:after="40"/>
    </w:pPr>
  </w:style>
  <w:style w:type="character" w:customStyle="1" w:styleId="SpecialBold">
    <w:name w:val="Special Bold"/>
    <w:basedOn w:val="DefaultParagraphFont"/>
    <w:rsid w:val="00143D3F"/>
    <w:rPr>
      <w:b/>
      <w:spacing w:val="0"/>
    </w:rPr>
  </w:style>
  <w:style w:type="paragraph" w:styleId="ListBullet2">
    <w:name w:val="List Bullet 2"/>
    <w:basedOn w:val="List2"/>
    <w:rsid w:val="00143D3F"/>
    <w:pPr>
      <w:numPr>
        <w:numId w:val="14"/>
      </w:numPr>
      <w:tabs>
        <w:tab w:val="clear" w:pos="680"/>
      </w:tabs>
    </w:pPr>
  </w:style>
  <w:style w:type="paragraph" w:customStyle="1" w:styleId="SuperHeading">
    <w:name w:val="SuperHeading"/>
    <w:basedOn w:val="Normal"/>
    <w:rsid w:val="00143D3F"/>
    <w:pPr>
      <w:spacing w:before="240" w:after="120"/>
      <w:outlineLvl w:val="0"/>
    </w:pPr>
    <w:rPr>
      <w:rFonts w:ascii="Times New Roman" w:hAnsi="Times New Roman"/>
      <w:b/>
      <w:sz w:val="32"/>
    </w:rPr>
  </w:style>
  <w:style w:type="paragraph" w:customStyle="1" w:styleId="AllowPageBreak">
    <w:name w:val="AllowPageBreak"/>
    <w:rsid w:val="00143D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D3F"/>
    <w:rPr>
      <w:rFonts w:ascii="Courier New" w:eastAsia="Times New Roman" w:hAnsi="Courier New" w:cs="Times New Roman"/>
      <w:i/>
      <w:szCs w:val="20"/>
      <w:lang w:eastAsia="en-US"/>
    </w:rPr>
  </w:style>
  <w:style w:type="paragraph" w:customStyle="1" w:styleId="HeadingBase">
    <w:name w:val="Heading Base"/>
    <w:rsid w:val="00143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D3F"/>
    <w:pPr>
      <w:tabs>
        <w:tab w:val="right" w:leader="dot" w:pos="9072"/>
      </w:tabs>
      <w:ind w:left="567"/>
    </w:pPr>
    <w:rPr>
      <w:szCs w:val="22"/>
    </w:rPr>
  </w:style>
  <w:style w:type="paragraph" w:customStyle="1" w:styleId="TOCBase">
    <w:name w:val="TOC Base"/>
    <w:rsid w:val="00143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D3F"/>
    <w:pPr>
      <w:tabs>
        <w:tab w:val="right" w:leader="dot" w:pos="9072"/>
      </w:tabs>
      <w:spacing w:before="40" w:after="40"/>
      <w:ind w:left="284"/>
    </w:pPr>
    <w:rPr>
      <w:rFonts w:ascii="Times New Roman" w:hAnsi="Times New Roman"/>
    </w:rPr>
  </w:style>
  <w:style w:type="paragraph" w:styleId="TOC1">
    <w:name w:val="toc 1"/>
    <w:basedOn w:val="TOCBase"/>
    <w:next w:val="Normal"/>
    <w:rsid w:val="00143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D3F"/>
    <w:rPr>
      <w:rFonts w:ascii="Times New Roman" w:eastAsia="Times New Roman" w:hAnsi="Times New Roman" w:cs="Times New Roman"/>
      <w:sz w:val="16"/>
      <w:lang w:eastAsia="en-US"/>
    </w:rPr>
  </w:style>
  <w:style w:type="paragraph" w:styleId="Title">
    <w:name w:val="Title"/>
    <w:basedOn w:val="HeadingBase"/>
    <w:link w:val="TitleChar"/>
    <w:qFormat/>
    <w:rsid w:val="00143D3F"/>
    <w:pPr>
      <w:spacing w:before="5040"/>
      <w:jc w:val="center"/>
    </w:pPr>
    <w:rPr>
      <w:sz w:val="48"/>
      <w:szCs w:val="72"/>
      <w:lang w:val="en-US"/>
    </w:rPr>
  </w:style>
  <w:style w:type="character" w:customStyle="1" w:styleId="TitleChar">
    <w:name w:val="Title Char"/>
    <w:basedOn w:val="DefaultParagraphFont"/>
    <w:link w:val="Title"/>
    <w:rsid w:val="00143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D3F"/>
    <w:pPr>
      <w:tabs>
        <w:tab w:val="left" w:pos="3600"/>
        <w:tab w:val="left" w:pos="3958"/>
      </w:tabs>
    </w:pPr>
  </w:style>
  <w:style w:type="paragraph" w:styleId="List">
    <w:name w:val="List"/>
    <w:basedOn w:val="BodyText"/>
    <w:next w:val="BodyText"/>
    <w:rsid w:val="00143D3F"/>
    <w:pPr>
      <w:tabs>
        <w:tab w:val="left" w:pos="340"/>
      </w:tabs>
      <w:spacing w:before="60" w:after="60"/>
      <w:ind w:left="340" w:hanging="340"/>
    </w:pPr>
  </w:style>
  <w:style w:type="paragraph" w:customStyle="1" w:styleId="Note">
    <w:name w:val="Note"/>
    <w:basedOn w:val="BodyText"/>
    <w:rsid w:val="00143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D3F"/>
    <w:pPr>
      <w:framePr w:wrap="auto" w:hAnchor="text" w:y="6049"/>
    </w:pPr>
    <w:rPr>
      <w:color w:val="000000"/>
      <w:sz w:val="40"/>
    </w:rPr>
  </w:style>
  <w:style w:type="paragraph" w:customStyle="1" w:styleId="TOCTitle">
    <w:name w:val="TOCTitle"/>
    <w:basedOn w:val="Heading1"/>
    <w:rsid w:val="00143D3F"/>
    <w:pPr>
      <w:spacing w:after="240"/>
      <w:jc w:val="center"/>
      <w:outlineLvl w:val="9"/>
    </w:pPr>
    <w:rPr>
      <w:caps/>
    </w:rPr>
  </w:style>
  <w:style w:type="paragraph" w:customStyle="1" w:styleId="Version">
    <w:name w:val="Version"/>
    <w:rsid w:val="00143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D3F"/>
    <w:pPr>
      <w:keepNext w:val="0"/>
      <w:tabs>
        <w:tab w:val="right" w:pos="4176"/>
      </w:tabs>
      <w:ind w:left="198" w:hanging="198"/>
    </w:pPr>
    <w:rPr>
      <w:rFonts w:ascii="Garamond" w:hAnsi="Garamond"/>
    </w:rPr>
  </w:style>
  <w:style w:type="paragraph" w:styleId="IndexHeading">
    <w:name w:val="index heading"/>
    <w:basedOn w:val="Normal"/>
    <w:next w:val="Index1"/>
    <w:semiHidden/>
    <w:rsid w:val="00143D3F"/>
    <w:pPr>
      <w:spacing w:before="120" w:after="120"/>
    </w:pPr>
    <w:rPr>
      <w:rFonts w:ascii="Arial" w:hAnsi="Arial"/>
      <w:b/>
      <w:color w:val="918585"/>
      <w:sz w:val="24"/>
    </w:rPr>
  </w:style>
  <w:style w:type="paragraph" w:styleId="Header">
    <w:name w:val="header"/>
    <w:basedOn w:val="Normal"/>
    <w:link w:val="HeaderChar"/>
    <w:rsid w:val="00143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D3F"/>
    <w:rPr>
      <w:rFonts w:ascii="Times New Roman" w:eastAsia="Times New Roman" w:hAnsi="Times New Roman" w:cs="Times New Roman"/>
      <w:sz w:val="16"/>
      <w:szCs w:val="20"/>
      <w:lang w:val="en-GB" w:eastAsia="en-US"/>
    </w:rPr>
  </w:style>
  <w:style w:type="paragraph" w:customStyle="1" w:styleId="Chapter">
    <w:name w:val="Chapter"/>
    <w:basedOn w:val="Normal"/>
    <w:rsid w:val="00143D3F"/>
    <w:pPr>
      <w:spacing w:before="240"/>
    </w:pPr>
    <w:rPr>
      <w:rFonts w:ascii="Times New Roman" w:hAnsi="Times New Roman"/>
      <w:smallCaps/>
      <w:spacing w:val="80"/>
      <w:sz w:val="28"/>
    </w:rPr>
  </w:style>
  <w:style w:type="paragraph" w:customStyle="1" w:styleId="InChapter">
    <w:name w:val="InChapter"/>
    <w:basedOn w:val="Heading3"/>
    <w:rsid w:val="00143D3F"/>
    <w:pPr>
      <w:spacing w:after="240"/>
      <w:outlineLvl w:val="9"/>
    </w:pPr>
    <w:rPr>
      <w:noProof/>
    </w:rPr>
  </w:style>
  <w:style w:type="paragraph" w:styleId="Index2">
    <w:name w:val="index 2"/>
    <w:basedOn w:val="Normal"/>
    <w:next w:val="Normal"/>
    <w:semiHidden/>
    <w:rsid w:val="00143D3F"/>
    <w:pPr>
      <w:tabs>
        <w:tab w:val="right" w:pos="4176"/>
      </w:tabs>
      <w:ind w:left="568" w:hanging="284"/>
    </w:pPr>
    <w:rPr>
      <w:rFonts w:ascii="Garamond" w:hAnsi="Garamond"/>
    </w:rPr>
  </w:style>
  <w:style w:type="paragraph" w:customStyle="1" w:styleId="Byline">
    <w:name w:val="Byline"/>
    <w:rsid w:val="00143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D3F"/>
    <w:pPr>
      <w:tabs>
        <w:tab w:val="clear" w:pos="3600"/>
        <w:tab w:val="clear" w:pos="3958"/>
      </w:tabs>
      <w:jc w:val="right"/>
    </w:pPr>
  </w:style>
  <w:style w:type="character" w:styleId="Emphasis">
    <w:name w:val="Emphasis"/>
    <w:basedOn w:val="DefaultParagraphFont"/>
    <w:qFormat/>
    <w:rsid w:val="00143D3F"/>
    <w:rPr>
      <w:i/>
    </w:rPr>
  </w:style>
  <w:style w:type="paragraph" w:styleId="Caption">
    <w:name w:val="caption"/>
    <w:basedOn w:val="BodyText"/>
    <w:next w:val="Normal"/>
    <w:qFormat/>
    <w:rsid w:val="00143D3F"/>
    <w:pPr>
      <w:framePr w:w="2268" w:hSpace="181" w:vSpace="181" w:wrap="around" w:vAnchor="text" w:hAnchor="page" w:x="1135" w:y="285" w:anchorLock="1"/>
    </w:pPr>
    <w:rPr>
      <w:i/>
    </w:rPr>
  </w:style>
  <w:style w:type="paragraph" w:customStyle="1" w:styleId="MiniTOCTitle">
    <w:name w:val="MiniTOCTitle"/>
    <w:basedOn w:val="Heading4"/>
    <w:rsid w:val="00143D3F"/>
    <w:pPr>
      <w:spacing w:before="240"/>
      <w:outlineLvl w:val="9"/>
    </w:pPr>
    <w:rPr>
      <w:noProof/>
      <w:sz w:val="24"/>
    </w:rPr>
  </w:style>
  <w:style w:type="paragraph" w:customStyle="1" w:styleId="MiniTOCItem">
    <w:name w:val="MiniTOCItem"/>
    <w:basedOn w:val="ListBullet"/>
    <w:rsid w:val="00143D3F"/>
    <w:pPr>
      <w:numPr>
        <w:numId w:val="0"/>
      </w:numPr>
      <w:tabs>
        <w:tab w:val="right" w:leader="dot" w:pos="6521"/>
      </w:tabs>
      <w:spacing w:before="0" w:after="0"/>
    </w:pPr>
  </w:style>
  <w:style w:type="paragraph" w:customStyle="1" w:styleId="TOFTitle">
    <w:name w:val="TOFTitle"/>
    <w:basedOn w:val="TOCTitle"/>
    <w:rsid w:val="00143D3F"/>
  </w:style>
  <w:style w:type="paragraph" w:styleId="TableofFigures">
    <w:name w:val="table of figures"/>
    <w:basedOn w:val="Normal"/>
    <w:next w:val="Normal"/>
    <w:semiHidden/>
    <w:rsid w:val="00143D3F"/>
    <w:pPr>
      <w:tabs>
        <w:tab w:val="right" w:leader="dot" w:pos="9072"/>
      </w:tabs>
      <w:ind w:left="970" w:hanging="403"/>
    </w:pPr>
    <w:rPr>
      <w:rFonts w:ascii="Times New Roman" w:hAnsi="Times New Roman"/>
      <w:b/>
    </w:rPr>
  </w:style>
  <w:style w:type="paragraph" w:styleId="ListNumber">
    <w:name w:val="List Number"/>
    <w:basedOn w:val="List"/>
    <w:rsid w:val="00143D3F"/>
    <w:pPr>
      <w:numPr>
        <w:numId w:val="11"/>
      </w:numPr>
    </w:pPr>
  </w:style>
  <w:style w:type="character" w:customStyle="1" w:styleId="WingdingSymbols">
    <w:name w:val="Wingding Symbols"/>
    <w:rsid w:val="00143D3F"/>
    <w:rPr>
      <w:rFonts w:ascii="Wingdings" w:hAnsi="Wingdings"/>
    </w:rPr>
  </w:style>
  <w:style w:type="paragraph" w:customStyle="1" w:styleId="TableHeading">
    <w:name w:val="Table Heading"/>
    <w:basedOn w:val="HeadingBase"/>
    <w:rsid w:val="00143D3F"/>
    <w:pPr>
      <w:keepLines/>
      <w:pBdr>
        <w:bottom w:val="single" w:sz="6" w:space="1" w:color="918585"/>
      </w:pBdr>
      <w:spacing w:before="240"/>
    </w:pPr>
  </w:style>
  <w:style w:type="character" w:customStyle="1" w:styleId="HotSpot">
    <w:name w:val="HotSpot"/>
    <w:rsid w:val="00143D3F"/>
    <w:rPr>
      <w:color w:val="0033CC"/>
      <w:u w:val="none"/>
    </w:rPr>
  </w:style>
  <w:style w:type="paragraph" w:customStyle="1" w:styleId="BodyTextRight">
    <w:name w:val="Body Text Right"/>
    <w:basedOn w:val="BodyText"/>
    <w:rsid w:val="00143D3F"/>
    <w:pPr>
      <w:spacing w:before="0" w:after="0"/>
      <w:jc w:val="right"/>
    </w:pPr>
  </w:style>
  <w:style w:type="paragraph" w:styleId="Index3">
    <w:name w:val="index 3"/>
    <w:basedOn w:val="ListNumber2"/>
    <w:next w:val="Normal"/>
    <w:semiHidden/>
    <w:rsid w:val="00143D3F"/>
    <w:pPr>
      <w:numPr>
        <w:numId w:val="0"/>
      </w:numPr>
      <w:tabs>
        <w:tab w:val="right" w:leader="dot" w:pos="4176"/>
      </w:tabs>
    </w:pPr>
  </w:style>
  <w:style w:type="paragraph" w:styleId="ListNumber2">
    <w:name w:val="List Number 2"/>
    <w:basedOn w:val="List2"/>
    <w:rsid w:val="00143D3F"/>
    <w:pPr>
      <w:numPr>
        <w:numId w:val="10"/>
      </w:numPr>
      <w:tabs>
        <w:tab w:val="clear" w:pos="1060"/>
      </w:tabs>
    </w:pPr>
  </w:style>
  <w:style w:type="paragraph" w:customStyle="1" w:styleId="MarginNote">
    <w:name w:val="Margin Note"/>
    <w:basedOn w:val="BodyText"/>
    <w:rsid w:val="00143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D3F"/>
    <w:rPr>
      <w:sz w:val="32"/>
    </w:rPr>
  </w:style>
  <w:style w:type="paragraph" w:customStyle="1" w:styleId="HeadingProcedure">
    <w:name w:val="Heading Procedure"/>
    <w:basedOn w:val="HeadingBase"/>
    <w:next w:val="Normal"/>
    <w:rsid w:val="00143D3F"/>
    <w:pPr>
      <w:tabs>
        <w:tab w:val="left" w:pos="0"/>
      </w:tabs>
      <w:spacing w:before="120" w:after="60"/>
    </w:pPr>
    <w:rPr>
      <w:i/>
      <w:color w:val="918585"/>
      <w:sz w:val="22"/>
    </w:rPr>
  </w:style>
  <w:style w:type="paragraph" w:customStyle="1" w:styleId="TableBodyText">
    <w:name w:val="Table Body Text"/>
    <w:basedOn w:val="BodyText"/>
    <w:rsid w:val="00143D3F"/>
    <w:pPr>
      <w:spacing w:before="60" w:after="60"/>
    </w:pPr>
  </w:style>
  <w:style w:type="paragraph" w:styleId="ListContinue">
    <w:name w:val="List Continue"/>
    <w:basedOn w:val="List"/>
    <w:rsid w:val="00143D3F"/>
    <w:pPr>
      <w:ind w:firstLine="0"/>
    </w:pPr>
  </w:style>
  <w:style w:type="paragraph" w:customStyle="1" w:styleId="ListNote">
    <w:name w:val="List Note"/>
    <w:basedOn w:val="List"/>
    <w:rsid w:val="00143D3F"/>
    <w:pPr>
      <w:pBdr>
        <w:top w:val="single" w:sz="6" w:space="2" w:color="918585"/>
        <w:bottom w:val="single" w:sz="6" w:space="2" w:color="918585"/>
      </w:pBdr>
      <w:tabs>
        <w:tab w:val="left" w:pos="1021"/>
      </w:tabs>
      <w:ind w:firstLine="0"/>
    </w:pPr>
  </w:style>
  <w:style w:type="paragraph" w:customStyle="1" w:styleId="Warning">
    <w:name w:val="Warning"/>
    <w:basedOn w:val="BodyText"/>
    <w:rsid w:val="00143D3F"/>
    <w:pPr>
      <w:shd w:val="clear" w:color="auto" w:fill="D9D9D9"/>
      <w:tabs>
        <w:tab w:val="left" w:pos="992"/>
      </w:tabs>
      <w:ind w:left="119" w:right="119"/>
    </w:pPr>
    <w:rPr>
      <w:sz w:val="20"/>
    </w:rPr>
  </w:style>
  <w:style w:type="paragraph" w:customStyle="1" w:styleId="MarginIcons">
    <w:name w:val="Margin Icons"/>
    <w:basedOn w:val="BodyText"/>
    <w:rsid w:val="00143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D3F"/>
    <w:rPr>
      <w:rFonts w:ascii="Courier New" w:hAnsi="Courier New"/>
    </w:rPr>
  </w:style>
  <w:style w:type="paragraph" w:customStyle="1" w:styleId="NoteBullet">
    <w:name w:val="Note Bullet"/>
    <w:basedOn w:val="Note"/>
    <w:rsid w:val="00143D3F"/>
    <w:pPr>
      <w:tabs>
        <w:tab w:val="clear" w:pos="680"/>
      </w:tabs>
      <w:spacing w:before="60" w:after="60"/>
    </w:pPr>
  </w:style>
  <w:style w:type="paragraph" w:customStyle="1" w:styleId="SubHeading2">
    <w:name w:val="SubHeading2"/>
    <w:basedOn w:val="HeadingBase"/>
    <w:rsid w:val="00143D3F"/>
    <w:pPr>
      <w:spacing w:before="240" w:after="60"/>
    </w:pPr>
    <w:rPr>
      <w:sz w:val="20"/>
    </w:rPr>
  </w:style>
  <w:style w:type="paragraph" w:customStyle="1" w:styleId="SubHeading1">
    <w:name w:val="SubHeading1"/>
    <w:basedOn w:val="HeadingBase"/>
    <w:rsid w:val="00143D3F"/>
    <w:pPr>
      <w:spacing w:before="240" w:after="60"/>
    </w:pPr>
    <w:rPr>
      <w:color w:val="918585"/>
      <w:sz w:val="22"/>
    </w:rPr>
  </w:style>
  <w:style w:type="paragraph" w:customStyle="1" w:styleId="SideHeading">
    <w:name w:val="Side Heading"/>
    <w:basedOn w:val="HeadingBase"/>
    <w:rsid w:val="00143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D3F"/>
    <w:pPr>
      <w:numPr>
        <w:numId w:val="12"/>
      </w:numPr>
    </w:pPr>
  </w:style>
  <w:style w:type="paragraph" w:styleId="PlainText">
    <w:name w:val="Plain Text"/>
    <w:basedOn w:val="Normal"/>
    <w:link w:val="PlainTextChar"/>
    <w:rsid w:val="00143D3F"/>
    <w:rPr>
      <w:sz w:val="20"/>
    </w:rPr>
  </w:style>
  <w:style w:type="character" w:customStyle="1" w:styleId="PlainTextChar">
    <w:name w:val="Plain Text Char"/>
    <w:basedOn w:val="DefaultParagraphFont"/>
    <w:link w:val="PlainText"/>
    <w:rsid w:val="00143D3F"/>
    <w:rPr>
      <w:rFonts w:ascii="Courier New" w:eastAsia="Times New Roman" w:hAnsi="Courier New" w:cs="Times New Roman"/>
      <w:sz w:val="20"/>
      <w:szCs w:val="20"/>
      <w:lang w:eastAsia="en-US"/>
    </w:rPr>
  </w:style>
  <w:style w:type="character" w:customStyle="1" w:styleId="MenuOption">
    <w:name w:val="Menu Option"/>
    <w:basedOn w:val="DefaultParagraphFont"/>
    <w:rsid w:val="00143D3F"/>
    <w:rPr>
      <w:b/>
      <w:smallCaps/>
    </w:rPr>
  </w:style>
  <w:style w:type="paragraph" w:customStyle="1" w:styleId="TableListNumber">
    <w:name w:val="Table List Number"/>
    <w:basedOn w:val="ListNumber"/>
    <w:rsid w:val="00143D3F"/>
    <w:pPr>
      <w:numPr>
        <w:numId w:val="0"/>
      </w:numPr>
    </w:pPr>
  </w:style>
  <w:style w:type="paragraph" w:styleId="TOC4">
    <w:name w:val="toc 4"/>
    <w:basedOn w:val="TOCBase"/>
    <w:next w:val="Normal"/>
    <w:semiHidden/>
    <w:rsid w:val="00143D3F"/>
    <w:pPr>
      <w:tabs>
        <w:tab w:val="right" w:leader="dot" w:pos="9071"/>
      </w:tabs>
      <w:ind w:left="1701"/>
    </w:pPr>
  </w:style>
  <w:style w:type="paragraph" w:customStyle="1" w:styleId="ListAlpha">
    <w:name w:val="List Alpha"/>
    <w:basedOn w:val="List"/>
    <w:rsid w:val="00143D3F"/>
    <w:pPr>
      <w:numPr>
        <w:numId w:val="9"/>
      </w:numPr>
    </w:pPr>
  </w:style>
  <w:style w:type="paragraph" w:customStyle="1" w:styleId="ListAlpha2">
    <w:name w:val="List Alpha 2"/>
    <w:basedOn w:val="List2"/>
    <w:rsid w:val="00143D3F"/>
    <w:pPr>
      <w:numPr>
        <w:numId w:val="8"/>
      </w:numPr>
    </w:pPr>
  </w:style>
  <w:style w:type="paragraph" w:styleId="List2">
    <w:name w:val="List 2"/>
    <w:basedOn w:val="BodyText"/>
    <w:rsid w:val="00143D3F"/>
    <w:pPr>
      <w:tabs>
        <w:tab w:val="left" w:pos="680"/>
      </w:tabs>
      <w:spacing w:before="60" w:after="60"/>
      <w:ind w:left="680" w:hanging="340"/>
    </w:pPr>
  </w:style>
  <w:style w:type="paragraph" w:styleId="List3">
    <w:name w:val="List 3"/>
    <w:basedOn w:val="BodyText"/>
    <w:rsid w:val="00143D3F"/>
    <w:pPr>
      <w:tabs>
        <w:tab w:val="left" w:pos="1021"/>
      </w:tabs>
      <w:spacing w:before="60" w:after="60"/>
      <w:ind w:left="1020" w:hanging="340"/>
    </w:pPr>
  </w:style>
  <w:style w:type="paragraph" w:styleId="List4">
    <w:name w:val="List 4"/>
    <w:basedOn w:val="BodyText"/>
    <w:rsid w:val="00143D3F"/>
    <w:pPr>
      <w:tabs>
        <w:tab w:val="left" w:pos="1361"/>
      </w:tabs>
      <w:spacing w:before="60" w:after="60"/>
      <w:ind w:left="1361" w:hanging="340"/>
    </w:pPr>
  </w:style>
  <w:style w:type="paragraph" w:styleId="List5">
    <w:name w:val="List 5"/>
    <w:basedOn w:val="BodyText"/>
    <w:rsid w:val="00143D3F"/>
    <w:pPr>
      <w:tabs>
        <w:tab w:val="left" w:pos="1701"/>
      </w:tabs>
      <w:spacing w:before="60" w:after="60"/>
      <w:ind w:left="1701" w:hanging="340"/>
    </w:pPr>
  </w:style>
  <w:style w:type="paragraph" w:styleId="ListBullet3">
    <w:name w:val="List Bullet 3"/>
    <w:basedOn w:val="List3"/>
    <w:rsid w:val="00143D3F"/>
    <w:pPr>
      <w:numPr>
        <w:numId w:val="15"/>
      </w:numPr>
      <w:tabs>
        <w:tab w:val="clear" w:pos="1021"/>
      </w:tabs>
      <w:ind w:left="1037" w:hanging="357"/>
    </w:pPr>
  </w:style>
  <w:style w:type="paragraph" w:styleId="ListBullet4">
    <w:name w:val="List Bullet 4"/>
    <w:basedOn w:val="List4"/>
    <w:rsid w:val="00143D3F"/>
    <w:pPr>
      <w:numPr>
        <w:numId w:val="3"/>
      </w:numPr>
    </w:pPr>
  </w:style>
  <w:style w:type="paragraph" w:styleId="ListBullet5">
    <w:name w:val="List Bullet 5"/>
    <w:basedOn w:val="List5"/>
    <w:rsid w:val="00143D3F"/>
    <w:pPr>
      <w:numPr>
        <w:numId w:val="4"/>
      </w:numPr>
    </w:pPr>
  </w:style>
  <w:style w:type="paragraph" w:styleId="ListContinue2">
    <w:name w:val="List Continue 2"/>
    <w:basedOn w:val="List2"/>
    <w:rsid w:val="00143D3F"/>
    <w:pPr>
      <w:ind w:firstLine="0"/>
    </w:pPr>
  </w:style>
  <w:style w:type="paragraph" w:styleId="ListContinue3">
    <w:name w:val="List Continue 3"/>
    <w:basedOn w:val="List3"/>
    <w:rsid w:val="00143D3F"/>
    <w:pPr>
      <w:ind w:left="1021" w:firstLine="0"/>
    </w:pPr>
  </w:style>
  <w:style w:type="paragraph" w:styleId="ListContinue4">
    <w:name w:val="List Continue 4"/>
    <w:basedOn w:val="List4"/>
    <w:rsid w:val="00143D3F"/>
    <w:pPr>
      <w:ind w:firstLine="0"/>
    </w:pPr>
  </w:style>
  <w:style w:type="paragraph" w:styleId="ListContinue5">
    <w:name w:val="List Continue 5"/>
    <w:basedOn w:val="List5"/>
    <w:rsid w:val="00143D3F"/>
    <w:pPr>
      <w:ind w:firstLine="0"/>
    </w:pPr>
  </w:style>
  <w:style w:type="paragraph" w:styleId="ListNumber3">
    <w:name w:val="List Number 3"/>
    <w:basedOn w:val="List3"/>
    <w:rsid w:val="00143D3F"/>
    <w:pPr>
      <w:numPr>
        <w:numId w:val="5"/>
      </w:numPr>
    </w:pPr>
  </w:style>
  <w:style w:type="paragraph" w:styleId="ListNumber4">
    <w:name w:val="List Number 4"/>
    <w:basedOn w:val="List4"/>
    <w:rsid w:val="00143D3F"/>
    <w:pPr>
      <w:numPr>
        <w:numId w:val="6"/>
      </w:numPr>
    </w:pPr>
  </w:style>
  <w:style w:type="paragraph" w:styleId="ListNumber5">
    <w:name w:val="List Number 5"/>
    <w:basedOn w:val="List5"/>
    <w:rsid w:val="00143D3F"/>
    <w:pPr>
      <w:numPr>
        <w:numId w:val="7"/>
      </w:numPr>
    </w:pPr>
  </w:style>
  <w:style w:type="paragraph" w:styleId="BlockText">
    <w:name w:val="Block Text"/>
    <w:basedOn w:val="Normal"/>
    <w:rsid w:val="00143D3F"/>
    <w:pPr>
      <w:spacing w:after="120"/>
      <w:ind w:left="1440" w:right="1440"/>
    </w:pPr>
  </w:style>
  <w:style w:type="character" w:customStyle="1" w:styleId="Subscript">
    <w:name w:val="Subscript"/>
    <w:basedOn w:val="DefaultParagraphFont"/>
    <w:rsid w:val="00143D3F"/>
    <w:rPr>
      <w:sz w:val="16"/>
      <w:vertAlign w:val="subscript"/>
    </w:rPr>
  </w:style>
  <w:style w:type="character" w:customStyle="1" w:styleId="Superscript">
    <w:name w:val="Superscript"/>
    <w:basedOn w:val="DefaultParagraphFont"/>
    <w:rsid w:val="00143D3F"/>
    <w:rPr>
      <w:sz w:val="16"/>
      <w:vertAlign w:val="superscript"/>
    </w:rPr>
  </w:style>
  <w:style w:type="character" w:customStyle="1" w:styleId="Symbols">
    <w:name w:val="Symbols"/>
    <w:basedOn w:val="DefaultParagraphFont"/>
    <w:rsid w:val="00143D3F"/>
    <w:rPr>
      <w:rFonts w:ascii="Symbol" w:hAnsi="Symbol"/>
    </w:rPr>
  </w:style>
  <w:style w:type="character" w:customStyle="1" w:styleId="MenuOptions">
    <w:name w:val="Menu Options"/>
    <w:basedOn w:val="DefaultParagraphFont"/>
    <w:rsid w:val="00143D3F"/>
    <w:rPr>
      <w:rFonts w:ascii="Arial Narrow" w:hAnsi="Arial Narrow"/>
      <w:smallCaps/>
    </w:rPr>
  </w:style>
  <w:style w:type="character" w:customStyle="1" w:styleId="Buttons">
    <w:name w:val="Buttons"/>
    <w:basedOn w:val="DefaultParagraphFont"/>
    <w:rsid w:val="00143D3F"/>
    <w:rPr>
      <w:b/>
    </w:rPr>
  </w:style>
  <w:style w:type="character" w:customStyle="1" w:styleId="Underlined">
    <w:name w:val="Underlined"/>
    <w:basedOn w:val="DefaultParagraphFont"/>
    <w:rsid w:val="00143D3F"/>
    <w:rPr>
      <w:u w:val="single"/>
    </w:rPr>
  </w:style>
  <w:style w:type="paragraph" w:customStyle="1" w:styleId="TableBodyTextRight">
    <w:name w:val="Table Body Text Right"/>
    <w:basedOn w:val="TableBodyText"/>
    <w:rsid w:val="00143D3F"/>
    <w:pPr>
      <w:widowControl w:val="0"/>
      <w:autoSpaceDE w:val="0"/>
      <w:autoSpaceDN w:val="0"/>
      <w:adjustRightInd w:val="0"/>
      <w:jc w:val="right"/>
    </w:pPr>
    <w:rPr>
      <w:rFonts w:cs="Arial"/>
      <w:szCs w:val="18"/>
    </w:rPr>
  </w:style>
  <w:style w:type="paragraph" w:customStyle="1" w:styleId="CopyrightText">
    <w:name w:val="Copyright Text"/>
    <w:basedOn w:val="BodyText"/>
    <w:rsid w:val="00143D3F"/>
    <w:rPr>
      <w:sz w:val="18"/>
    </w:rPr>
  </w:style>
  <w:style w:type="paragraph" w:customStyle="1" w:styleId="BodySmallRight">
    <w:name w:val="Body Small Right"/>
    <w:basedOn w:val="BodyTextRight"/>
    <w:rsid w:val="00143D3F"/>
    <w:rPr>
      <w:sz w:val="18"/>
      <w:szCs w:val="18"/>
    </w:rPr>
  </w:style>
  <w:style w:type="paragraph" w:customStyle="1" w:styleId="MarginEdition">
    <w:name w:val="Margin Edition"/>
    <w:basedOn w:val="MarginNote"/>
    <w:rsid w:val="00143D3F"/>
    <w:pPr>
      <w:spacing w:before="0" w:after="0"/>
    </w:pPr>
    <w:rPr>
      <w:rFonts w:ascii="Times New Roman" w:hAnsi="Times New Roman"/>
      <w:color w:val="999999"/>
    </w:rPr>
  </w:style>
  <w:style w:type="paragraph" w:customStyle="1" w:styleId="Spacer">
    <w:name w:val="Spacer"/>
    <w:basedOn w:val="Normal"/>
    <w:rsid w:val="00143D3F"/>
    <w:rPr>
      <w:sz w:val="2"/>
      <w:szCs w:val="2"/>
    </w:rPr>
  </w:style>
  <w:style w:type="character" w:customStyle="1" w:styleId="Small">
    <w:name w:val="Small"/>
    <w:basedOn w:val="DefaultParagraphFont"/>
    <w:rsid w:val="00143D3F"/>
    <w:rPr>
      <w:sz w:val="16"/>
    </w:rPr>
  </w:style>
  <w:style w:type="paragraph" w:customStyle="1" w:styleId="WideTable">
    <w:name w:val="Wide Table"/>
    <w:basedOn w:val="Normal"/>
    <w:rsid w:val="00143D3F"/>
    <w:pPr>
      <w:ind w:left="-1418"/>
    </w:pPr>
    <w:rPr>
      <w:sz w:val="2"/>
      <w:szCs w:val="2"/>
    </w:rPr>
  </w:style>
  <w:style w:type="character" w:styleId="PageNumber">
    <w:name w:val="page number"/>
    <w:basedOn w:val="DefaultParagraphFont"/>
    <w:rsid w:val="00143D3F"/>
  </w:style>
  <w:style w:type="paragraph" w:styleId="Quote">
    <w:name w:val="Quote"/>
    <w:basedOn w:val="Heading1"/>
    <w:link w:val="QuoteChar"/>
    <w:qFormat/>
    <w:rsid w:val="00143D3F"/>
    <w:rPr>
      <w:b w:val="0"/>
      <w:sz w:val="72"/>
      <w:szCs w:val="72"/>
      <w:lang w:val="en-NZ"/>
    </w:rPr>
  </w:style>
  <w:style w:type="character" w:customStyle="1" w:styleId="QuoteChar">
    <w:name w:val="Quote Char"/>
    <w:basedOn w:val="DefaultParagraphFont"/>
    <w:link w:val="Quote"/>
    <w:rsid w:val="00143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D3F"/>
    <w:pPr>
      <w:pageBreakBefore/>
    </w:pPr>
  </w:style>
  <w:style w:type="paragraph" w:customStyle="1" w:styleId="Border">
    <w:name w:val="Border"/>
    <w:basedOn w:val="Normal"/>
    <w:qFormat/>
    <w:rsid w:val="00143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D3F"/>
    <w:rPr>
      <w:b/>
      <w:bCs/>
      <w:i/>
      <w:iCs/>
      <w:color w:val="auto"/>
    </w:rPr>
  </w:style>
  <w:style w:type="paragraph" w:styleId="IntenseQuote">
    <w:name w:val="Intense Quote"/>
    <w:basedOn w:val="Normal"/>
    <w:next w:val="Normal"/>
    <w:link w:val="IntenseQuoteChar"/>
    <w:uiPriority w:val="30"/>
    <w:qFormat/>
    <w:rsid w:val="00143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D3F"/>
    <w:rPr>
      <w:smallCaps/>
      <w:color w:val="auto"/>
      <w:u w:val="single"/>
    </w:rPr>
  </w:style>
  <w:style w:type="character" w:styleId="IntenseReference">
    <w:name w:val="Intense Reference"/>
    <w:basedOn w:val="DefaultParagraphFont"/>
    <w:uiPriority w:val="32"/>
    <w:qFormat/>
    <w:rsid w:val="00143D3F"/>
    <w:rPr>
      <w:b/>
      <w:bCs/>
      <w:smallCaps/>
      <w:color w:val="auto"/>
      <w:spacing w:val="5"/>
      <w:u w:val="single"/>
    </w:rPr>
  </w:style>
  <w:style w:type="paragraph" w:customStyle="1" w:styleId="2ColumnHeading">
    <w:name w:val="2Column Heading"/>
    <w:basedOn w:val="BodyText"/>
    <w:qFormat/>
    <w:rsid w:val="00143D3F"/>
    <w:pPr>
      <w:spacing w:after="60"/>
      <w:ind w:left="-2268"/>
    </w:pPr>
    <w:rPr>
      <w:b/>
    </w:rPr>
  </w:style>
  <w:style w:type="paragraph" w:customStyle="1" w:styleId="Heading1TOC">
    <w:name w:val="Heading1 TOC"/>
    <w:basedOn w:val="Normal"/>
    <w:qFormat/>
    <w:rsid w:val="00143D3F"/>
    <w:pPr>
      <w:spacing w:before="240" w:after="120"/>
    </w:pPr>
    <w:rPr>
      <w:rFonts w:ascii="Times New Roman" w:hAnsi="Times New Roman"/>
      <w:b/>
      <w:sz w:val="32"/>
    </w:rPr>
  </w:style>
  <w:style w:type="paragraph" w:customStyle="1" w:styleId="Heading2TOC">
    <w:name w:val="Heading2 TOC"/>
    <w:basedOn w:val="Normal"/>
    <w:qFormat/>
    <w:rsid w:val="00143D3F"/>
    <w:pPr>
      <w:spacing w:before="240" w:after="60"/>
    </w:pPr>
    <w:rPr>
      <w:rFonts w:ascii="Times New Roman" w:hAnsi="Times New Roman"/>
      <w:b/>
      <w:sz w:val="28"/>
    </w:rPr>
  </w:style>
  <w:style w:type="character" w:customStyle="1" w:styleId="Underline">
    <w:name w:val="Underline"/>
    <w:basedOn w:val="DefaultParagraphFont"/>
    <w:qFormat/>
    <w:rsid w:val="00143D3F"/>
    <w:rPr>
      <w:u w:val="single"/>
    </w:rPr>
  </w:style>
  <w:style w:type="character" w:customStyle="1" w:styleId="BoldandItalics">
    <w:name w:val="Bold and Italics"/>
    <w:qFormat/>
    <w:rsid w:val="00143D3F"/>
    <w:rPr>
      <w:b/>
      <w:i/>
      <w:u w:val="none"/>
    </w:rPr>
  </w:style>
  <w:style w:type="paragraph" w:styleId="BalloonText">
    <w:name w:val="Balloon Text"/>
    <w:basedOn w:val="Normal"/>
    <w:link w:val="BalloonTextChar"/>
    <w:rsid w:val="00143D3F"/>
    <w:rPr>
      <w:rFonts w:ascii="Tahoma" w:hAnsi="Tahoma" w:cs="Tahoma"/>
      <w:sz w:val="16"/>
      <w:szCs w:val="16"/>
    </w:rPr>
  </w:style>
  <w:style w:type="character" w:customStyle="1" w:styleId="BalloonTextChar">
    <w:name w:val="Balloon Text Char"/>
    <w:basedOn w:val="DefaultParagraphFont"/>
    <w:link w:val="BalloonText"/>
    <w:rsid w:val="00143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D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D3F"/>
    <w:rPr>
      <w:b/>
      <w:color w:val="660033"/>
      <w:spacing w:val="0"/>
    </w:rPr>
  </w:style>
  <w:style w:type="paragraph" w:customStyle="1" w:styleId="Nameditemlist">
    <w:name w:val="Named item list"/>
    <w:basedOn w:val="BodyText"/>
    <w:qFormat/>
    <w:rsid w:val="00143D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2202</Words>
  <Characters>13029</Characters>
  <Application>Microsoft Office Word</Application>
  <DocSecurity>0</DocSecurity>
  <Lines>550</Lines>
  <Paragraphs>228</Paragraphs>
  <ScaleCrop>false</ScaleCrop>
  <Company>Author-it Software Corporation Ltd.</Company>
  <LinksUpToDate>false</LinksUpToDate>
  <CharactersWithSpaces>15038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UEENEEI146A Diagnose and rectify faults in d.c. motor drive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2013-03-07T17:24:00Z</dcterms:created>
  <dcterms:modified xsi:type="dcterms:W3CDTF">2013-03-07T17:24:00Z</dcterms:modified>
</cp:coreProperties>
</file>