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55B6" w:rsidP="008755B6">
      <w:pPr>
        <w:pStyle w:val="Title"/>
      </w:pPr>
      <w:bookmarkStart w:id="0" w:name="_GoBack"/>
      <w:bookmarkEnd w:id="0"/>
      <w:r>
        <w:fldChar w:fldCharType="begin"/>
      </w:r>
      <w:r>
        <w:instrText xml:space="preserve"> TITLE   \* MERGEFORMAT </w:instrText>
      </w:r>
      <w:r>
        <w:fldChar w:fldCharType="separate"/>
      </w:r>
      <w:r>
        <w:t>UEENEEI144A Develop interfaces for multiple access methods to monitor, schedule and control an electrical integrated system</w:t>
      </w:r>
      <w:r>
        <w:fldChar w:fldCharType="end"/>
      </w:r>
    </w:p>
    <w:p w:rsidR="008755B6" w:rsidP="008755B6">
      <w:pPr>
        <w:pStyle w:val="Version"/>
        <w:sectPr w:rsidSect="00F939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939B4" w:rsidP="00F939B4">
      <w:pPr>
        <w:pStyle w:val="SuperHeading"/>
      </w:pPr>
      <w:r w:rsidRPr="00F939B4">
        <w:t>UEENEEI144A Develop interfaces for multiple access methods to monitor, schedule and control an electrical integrated system</w:t>
      </w:r>
    </w:p>
    <w:p w:rsidR="00000000" w:rsidRPr="00F939B4" w:rsidP="00F939B4">
      <w:pPr>
        <w:pStyle w:val="Heading1"/>
      </w:pPr>
      <w:bookmarkStart w:id="1" w:name="O_533908"/>
      <w:bookmarkEnd w:id="1"/>
      <w:r w:rsidRPr="00F939B4">
        <w:t>Modification History</w:t>
      </w:r>
    </w:p>
    <w:tbl>
      <w:tblPr>
        <w:tblW w:w="0" w:type="auto"/>
        <w:tblCellMar>
          <w:left w:w="62" w:type="dxa"/>
          <w:right w:w="62" w:type="dxa"/>
        </w:tblCellMar>
        <w:tblLook w:val="0000"/>
      </w:tblPr>
      <w:tblGrid>
        <w:gridCol w:w="703"/>
        <w:gridCol w:w="703"/>
        <w:gridCol w:w="1172"/>
        <w:gridCol w:w="5561"/>
        <w:gridCol w:w="1057"/>
      </w:tblGrid>
      <w:tr w:rsidTr="008755B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9B4">
            <w:pPr>
              <w:pStyle w:val="BodyText"/>
              <w:rPr>
                <w:lang w:val="en-NZ"/>
              </w:rPr>
            </w:pPr>
            <w:r w:rsidRPr="00F939B4">
              <w:t>UEENEEI144A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9B4">
            <w:pPr>
              <w:pStyle w:val="BodyText"/>
              <w:rPr>
                <w:lang w:val="en-NZ"/>
              </w:rPr>
            </w:pPr>
            <w:r w:rsidRPr="00F939B4">
              <w:t>Develop interfaces for multiple access methods to monitor, schedule and control an electrical integrated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9B4">
            <w:pPr>
              <w:pStyle w:val="BodyText"/>
              <w:rPr>
                <w:lang w:val="en-NZ"/>
              </w:rPr>
            </w:pPr>
          </w:p>
        </w:tc>
      </w:tr>
      <w:tr w:rsidTr="008755B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9B4">
            <w:pPr>
              <w:pStyle w:val="BodyText"/>
              <w:rPr>
                <w:lang w:val="en-NZ"/>
              </w:rPr>
            </w:pPr>
            <w:r w:rsidRPr="00F939B4">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9B4">
            <w:pPr>
              <w:pStyle w:val="BodyText"/>
              <w:rPr>
                <w:lang w:val="en-NZ"/>
              </w:rPr>
            </w:pPr>
            <w:r w:rsidRPr="00F939B4">
              <w:t>Action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9B4">
            <w:pPr>
              <w:pStyle w:val="BodyText"/>
              <w:rPr>
                <w:lang w:val="en-NZ"/>
              </w:rPr>
            </w:pPr>
            <w:r w:rsidRPr="00F939B4">
              <w:t>Core/Elective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9B4">
            <w:pPr>
              <w:pStyle w:val="BodyText"/>
              <w:rPr>
                <w:lang w:val="en-NZ"/>
              </w:rPr>
            </w:pPr>
            <w:r w:rsidRPr="00F939B4">
              <w:t>Details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9B4">
            <w:pPr>
              <w:pStyle w:val="BodyText"/>
              <w:rPr>
                <w:lang w:val="en-NZ"/>
              </w:rPr>
            </w:pPr>
            <w:r w:rsidRPr="00F939B4">
              <w:t>Points</w:t>
            </w:r>
          </w:p>
        </w:tc>
      </w:tr>
      <w:tr w:rsidTr="008755B6">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9B4">
            <w:pPr>
              <w:pStyle w:val="BodyText"/>
              <w:rPr>
                <w:lang w:val="en-NZ"/>
              </w:rPr>
            </w:pPr>
            <w:r w:rsidRPr="00F939B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9B4">
            <w:pPr>
              <w:pStyle w:val="BodyText"/>
              <w:rPr>
                <w:lang w:val="en-NZ"/>
              </w:rPr>
            </w:pPr>
            <w:r w:rsidRPr="00F939B4">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9B4">
            <w:pPr>
              <w:pStyle w:val="BodyText"/>
              <w:rPr>
                <w:lang w:val="en-NZ"/>
              </w:rPr>
            </w:pPr>
            <w:r w:rsidRPr="00F939B4">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9B4">
            <w:pPr>
              <w:pStyle w:val="BodyText"/>
              <w:rPr>
                <w:lang w:val="en-NZ"/>
              </w:rPr>
            </w:pPr>
            <w:r w:rsidRPr="00F939B4">
              <w:t xml:space="preserve">In Unit Descriptor, correct the spelling mistake.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9B4">
            <w:pPr>
              <w:pStyle w:val="BodyText"/>
              <w:rPr>
                <w:lang w:val="en-NZ"/>
              </w:rPr>
            </w:pPr>
          </w:p>
        </w:tc>
      </w:tr>
      <w:tr w:rsidTr="008755B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9B4">
            <w:pPr>
              <w:pStyle w:val="BodyText"/>
              <w:rPr>
                <w:lang w:val="en-NZ"/>
              </w:rPr>
            </w:pPr>
            <w:r w:rsidRPr="00F939B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9B4">
            <w:pPr>
              <w:pStyle w:val="BodyText"/>
              <w:rPr>
                <w:lang w:val="en-NZ"/>
              </w:rPr>
            </w:pPr>
            <w:r w:rsidRPr="00F939B4">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9B4">
            <w:pPr>
              <w:pStyle w:val="BodyText"/>
              <w:rPr>
                <w:lang w:val="en-NZ"/>
              </w:rPr>
            </w:pPr>
            <w:r w:rsidRPr="00F939B4">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9B4">
            <w:pPr>
              <w:pStyle w:val="BodyText"/>
              <w:rPr>
                <w:lang w:val="en-NZ"/>
              </w:rPr>
            </w:pPr>
            <w:r w:rsidRPr="00F939B4">
              <w:t>Show full pre-req chain in the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9B4">
            <w:pPr>
              <w:pStyle w:val="BodyText"/>
              <w:rPr>
                <w:lang w:val="en-NZ"/>
              </w:rPr>
            </w:pPr>
          </w:p>
        </w:tc>
      </w:tr>
      <w:tr w:rsidTr="008755B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9B4">
            <w:pPr>
              <w:pStyle w:val="BodyText"/>
              <w:rPr>
                <w:lang w:val="en-NZ"/>
              </w:rPr>
            </w:pPr>
            <w:r w:rsidRPr="00F939B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9B4">
            <w:pPr>
              <w:pStyle w:val="BodyText"/>
              <w:rPr>
                <w:lang w:val="en-NZ"/>
              </w:rPr>
            </w:pPr>
            <w:r w:rsidRPr="00F939B4">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9B4">
            <w:pPr>
              <w:pStyle w:val="BodyText"/>
              <w:rPr>
                <w:lang w:val="en-NZ"/>
              </w:rPr>
            </w:pPr>
            <w:r w:rsidRPr="00F939B4">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9B4">
            <w:pPr>
              <w:pStyle w:val="BodyText"/>
              <w:rPr>
                <w:lang w:val="en-NZ"/>
              </w:rPr>
            </w:pPr>
            <w:r w:rsidRPr="00F939B4">
              <w:t xml:space="preserve">In Pre-requisites, delete “For the full prerequisite chain details for this unit please refer to Table 2 in Volume 1, Part 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9B4">
            <w:pPr>
              <w:pStyle w:val="BodyText"/>
              <w:rPr>
                <w:lang w:val="en-NZ"/>
              </w:rPr>
            </w:pPr>
          </w:p>
        </w:tc>
      </w:tr>
      <w:tr w:rsidTr="008755B6">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9B4">
            <w:pPr>
              <w:pStyle w:val="BodyText"/>
              <w:rPr>
                <w:lang w:val="en-NZ"/>
              </w:rPr>
            </w:pPr>
            <w:r w:rsidRPr="00F939B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9B4">
            <w:pPr>
              <w:pStyle w:val="BodyText"/>
              <w:rPr>
                <w:lang w:val="en-NZ"/>
              </w:rPr>
            </w:pPr>
            <w:r w:rsidRPr="00F939B4">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9B4">
            <w:pPr>
              <w:pStyle w:val="BodyText"/>
              <w:rPr>
                <w:lang w:val="en-NZ"/>
              </w:rPr>
            </w:pPr>
            <w:r w:rsidRPr="00F939B4">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9B4">
            <w:pPr>
              <w:pStyle w:val="BodyText"/>
              <w:rPr>
                <w:lang w:val="en-NZ"/>
              </w:rPr>
            </w:pPr>
            <w:r w:rsidRPr="00F939B4">
              <w:t>Replace “essential knowledge and associated skills”</w:t>
            </w:r>
            <w:r w:rsidRPr="00F939B4">
              <w:t xml:space="preserve"> with “required skills and knowledge”.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9B4" w:rsidP="00F939B4">
            <w:pPr>
              <w:pStyle w:val="BodyText"/>
            </w:pPr>
          </w:p>
        </w:tc>
      </w:tr>
    </w:tbl>
    <w:p w:rsidR="00000000" w:rsidRPr="00F939B4" w:rsidP="00F939B4">
      <w:pPr>
        <w:pStyle w:val="BodyText"/>
      </w:pPr>
    </w:p>
    <w:p w:rsidR="00000000" w:rsidRPr="00F939B4" w:rsidP="00F939B4">
      <w:pPr>
        <w:pStyle w:val="AllowPageBreak"/>
      </w:pPr>
    </w:p>
    <w:p w:rsidR="00000000" w:rsidRPr="00F939B4" w:rsidP="00F939B4">
      <w:pPr>
        <w:pStyle w:val="Heading1"/>
      </w:pPr>
      <w:bookmarkStart w:id="2" w:name="O_533907"/>
      <w:bookmarkEnd w:id="2"/>
      <w:r w:rsidRPr="00F939B4">
        <w:t>Unit Descriptor</w:t>
      </w:r>
    </w:p>
    <w:tbl>
      <w:tblPr>
        <w:tblW w:w="0" w:type="auto"/>
        <w:tblLayout w:type="fixed"/>
        <w:tblCellMar>
          <w:left w:w="62" w:type="dxa"/>
          <w:right w:w="62" w:type="dxa"/>
        </w:tblCellMar>
        <w:tblLook w:val="0000"/>
      </w:tblPr>
      <w:tblGrid>
        <w:gridCol w:w="2700"/>
        <w:gridCol w:w="5760"/>
      </w:tblGrid>
      <w:tr w:rsidTr="008755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39B4" w:rsidP="00F939B4">
            <w:pPr>
              <w:pStyle w:val="BodyText"/>
            </w:pPr>
            <w:r w:rsidRPr="00F939B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rPr>
                <w:rStyle w:val="SpecialBold"/>
              </w:rPr>
              <w:t>1)</w:t>
            </w:r>
            <w:r w:rsidRPr="00F939B4">
              <w:t xml:space="preserve"> </w:t>
            </w:r>
            <w:r w:rsidRPr="00F939B4">
              <w:rPr>
                <w:rStyle w:val="SpecialBold"/>
              </w:rPr>
              <w:t>Scope:</w:t>
            </w:r>
          </w:p>
        </w:tc>
      </w:tr>
      <w:tr w:rsidTr="008755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939B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rPr>
                <w:rStyle w:val="SpecialBold"/>
              </w:rPr>
              <w:t>1.1) Descriptor</w:t>
            </w:r>
          </w:p>
        </w:tc>
      </w:tr>
      <w:tr w:rsidTr="008755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39B4" w:rsidP="00F939B4">
            <w:pPr>
              <w:pStyle w:val="BodyText"/>
            </w:pPr>
            <w:r w:rsidRPr="00F939B4">
              <w:t>This unit covers programming for multiple access to integrated systems for a single dwelling.  Such access includes mobile phones, computer networks, remote controls, touch screens and the like. It encompasses working safely and to manufacturer’s instructi</w:t>
            </w:r>
            <w:r w:rsidRPr="00F939B4">
              <w:t>ons and regulatory requirements, installing and setting up gateway equipment, applying knowledge of the application of integrated system including remote reprogramming and monitoring, using proprietary programming tools, and documenting as-programmed acces</w:t>
            </w:r>
            <w:r w:rsidRPr="00F939B4">
              <w:t>s functions.</w:t>
            </w:r>
          </w:p>
        </w:tc>
      </w:tr>
    </w:tbl>
    <w:p w:rsidR="00000000" w:rsidRPr="00F939B4" w:rsidP="00F939B4">
      <w:pPr>
        <w:pStyle w:val="BodyText"/>
      </w:pPr>
    </w:p>
    <w:p w:rsidR="00000000" w:rsidRPr="00F939B4" w:rsidP="00F939B4">
      <w:pPr>
        <w:pStyle w:val="AllowPageBreak"/>
      </w:pPr>
    </w:p>
    <w:p w:rsidR="00000000" w:rsidRPr="00F939B4" w:rsidP="00F939B4">
      <w:pPr>
        <w:pStyle w:val="Heading1"/>
      </w:pPr>
      <w:bookmarkStart w:id="3" w:name="O_533906"/>
      <w:bookmarkEnd w:id="3"/>
      <w:r w:rsidRPr="00F939B4">
        <w:t>Application of the Unit</w:t>
      </w:r>
    </w:p>
    <w:tbl>
      <w:tblPr>
        <w:tblW w:w="0" w:type="auto"/>
        <w:tblLayout w:type="fixed"/>
        <w:tblCellMar>
          <w:left w:w="62" w:type="dxa"/>
          <w:right w:w="62" w:type="dxa"/>
        </w:tblCellMar>
        <w:tblLook w:val="0000"/>
      </w:tblPr>
      <w:tblGrid>
        <w:gridCol w:w="2672"/>
        <w:gridCol w:w="5699"/>
      </w:tblGrid>
      <w:tr w:rsidTr="008755B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939B4" w:rsidP="00F939B4">
            <w:pPr>
              <w:pStyle w:val="BodyText"/>
            </w:pPr>
            <w:r w:rsidRPr="00F939B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rPr>
                <w:rStyle w:val="SpecialBold"/>
              </w:rPr>
              <w:t>2)</w:t>
            </w:r>
          </w:p>
        </w:tc>
      </w:tr>
      <w:tr w:rsidTr="008755B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939B4" w:rsidP="00F939B4">
            <w:pPr>
              <w:pStyle w:val="BodyText"/>
            </w:pPr>
            <w:r w:rsidRPr="00F939B4">
              <w:t>This unit is intended as an elective or skill set at AQF 4 level. It may be aligned with a vendor training program that is shown to have the same competency outcomes as th</w:t>
            </w:r>
            <w:r w:rsidRPr="00F939B4">
              <w:t>is unit.</w:t>
            </w:r>
          </w:p>
        </w:tc>
      </w:tr>
    </w:tbl>
    <w:p w:rsidR="00000000" w:rsidRPr="00F939B4" w:rsidP="00F939B4">
      <w:pPr>
        <w:pStyle w:val="BodyText"/>
      </w:pPr>
    </w:p>
    <w:p w:rsidR="00000000" w:rsidRPr="00F939B4" w:rsidP="00F939B4">
      <w:pPr>
        <w:pStyle w:val="AllowPageBreak"/>
      </w:pPr>
    </w:p>
    <w:p w:rsidR="00000000" w:rsidRPr="00F939B4" w:rsidP="00F939B4">
      <w:pPr>
        <w:pStyle w:val="Heading1"/>
      </w:pPr>
      <w:bookmarkStart w:id="4" w:name="O_533905"/>
      <w:bookmarkEnd w:id="4"/>
      <w:r w:rsidRPr="00F939B4">
        <w:t>Licensing/Regulatory Information</w:t>
      </w:r>
    </w:p>
    <w:tbl>
      <w:tblPr>
        <w:tblW w:w="0" w:type="auto"/>
        <w:tblLayout w:type="fixed"/>
        <w:tblCellMar>
          <w:left w:w="62" w:type="dxa"/>
          <w:right w:w="62" w:type="dxa"/>
        </w:tblCellMar>
        <w:tblLook w:val="0000"/>
      </w:tblPr>
      <w:tblGrid>
        <w:gridCol w:w="2700"/>
        <w:gridCol w:w="5760"/>
      </w:tblGrid>
      <w:tr w:rsidTr="008755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39B4" w:rsidP="00F939B4">
            <w:pPr>
              <w:pStyle w:val="BodyText"/>
            </w:pPr>
            <w:r w:rsidRPr="00F939B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rPr>
                <w:rStyle w:val="SpecialBold"/>
              </w:rPr>
              <w:t xml:space="preserve">3) </w:t>
            </w:r>
          </w:p>
        </w:tc>
      </w:tr>
      <w:tr w:rsidTr="008755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39B4" w:rsidP="00F939B4">
            <w:pPr>
              <w:pStyle w:val="BodyText"/>
            </w:pPr>
            <w:r w:rsidRPr="00F939B4">
              <w:t xml:space="preserve">The skills and knowledge described in this unit do not require a licence to practice in the workplace. However the skills and knowledge as </w:t>
            </w:r>
            <w:r w:rsidRPr="00F939B4">
              <w:t>they apply to working directly on the associated electrical power wiring and equipment require a licence to practise in the workplace where the operating voltage is above 50 V a.c. or 120 V d.c. subject to regulations to carry out electrical work. Practice</w:t>
            </w:r>
            <w:r w:rsidRPr="00F939B4">
              <w:t xml:space="preserve"> in the workplace and during training is subject to occupational health and safety regulations and codes and obligation of ‘contracts of training’ such as apprenticeships.</w:t>
            </w:r>
          </w:p>
        </w:tc>
      </w:tr>
    </w:tbl>
    <w:p w:rsidR="00000000" w:rsidRPr="00F939B4" w:rsidP="00F939B4">
      <w:pPr>
        <w:pStyle w:val="BodyText"/>
      </w:pPr>
    </w:p>
    <w:p w:rsidR="00000000" w:rsidRPr="00F939B4" w:rsidP="00F939B4">
      <w:pPr>
        <w:pStyle w:val="AllowPageBreak"/>
      </w:pPr>
    </w:p>
    <w:p w:rsidR="00000000" w:rsidRPr="00F939B4" w:rsidP="00F939B4">
      <w:pPr>
        <w:pStyle w:val="Heading1"/>
      </w:pPr>
      <w:bookmarkStart w:id="5" w:name="O_533904"/>
      <w:bookmarkEnd w:id="5"/>
      <w:r w:rsidRPr="00F939B4">
        <w:t>Pre-Requisites</w:t>
      </w:r>
    </w:p>
    <w:tbl>
      <w:tblPr>
        <w:tblW w:w="0" w:type="auto"/>
        <w:tblLayout w:type="fixed"/>
        <w:tblCellMar>
          <w:left w:w="62" w:type="dxa"/>
          <w:right w:w="62" w:type="dxa"/>
        </w:tblCellMar>
        <w:tblLook w:val="0000"/>
      </w:tblPr>
      <w:tblGrid>
        <w:gridCol w:w="2638"/>
        <w:gridCol w:w="1800"/>
        <w:gridCol w:w="3960"/>
      </w:tblGrid>
      <w:tr w:rsidTr="00F939B4">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F939B4" w:rsidP="00F939B4">
            <w:pPr>
              <w:pStyle w:val="BodyText"/>
            </w:pPr>
            <w:r w:rsidRPr="00F939B4">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rPr>
                <w:rStyle w:val="SpecialBold"/>
              </w:rPr>
              <w:t xml:space="preserve">4) </w:t>
            </w:r>
          </w:p>
        </w:tc>
      </w:tr>
      <w:tr w:rsidTr="00F939B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F939B4" w:rsidP="00F939B4">
            <w:pPr>
              <w:pStyle w:val="BodyText"/>
            </w:pPr>
            <w:r w:rsidRPr="00F939B4">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rPr>
                <w:rStyle w:val="SpecialBold"/>
              </w:rPr>
              <w:t>4.1)</w:t>
            </w:r>
          </w:p>
        </w:tc>
      </w:tr>
      <w:tr w:rsidTr="00F939B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F939B4" w:rsidP="00F939B4">
            <w:pPr>
              <w:pStyle w:val="BodyText"/>
            </w:pPr>
            <w:r w:rsidRPr="00F939B4">
              <w:t>Granting of competency in this unit shall be made only after competency in the following unit(s) has/have been confirmed.</w:t>
            </w:r>
          </w:p>
          <w:p w:rsidR="00000000" w:rsidRPr="00F939B4" w:rsidP="00F939B4">
            <w:pPr>
              <w:pStyle w:val="BodyText"/>
            </w:pPr>
            <w:r w:rsidRPr="00F939B4">
              <w:t xml:space="preserve">Where pre-requisite pathways have been identified. All competencies in the Common Unit Group must be have been completed plus all the </w:t>
            </w:r>
            <w:r w:rsidRPr="00F939B4">
              <w:t>competencies in one (1) of the identified Pathway Unit Group(s):</w:t>
            </w:r>
          </w:p>
          <w:p w:rsidR="00000000" w:rsidRPr="00F939B4" w:rsidP="00F939B4">
            <w:pPr>
              <w:pStyle w:val="BodyText"/>
            </w:pPr>
            <w:r w:rsidRPr="00F939B4">
              <w:t xml:space="preserve">Electrotechnology </w:t>
            </w:r>
          </w:p>
          <w:p w:rsidR="00000000" w:rsidP="00F939B4">
            <w:pPr>
              <w:pStyle w:val="BodyText"/>
              <w:rPr>
                <w:lang w:val="en-NZ"/>
              </w:rPr>
            </w:pPr>
            <w:r w:rsidRPr="00F939B4">
              <w:t>Electrical</w:t>
            </w:r>
          </w:p>
        </w:tc>
      </w:tr>
      <w:tr w:rsidTr="00F939B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Common Unit Group</w:t>
            </w:r>
          </w:p>
        </w:tc>
      </w:tr>
      <w:tr w:rsidTr="00F939B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Unit Code</w:t>
            </w:r>
          </w:p>
        </w:tc>
        <w:tc>
          <w:tcPr>
            <w:tcW w:w="3960"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Unit Title</w:t>
            </w:r>
          </w:p>
        </w:tc>
      </w:tr>
      <w:tr w:rsidTr="00F939B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UEENEED101A</w:t>
            </w:r>
          </w:p>
        </w:tc>
        <w:tc>
          <w:tcPr>
            <w:tcW w:w="3960"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Use computer applications relevant to a workplace</w:t>
            </w:r>
          </w:p>
        </w:tc>
      </w:tr>
      <w:tr w:rsidTr="00F939B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UEENEEE101A</w:t>
            </w:r>
          </w:p>
        </w:tc>
        <w:tc>
          <w:tcPr>
            <w:tcW w:w="3960" w:type="dxa"/>
            <w:tcBorders>
              <w:top w:val="nil"/>
              <w:left w:val="nil"/>
              <w:bottom w:val="nil"/>
              <w:right w:val="nil"/>
            </w:tcBorders>
            <w:tcMar>
              <w:top w:w="0" w:type="dxa"/>
              <w:left w:w="62" w:type="dxa"/>
              <w:bottom w:w="0" w:type="dxa"/>
              <w:right w:w="62" w:type="dxa"/>
            </w:tcMar>
            <w:vAlign w:val="bottom"/>
          </w:tcPr>
          <w:p w:rsidR="00000000" w:rsidP="00F939B4">
            <w:pPr>
              <w:pStyle w:val="BodyText"/>
              <w:rPr>
                <w:lang w:val="en-NZ"/>
              </w:rPr>
            </w:pPr>
            <w:r w:rsidRPr="00F939B4">
              <w:t>Apply Occupational Health and Safety regulations, codes and practices in the workplace</w:t>
            </w:r>
          </w:p>
        </w:tc>
      </w:tr>
      <w:tr w:rsidTr="00F939B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F939B4">
            <w:pPr>
              <w:pStyle w:val="BodyText"/>
              <w:rPr>
                <w:lang w:val="en-NZ"/>
              </w:rPr>
            </w:pPr>
            <w:r w:rsidRPr="00F939B4">
              <w:t>UEENEEE102A</w:t>
            </w:r>
          </w:p>
        </w:tc>
        <w:tc>
          <w:tcPr>
            <w:tcW w:w="3960" w:type="dxa"/>
            <w:tcBorders>
              <w:top w:val="nil"/>
              <w:left w:val="nil"/>
              <w:bottom w:val="nil"/>
              <w:right w:val="nil"/>
            </w:tcBorders>
            <w:tcMar>
              <w:top w:w="0" w:type="dxa"/>
              <w:left w:w="62" w:type="dxa"/>
              <w:bottom w:w="0" w:type="dxa"/>
              <w:right w:w="62" w:type="dxa"/>
            </w:tcMar>
            <w:vAlign w:val="bottom"/>
          </w:tcPr>
          <w:p w:rsidR="00000000" w:rsidP="00F939B4">
            <w:pPr>
              <w:pStyle w:val="BodyText"/>
              <w:rPr>
                <w:lang w:val="en-NZ"/>
              </w:rPr>
            </w:pPr>
            <w:r w:rsidRPr="00F939B4">
              <w:t>Fabricate, assemble and dismantle utilities industry components</w:t>
            </w:r>
          </w:p>
        </w:tc>
      </w:tr>
      <w:tr w:rsidTr="00F939B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F939B4">
            <w:pPr>
              <w:pStyle w:val="BodyText"/>
              <w:rPr>
                <w:lang w:val="en-NZ"/>
              </w:rPr>
            </w:pPr>
            <w:r w:rsidRPr="00F939B4">
              <w:t>UEENEEE105A</w:t>
            </w:r>
          </w:p>
        </w:tc>
        <w:tc>
          <w:tcPr>
            <w:tcW w:w="3960" w:type="dxa"/>
            <w:tcBorders>
              <w:top w:val="nil"/>
              <w:left w:val="nil"/>
              <w:bottom w:val="nil"/>
              <w:right w:val="nil"/>
            </w:tcBorders>
            <w:tcMar>
              <w:top w:w="0" w:type="dxa"/>
              <w:left w:w="62" w:type="dxa"/>
              <w:bottom w:w="0" w:type="dxa"/>
              <w:right w:w="62" w:type="dxa"/>
            </w:tcMar>
            <w:vAlign w:val="bottom"/>
          </w:tcPr>
          <w:p w:rsidR="00000000" w:rsidP="00F939B4">
            <w:pPr>
              <w:pStyle w:val="BodyText"/>
              <w:rPr>
                <w:lang w:val="en-NZ"/>
              </w:rPr>
            </w:pPr>
            <w:r w:rsidRPr="00F939B4">
              <w:t>Fix and secure electrotechnology equipment</w:t>
            </w:r>
          </w:p>
        </w:tc>
      </w:tr>
      <w:tr w:rsidTr="00F939B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F939B4">
            <w:pPr>
              <w:pStyle w:val="BodyText"/>
              <w:rPr>
                <w:lang w:val="en-NZ"/>
              </w:rPr>
            </w:pPr>
            <w:r w:rsidRPr="00F939B4">
              <w:t>UEENEEE107A</w:t>
            </w:r>
          </w:p>
        </w:tc>
        <w:tc>
          <w:tcPr>
            <w:tcW w:w="3960" w:type="dxa"/>
            <w:tcBorders>
              <w:top w:val="nil"/>
              <w:left w:val="nil"/>
              <w:bottom w:val="nil"/>
              <w:right w:val="nil"/>
            </w:tcBorders>
            <w:tcMar>
              <w:top w:w="0" w:type="dxa"/>
              <w:left w:w="62" w:type="dxa"/>
              <w:bottom w:w="0" w:type="dxa"/>
              <w:right w:w="62" w:type="dxa"/>
            </w:tcMar>
            <w:vAlign w:val="bottom"/>
          </w:tcPr>
          <w:p w:rsidR="00000000" w:rsidP="00F939B4">
            <w:pPr>
              <w:pStyle w:val="BodyText"/>
              <w:rPr>
                <w:lang w:val="en-NZ"/>
              </w:rPr>
            </w:pPr>
            <w:r w:rsidRPr="00F939B4">
              <w:t>Use drawings, diagrams, schedules, standards, codes and specifications</w:t>
            </w:r>
          </w:p>
        </w:tc>
      </w:tr>
      <w:tr w:rsidTr="00F939B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UEENEEI141A</w:t>
            </w:r>
          </w:p>
        </w:tc>
        <w:tc>
          <w:tcPr>
            <w:tcW w:w="3960"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Develop electrical integrated systems</w:t>
            </w:r>
          </w:p>
        </w:tc>
      </w:tr>
      <w:tr w:rsidTr="00F939B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UEENEEI142A</w:t>
            </w:r>
          </w:p>
        </w:tc>
        <w:tc>
          <w:tcPr>
            <w:tcW w:w="3960"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Develop an electrical integrated system interface for access through a touch screen.</w:t>
            </w:r>
          </w:p>
        </w:tc>
      </w:tr>
      <w:tr w:rsidTr="00F939B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 xml:space="preserve">Electrotechnology Pathway Group </w:t>
            </w:r>
          </w:p>
        </w:tc>
      </w:tr>
      <w:tr w:rsidTr="00F939B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Unit Code</w:t>
            </w:r>
          </w:p>
        </w:tc>
        <w:tc>
          <w:tcPr>
            <w:tcW w:w="3960"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Unit Title</w:t>
            </w:r>
          </w:p>
        </w:tc>
      </w:tr>
      <w:tr w:rsidTr="00F939B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UEENEEE108A</w:t>
            </w:r>
          </w:p>
        </w:tc>
        <w:tc>
          <w:tcPr>
            <w:tcW w:w="3960"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Lay wiring/cabling and terminate accessories for ELV circuits</w:t>
            </w:r>
          </w:p>
        </w:tc>
      </w:tr>
      <w:tr w:rsidTr="00F939B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Electrical Pathway Group</w:t>
            </w:r>
          </w:p>
        </w:tc>
      </w:tr>
      <w:tr w:rsidTr="00F939B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Unit Code</w:t>
            </w:r>
          </w:p>
        </w:tc>
        <w:tc>
          <w:tcPr>
            <w:tcW w:w="3960"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Unit Title</w:t>
            </w:r>
          </w:p>
        </w:tc>
      </w:tr>
      <w:tr w:rsidTr="00F939B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UEENEEG106A</w:t>
            </w:r>
          </w:p>
        </w:tc>
        <w:tc>
          <w:tcPr>
            <w:tcW w:w="3960" w:type="dxa"/>
            <w:tcBorders>
              <w:top w:val="nil"/>
              <w:left w:val="nil"/>
              <w:bottom w:val="nil"/>
              <w:right w:val="nil"/>
            </w:tcBorders>
            <w:tcMar>
              <w:top w:w="0" w:type="dxa"/>
              <w:left w:w="62" w:type="dxa"/>
              <w:bottom w:w="0" w:type="dxa"/>
              <w:right w:w="62" w:type="dxa"/>
            </w:tcMar>
          </w:tcPr>
          <w:p w:rsidR="00000000" w:rsidRPr="00F939B4" w:rsidP="00F939B4">
            <w:pPr>
              <w:pStyle w:val="BodyText"/>
            </w:pPr>
            <w:r w:rsidRPr="00F939B4">
              <w:t>Terminate cables, cords and accessories for low voltage circuits</w:t>
            </w:r>
          </w:p>
        </w:tc>
      </w:tr>
    </w:tbl>
    <w:p w:rsidR="00000000" w:rsidRPr="00F939B4" w:rsidP="00F939B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755B6">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939B4" w:rsidP="00F939B4">
            <w:pPr>
              <w:pStyle w:val="BodyText"/>
            </w:pPr>
            <w:r w:rsidRPr="00F939B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rPr>
                <w:rStyle w:val="SpecialBold"/>
              </w:rPr>
              <w:t xml:space="preserve">4.2) </w:t>
            </w:r>
          </w:p>
        </w:tc>
      </w:tr>
      <w:tr w:rsidTr="008755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Participants are best equipped to achieve competency in this unit if they have reading, writing and numeracy skills indicated by the following scales. Description of each scale is given in Volume 2, Part 3 ‘</w:t>
            </w:r>
            <w:r w:rsidRPr="00F939B4">
              <w:t>Literacy and Numeracy’</w:t>
            </w:r>
          </w:p>
        </w:tc>
      </w:tr>
      <w:tr w:rsidTr="008755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Reading</w:t>
            </w:r>
          </w:p>
        </w:tc>
        <w:tc>
          <w:tcPr>
            <w:tcW w:w="810"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5</w:t>
            </w:r>
          </w:p>
        </w:tc>
        <w:tc>
          <w:tcPr>
            <w:tcW w:w="990"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Writing</w:t>
            </w:r>
          </w:p>
        </w:tc>
        <w:tc>
          <w:tcPr>
            <w:tcW w:w="900"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5</w:t>
            </w:r>
          </w:p>
        </w:tc>
        <w:tc>
          <w:tcPr>
            <w:tcW w:w="1260"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Numeracy</w:t>
            </w:r>
          </w:p>
        </w:tc>
        <w:tc>
          <w:tcPr>
            <w:tcW w:w="720" w:type="dxa"/>
            <w:tcBorders>
              <w:top w:val="nil"/>
              <w:left w:val="nil"/>
              <w:bottom w:val="nil"/>
              <w:right w:val="nil"/>
            </w:tcBorders>
            <w:tcMar>
              <w:top w:w="0" w:type="dxa"/>
              <w:left w:w="62" w:type="dxa"/>
              <w:bottom w:w="0" w:type="dxa"/>
              <w:right w:w="62" w:type="dxa"/>
            </w:tcMar>
          </w:tcPr>
          <w:p w:rsidR="00000000" w:rsidRPr="00F939B4" w:rsidP="00F939B4">
            <w:pPr>
              <w:pStyle w:val="BodyText"/>
            </w:pPr>
            <w:r w:rsidRPr="00F939B4">
              <w:t>5</w:t>
            </w:r>
          </w:p>
        </w:tc>
      </w:tr>
    </w:tbl>
    <w:p w:rsidR="00000000" w:rsidRPr="00F939B4" w:rsidP="00F939B4">
      <w:pPr>
        <w:pStyle w:val="BodyText"/>
      </w:pPr>
    </w:p>
    <w:p w:rsidR="00000000" w:rsidRPr="00F939B4" w:rsidP="00F939B4">
      <w:pPr>
        <w:pStyle w:val="AllowPageBreak"/>
      </w:pPr>
    </w:p>
    <w:p w:rsidR="00000000" w:rsidRPr="00F939B4" w:rsidP="00F939B4">
      <w:pPr>
        <w:pStyle w:val="Heading1"/>
      </w:pPr>
      <w:bookmarkStart w:id="6" w:name="O_533903"/>
      <w:bookmarkEnd w:id="6"/>
      <w:r w:rsidRPr="00F939B4">
        <w:t>Employability Skills Information</w:t>
      </w:r>
    </w:p>
    <w:tbl>
      <w:tblPr>
        <w:tblW w:w="0" w:type="auto"/>
        <w:tblLayout w:type="fixed"/>
        <w:tblCellMar>
          <w:left w:w="62" w:type="dxa"/>
          <w:right w:w="62" w:type="dxa"/>
        </w:tblCellMar>
        <w:tblLook w:val="0000"/>
      </w:tblPr>
      <w:tblGrid>
        <w:gridCol w:w="2700"/>
        <w:gridCol w:w="5760"/>
      </w:tblGrid>
      <w:tr w:rsidTr="008755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39B4" w:rsidP="00F939B4">
            <w:pPr>
              <w:pStyle w:val="BodyText"/>
            </w:pPr>
            <w:r w:rsidRPr="00F939B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rPr>
                <w:rStyle w:val="SpecialBold"/>
              </w:rPr>
              <w:t xml:space="preserve">5) </w:t>
            </w:r>
          </w:p>
        </w:tc>
      </w:tr>
      <w:tr w:rsidTr="008755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39B4" w:rsidP="00F939B4">
            <w:pPr>
              <w:pStyle w:val="BodyText"/>
            </w:pPr>
            <w:r w:rsidRPr="00F939B4">
              <w:t>This unit contains Employability Skills</w:t>
            </w:r>
          </w:p>
          <w:p w:rsidR="00000000" w:rsidRPr="00F939B4" w:rsidP="00F939B4">
            <w:pPr>
              <w:pStyle w:val="BodyText"/>
            </w:pPr>
            <w:r w:rsidRPr="00F939B4">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F939B4">
              <w:t>requirements.</w:t>
            </w:r>
          </w:p>
        </w:tc>
      </w:tr>
    </w:tbl>
    <w:p w:rsidR="00000000" w:rsidRPr="00F939B4" w:rsidP="00F939B4">
      <w:pPr>
        <w:pStyle w:val="BodyText"/>
      </w:pPr>
    </w:p>
    <w:p w:rsidR="00000000" w:rsidRPr="00F939B4" w:rsidP="00F939B4">
      <w:pPr>
        <w:pStyle w:val="AllowPageBreak"/>
      </w:pPr>
    </w:p>
    <w:p w:rsidR="00000000" w:rsidRPr="00F939B4" w:rsidP="00F939B4">
      <w:pPr>
        <w:pStyle w:val="Heading1"/>
      </w:pPr>
      <w:bookmarkStart w:id="7" w:name="O_533902"/>
      <w:bookmarkEnd w:id="7"/>
      <w:r w:rsidRPr="00F939B4">
        <w:t>Elements and Performance Criteria Pre-Content</w:t>
      </w:r>
    </w:p>
    <w:tbl>
      <w:tblPr>
        <w:tblW w:w="0" w:type="auto"/>
        <w:tblLayout w:type="fixed"/>
        <w:tblCellMar>
          <w:left w:w="62" w:type="dxa"/>
          <w:right w:w="62" w:type="dxa"/>
        </w:tblCellMar>
        <w:tblLook w:val="0000"/>
      </w:tblPr>
      <w:tblGrid>
        <w:gridCol w:w="2700"/>
        <w:gridCol w:w="5760"/>
      </w:tblGrid>
      <w:tr w:rsidTr="008755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rPr>
                <w:rStyle w:val="SpecialBold"/>
              </w:rPr>
              <w:t>6)</w:t>
            </w:r>
            <w:r w:rsidRPr="00F939B4">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939B4" w:rsidP="00F939B4">
            <w:pPr>
              <w:pStyle w:val="BodyText"/>
            </w:pPr>
            <w:r w:rsidRPr="00F939B4">
              <w:t>Performance Criteria describe the required performance needed to demonstrate achievement of the element. Assessment of performance is to be consistent with the Evidence Guide.</w:t>
            </w:r>
          </w:p>
        </w:tc>
      </w:tr>
    </w:tbl>
    <w:p w:rsidR="00000000" w:rsidRPr="00F939B4" w:rsidP="00F939B4">
      <w:pPr>
        <w:pStyle w:val="BodyText"/>
      </w:pPr>
    </w:p>
    <w:p w:rsidR="00000000" w:rsidRPr="00F939B4" w:rsidP="00F939B4">
      <w:pPr>
        <w:pStyle w:val="AllowPageBreak"/>
      </w:pPr>
    </w:p>
    <w:p w:rsidR="00000000" w:rsidRPr="00F939B4" w:rsidP="00F939B4">
      <w:pPr>
        <w:pStyle w:val="Heading1"/>
      </w:pPr>
      <w:bookmarkStart w:id="8" w:name="O_533901"/>
      <w:bookmarkEnd w:id="8"/>
      <w:r w:rsidRPr="00F939B4">
        <w:t>Elements and Performance Criteria</w:t>
      </w:r>
    </w:p>
    <w:tbl>
      <w:tblPr>
        <w:tblW w:w="0" w:type="auto"/>
        <w:tblLayout w:type="fixed"/>
        <w:tblCellMar>
          <w:left w:w="62" w:type="dxa"/>
          <w:right w:w="62" w:type="dxa"/>
        </w:tblCellMar>
        <w:tblLook w:val="0000"/>
      </w:tblPr>
      <w:tblGrid>
        <w:gridCol w:w="453"/>
        <w:gridCol w:w="2247"/>
        <w:gridCol w:w="20"/>
        <w:gridCol w:w="902"/>
        <w:gridCol w:w="4838"/>
        <w:gridCol w:w="51"/>
      </w:tblGrid>
      <w:tr w:rsidTr="008755B6">
        <w:tblPrEx>
          <w:tblW w:w="0" w:type="auto"/>
          <w:tblLayout w:type="fixed"/>
          <w:tblCellMar>
            <w:left w:w="62" w:type="dxa"/>
            <w:right w:w="62" w:type="dxa"/>
          </w:tblCellMar>
          <w:tblLook w:val="0000"/>
        </w:tblPrEx>
        <w:trPr>
          <w:gridAfter w:val="1"/>
          <w:wAfter w:w="51" w:type="dxa"/>
          <w:tblHeader/>
        </w:trPr>
        <w:tc>
          <w:tcPr>
            <w:tcW w:w="2700" w:type="dxa"/>
            <w:gridSpan w:val="2"/>
            <w:tcBorders>
              <w:top w:val="nil"/>
              <w:left w:val="nil"/>
              <w:bottom w:val="nil"/>
              <w:right w:val="nil"/>
            </w:tcBorders>
            <w:tcMar>
              <w:top w:w="0" w:type="dxa"/>
              <w:left w:w="62" w:type="dxa"/>
              <w:bottom w:w="0" w:type="dxa"/>
              <w:right w:w="62" w:type="dxa"/>
            </w:tcMar>
          </w:tcPr>
          <w:p w:rsidR="00000000" w:rsidRPr="00F939B4" w:rsidP="00F939B4">
            <w:pPr>
              <w:pStyle w:val="BodyText"/>
            </w:pPr>
            <w:r w:rsidRPr="00F939B4">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rPr>
                <w:rStyle w:val="SpecialBold"/>
              </w:rPr>
              <w:t>PERFORMANCE CRITER</w:t>
            </w:r>
            <w:r w:rsidRPr="00F939B4">
              <w:rPr>
                <w:rStyle w:val="SpecialBold"/>
              </w:rPr>
              <w:t>IA</w:t>
            </w:r>
          </w:p>
        </w:tc>
      </w:tr>
      <w:tr w:rsidTr="008755B6">
        <w:tblPrEx>
          <w:tblW w:w="0" w:type="auto"/>
          <w:tblLayout w:type="fixed"/>
          <w:tblCellMar>
            <w:left w:w="62" w:type="dxa"/>
            <w:right w:w="62" w:type="dxa"/>
          </w:tblCellMar>
          <w:tblLook w:val="0000"/>
        </w:tblPrEx>
        <w:tc>
          <w:tcPr>
            <w:tcW w:w="453"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1</w:t>
            </w:r>
          </w:p>
        </w:tc>
        <w:tc>
          <w:tcPr>
            <w:tcW w:w="2267" w:type="dxa"/>
            <w:gridSpan w:val="2"/>
            <w:vMerge w:val="restart"/>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Prepare to develop an interfaces for multiple access methods of integrated system</w:t>
            </w:r>
          </w:p>
        </w:tc>
        <w:tc>
          <w:tcPr>
            <w:tcW w:w="902"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1.1</w:t>
            </w:r>
          </w:p>
        </w:tc>
        <w:tc>
          <w:tcPr>
            <w:tcW w:w="4889" w:type="dxa"/>
            <w:gridSpan w:val="2"/>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The extent of the various services in the integrated system determined from the systems data base and customer requirements.</w:t>
            </w:r>
          </w:p>
        </w:tc>
      </w:tr>
      <w:tr w:rsidTr="008755B6">
        <w:tblPrEx>
          <w:tblW w:w="0" w:type="auto"/>
          <w:tblLayout w:type="fixed"/>
          <w:tblCellMar>
            <w:left w:w="62" w:type="dxa"/>
            <w:right w:w="62" w:type="dxa"/>
          </w:tblCellMar>
          <w:tblLook w:val="0000"/>
        </w:tblPrEx>
        <w:tc>
          <w:tcPr>
            <w:tcW w:w="4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7"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2"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1.2</w:t>
            </w:r>
          </w:p>
        </w:tc>
        <w:tc>
          <w:tcPr>
            <w:tcW w:w="4889" w:type="dxa"/>
            <w:gridSpan w:val="2"/>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Control parameters are determined from the integrated systems data base and confirmed with the customer.</w:t>
            </w:r>
          </w:p>
        </w:tc>
      </w:tr>
      <w:tr w:rsidTr="008755B6">
        <w:tblPrEx>
          <w:tblW w:w="0" w:type="auto"/>
          <w:tblLayout w:type="fixed"/>
          <w:tblCellMar>
            <w:left w:w="62" w:type="dxa"/>
            <w:right w:w="62" w:type="dxa"/>
          </w:tblCellMar>
          <w:tblLook w:val="0000"/>
        </w:tblPrEx>
        <w:tc>
          <w:tcPr>
            <w:tcW w:w="4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2"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1.3</w:t>
            </w:r>
          </w:p>
        </w:tc>
        <w:tc>
          <w:tcPr>
            <w:tcW w:w="4889" w:type="dxa"/>
            <w:gridSpan w:val="2"/>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 xml:space="preserve">Programming software tools and project data are down loaded to a compatible PC and checked </w:t>
            </w:r>
          </w:p>
        </w:tc>
      </w:tr>
      <w:tr w:rsidTr="008755B6">
        <w:tblPrEx>
          <w:tblW w:w="0" w:type="auto"/>
          <w:tblLayout w:type="fixed"/>
          <w:tblCellMar>
            <w:left w:w="62" w:type="dxa"/>
            <w:right w:w="62" w:type="dxa"/>
          </w:tblCellMar>
          <w:tblLook w:val="0000"/>
        </w:tblPrEx>
        <w:tc>
          <w:tcPr>
            <w:tcW w:w="4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2"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1.4</w:t>
            </w:r>
          </w:p>
        </w:tc>
        <w:tc>
          <w:tcPr>
            <w:tcW w:w="4889" w:type="dxa"/>
            <w:gridSpan w:val="2"/>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Manufacturer’</w:t>
            </w:r>
            <w:r w:rsidRPr="00F939B4">
              <w:t>s instruction for installing and connecting gateway equipment are read and understood.</w:t>
            </w:r>
          </w:p>
        </w:tc>
      </w:tr>
      <w:tr w:rsidTr="008755B6">
        <w:tblPrEx>
          <w:tblW w:w="0" w:type="auto"/>
          <w:tblLayout w:type="fixed"/>
          <w:tblCellMar>
            <w:left w:w="62" w:type="dxa"/>
            <w:right w:w="62" w:type="dxa"/>
          </w:tblCellMar>
          <w:tblLook w:val="0000"/>
        </w:tblPrEx>
        <w:tc>
          <w:tcPr>
            <w:tcW w:w="453"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2</w:t>
            </w:r>
          </w:p>
        </w:tc>
        <w:tc>
          <w:tcPr>
            <w:tcW w:w="2267" w:type="dxa"/>
            <w:gridSpan w:val="2"/>
            <w:vMerge w:val="restart"/>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Develop an interface for multiple access of  integrated systems</w:t>
            </w:r>
          </w:p>
        </w:tc>
        <w:tc>
          <w:tcPr>
            <w:tcW w:w="902"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2.1</w:t>
            </w:r>
          </w:p>
        </w:tc>
        <w:tc>
          <w:tcPr>
            <w:tcW w:w="4889" w:type="dxa"/>
            <w:gridSpan w:val="2"/>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OHS risk control work measures and procedures are followed.</w:t>
            </w:r>
          </w:p>
        </w:tc>
      </w:tr>
      <w:tr w:rsidTr="008755B6">
        <w:tblPrEx>
          <w:tblW w:w="0" w:type="auto"/>
          <w:tblLayout w:type="fixed"/>
          <w:tblCellMar>
            <w:left w:w="62" w:type="dxa"/>
            <w:right w:w="62" w:type="dxa"/>
          </w:tblCellMar>
          <w:tblLook w:val="0000"/>
        </w:tblPrEx>
        <w:tc>
          <w:tcPr>
            <w:tcW w:w="4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7"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2"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2.2</w:t>
            </w:r>
          </w:p>
        </w:tc>
        <w:tc>
          <w:tcPr>
            <w:tcW w:w="4889" w:type="dxa"/>
            <w:gridSpan w:val="2"/>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Knowledge of IT network accessing integrated system programming methods are used in programming multiple access control.</w:t>
            </w:r>
          </w:p>
        </w:tc>
      </w:tr>
      <w:tr w:rsidTr="008755B6">
        <w:tblPrEx>
          <w:tblW w:w="0" w:type="auto"/>
          <w:tblLayout w:type="fixed"/>
          <w:tblCellMar>
            <w:left w:w="62" w:type="dxa"/>
            <w:right w:w="62" w:type="dxa"/>
          </w:tblCellMar>
          <w:tblLook w:val="0000"/>
        </w:tblPrEx>
        <w:tc>
          <w:tcPr>
            <w:tcW w:w="4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2"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2.3</w:t>
            </w:r>
          </w:p>
        </w:tc>
        <w:tc>
          <w:tcPr>
            <w:tcW w:w="4889" w:type="dxa"/>
            <w:gridSpan w:val="2"/>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Functions and parameters of integrated system services are programmed in accordance with manufacturer’s instruction and to custo</w:t>
            </w:r>
            <w:r w:rsidRPr="00F939B4">
              <w:t>mer requirements.</w:t>
            </w:r>
          </w:p>
        </w:tc>
      </w:tr>
      <w:tr w:rsidTr="008755B6">
        <w:tblPrEx>
          <w:tblW w:w="0" w:type="auto"/>
          <w:tblLayout w:type="fixed"/>
          <w:tblCellMar>
            <w:left w:w="62" w:type="dxa"/>
            <w:right w:w="62" w:type="dxa"/>
          </w:tblCellMar>
          <w:tblLook w:val="0000"/>
        </w:tblPrEx>
        <w:tc>
          <w:tcPr>
            <w:tcW w:w="4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2"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2.4</w:t>
            </w:r>
          </w:p>
        </w:tc>
        <w:tc>
          <w:tcPr>
            <w:tcW w:w="4889" w:type="dxa"/>
            <w:gridSpan w:val="2"/>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 xml:space="preserve">Gateway equipment installation and connectivity is implemented in accordance with manufacturer’s instruction and regulatory requirements. </w:t>
            </w:r>
          </w:p>
        </w:tc>
      </w:tr>
      <w:tr w:rsidTr="008755B6">
        <w:tblPrEx>
          <w:tblW w:w="0" w:type="auto"/>
          <w:tblLayout w:type="fixed"/>
          <w:tblCellMar>
            <w:left w:w="62" w:type="dxa"/>
            <w:right w:w="62" w:type="dxa"/>
          </w:tblCellMar>
          <w:tblLook w:val="0000"/>
        </w:tblPrEx>
        <w:tc>
          <w:tcPr>
            <w:tcW w:w="453"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3</w:t>
            </w:r>
          </w:p>
        </w:tc>
        <w:tc>
          <w:tcPr>
            <w:tcW w:w="2267" w:type="dxa"/>
            <w:gridSpan w:val="2"/>
            <w:vMerge w:val="restart"/>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 xml:space="preserve">Back up, transfer and test system access </w:t>
            </w:r>
          </w:p>
        </w:tc>
        <w:tc>
          <w:tcPr>
            <w:tcW w:w="902"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3.1</w:t>
            </w:r>
          </w:p>
        </w:tc>
        <w:tc>
          <w:tcPr>
            <w:tcW w:w="4889" w:type="dxa"/>
            <w:gridSpan w:val="2"/>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OHS work completion risk control measures and procedures are followed.</w:t>
            </w:r>
          </w:p>
        </w:tc>
      </w:tr>
      <w:tr w:rsidTr="008755B6">
        <w:tblPrEx>
          <w:tblW w:w="0" w:type="auto"/>
          <w:tblLayout w:type="fixed"/>
          <w:tblCellMar>
            <w:left w:w="62" w:type="dxa"/>
            <w:right w:w="62" w:type="dxa"/>
          </w:tblCellMar>
          <w:tblLook w:val="0000"/>
        </w:tblPrEx>
        <w:tc>
          <w:tcPr>
            <w:tcW w:w="4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7"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2"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3.2</w:t>
            </w:r>
          </w:p>
        </w:tc>
        <w:tc>
          <w:tcPr>
            <w:tcW w:w="4889" w:type="dxa"/>
            <w:gridSpan w:val="2"/>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 xml:space="preserve">Programmed access, functions and parameters are backed up and transfer to the system following manufacturer’s instructions. </w:t>
            </w:r>
          </w:p>
        </w:tc>
      </w:tr>
      <w:tr w:rsidTr="008755B6">
        <w:tblPrEx>
          <w:tblW w:w="0" w:type="auto"/>
          <w:tblLayout w:type="fixed"/>
          <w:tblCellMar>
            <w:left w:w="62" w:type="dxa"/>
            <w:right w:w="62" w:type="dxa"/>
          </w:tblCellMar>
          <w:tblLook w:val="0000"/>
        </w:tblPrEx>
        <w:tc>
          <w:tcPr>
            <w:tcW w:w="4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7"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2"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3.3</w:t>
            </w:r>
          </w:p>
        </w:tc>
        <w:tc>
          <w:tcPr>
            <w:tcW w:w="4889" w:type="dxa"/>
            <w:gridSpan w:val="2"/>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Program</w:t>
            </w:r>
            <w:r w:rsidRPr="00F939B4">
              <w:t>med access methods tests are conducted to verify compatibility and compliance with the integrated system and customer requirements.</w:t>
            </w:r>
          </w:p>
        </w:tc>
      </w:tr>
      <w:tr w:rsidTr="008755B6">
        <w:tblPrEx>
          <w:tblW w:w="0" w:type="auto"/>
          <w:tblLayout w:type="fixed"/>
          <w:tblCellMar>
            <w:left w:w="62" w:type="dxa"/>
            <w:right w:w="62" w:type="dxa"/>
          </w:tblCellMar>
          <w:tblLook w:val="0000"/>
        </w:tblPrEx>
        <w:tc>
          <w:tcPr>
            <w:tcW w:w="4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2"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3.4</w:t>
            </w:r>
          </w:p>
        </w:tc>
        <w:tc>
          <w:tcPr>
            <w:tcW w:w="4889" w:type="dxa"/>
            <w:gridSpan w:val="2"/>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Non-compliance operations and anomalies are corrected to comply with manufacturer’s and customer requirements.</w:t>
            </w:r>
          </w:p>
        </w:tc>
      </w:tr>
      <w:tr w:rsidTr="008755B6">
        <w:tblPrEx>
          <w:tblW w:w="0" w:type="auto"/>
          <w:tblLayout w:type="fixed"/>
          <w:tblCellMar>
            <w:left w:w="62" w:type="dxa"/>
            <w:right w:w="62" w:type="dxa"/>
          </w:tblCellMar>
          <w:tblLook w:val="0000"/>
        </w:tblPrEx>
        <w:tc>
          <w:tcPr>
            <w:tcW w:w="4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2"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3.5</w:t>
            </w:r>
          </w:p>
        </w:tc>
        <w:tc>
          <w:tcPr>
            <w:tcW w:w="4889" w:type="dxa"/>
            <w:gridSpan w:val="2"/>
            <w:tcBorders>
              <w:top w:val="nil"/>
              <w:left w:val="nil"/>
              <w:bottom w:val="nil"/>
              <w:right w:val="nil"/>
            </w:tcBorders>
            <w:tcMar>
              <w:top w:w="0" w:type="dxa"/>
              <w:left w:w="62" w:type="dxa"/>
              <w:bottom w:w="0" w:type="dxa"/>
              <w:right w:w="62" w:type="dxa"/>
            </w:tcMar>
          </w:tcPr>
          <w:p w:rsidR="00000000" w:rsidRPr="00F939B4" w:rsidP="00F939B4">
            <w:pPr>
              <w:pStyle w:val="BodyText"/>
            </w:pPr>
            <w:r w:rsidRPr="00F939B4">
              <w:t>A copy of the documentation of the as-programmed multiple access specifications are given the client or client’s representative.</w:t>
            </w:r>
          </w:p>
        </w:tc>
      </w:tr>
    </w:tbl>
    <w:p w:rsidR="00000000" w:rsidRPr="00F939B4" w:rsidP="00F939B4">
      <w:pPr>
        <w:pStyle w:val="BodyText"/>
      </w:pPr>
    </w:p>
    <w:p w:rsidR="00000000" w:rsidRPr="00F939B4" w:rsidP="00F939B4">
      <w:pPr>
        <w:pStyle w:val="AllowPageBreak"/>
      </w:pPr>
    </w:p>
    <w:p w:rsidR="00000000" w:rsidRPr="00F939B4" w:rsidP="00F939B4">
      <w:pPr>
        <w:pStyle w:val="Heading1"/>
      </w:pPr>
      <w:bookmarkStart w:id="9" w:name="O_533900"/>
      <w:bookmarkEnd w:id="9"/>
      <w:r w:rsidRPr="00F939B4">
        <w:t>Required Skills and Knowledge</w:t>
      </w:r>
    </w:p>
    <w:tbl>
      <w:tblPr>
        <w:tblW w:w="0" w:type="auto"/>
        <w:tblLayout w:type="fixed"/>
        <w:tblCellMar>
          <w:left w:w="62" w:type="dxa"/>
          <w:right w:w="62" w:type="dxa"/>
        </w:tblCellMar>
        <w:tblLook w:val="0000"/>
      </w:tblPr>
      <w:tblGrid>
        <w:gridCol w:w="8460"/>
      </w:tblGrid>
      <w:tr w:rsidTr="008755B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rPr>
                <w:rStyle w:val="SpecialBold"/>
              </w:rPr>
              <w:t>REQUIRED SKILLS AND KNOWLEDGE</w:t>
            </w:r>
          </w:p>
        </w:tc>
      </w:tr>
      <w:tr w:rsidTr="008755B6">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F939B4" w:rsidP="00F939B4">
            <w:pPr>
              <w:pStyle w:val="BodyText"/>
            </w:pPr>
            <w:r w:rsidRPr="00F939B4">
              <w:rPr>
                <w:rStyle w:val="SpecialBold"/>
              </w:rPr>
              <w:t>8)</w:t>
            </w:r>
            <w:r w:rsidRPr="00F939B4">
              <w:t xml:space="preserve"> This describes the required skills and knowledge and their level, required for this unit.</w:t>
            </w:r>
          </w:p>
          <w:p w:rsidR="00000000" w:rsidRPr="00F939B4" w:rsidP="00F939B4">
            <w:pPr>
              <w:pStyle w:val="BodyText"/>
            </w:pPr>
            <w:r w:rsidRPr="00F939B4">
              <w:t xml:space="preserve">Evidence shall show that knowledge and associated skills for developing interfaces for multiple access methods to monitor, schedule and control an integrated system </w:t>
            </w:r>
            <w:r w:rsidRPr="00F939B4">
              <w:t>have been acquired.</w:t>
            </w:r>
          </w:p>
          <w:p w:rsidR="00000000" w:rsidRPr="00F939B4" w:rsidP="00F939B4">
            <w:pPr>
              <w:pStyle w:val="BodyText"/>
            </w:pPr>
            <w:r w:rsidRPr="00F939B4">
              <w:t>All knowledge and skills detailed in this unit should be contextualised to current industry practices and technologies.</w:t>
            </w:r>
          </w:p>
          <w:p w:rsidR="00000000" w:rsidRPr="00F939B4" w:rsidP="00F939B4">
            <w:pPr>
              <w:pStyle w:val="BodyText"/>
            </w:pPr>
            <w:r w:rsidRPr="00F939B4">
              <w:rPr>
                <w:rStyle w:val="SpecialBold"/>
              </w:rPr>
              <w:t>KS01-EI144A</w:t>
            </w:r>
            <w:r w:rsidRPr="00F939B4">
              <w:rPr>
                <w:rStyle w:val="SpecialBold"/>
              </w:rPr>
              <w:tab/>
              <w:t xml:space="preserve">     Multiple access to integrated systems programming</w:t>
            </w:r>
          </w:p>
          <w:p w:rsidR="00000000" w:rsidRPr="00F939B4" w:rsidP="00F939B4">
            <w:pPr>
              <w:pStyle w:val="BodyText"/>
            </w:pPr>
            <w:r w:rsidRPr="00F939B4">
              <w:t xml:space="preserve">Evidence shall show an understanding of multiple </w:t>
            </w:r>
            <w:r w:rsidRPr="00F939B4">
              <w:t>access to integrated systems programming to an extent indicated by the following aspects:</w:t>
            </w:r>
          </w:p>
          <w:p w:rsidR="00000000" w:rsidRPr="00F939B4" w:rsidP="00F939B4">
            <w:pPr>
              <w:pStyle w:val="BodyText"/>
            </w:pPr>
            <w:r w:rsidRPr="00F939B4">
              <w:t>T1</w:t>
            </w:r>
            <w:r w:rsidRPr="00F939B4">
              <w:tab/>
              <w:t>Gateway devices encompassing:</w:t>
            </w:r>
          </w:p>
          <w:p w:rsidR="00000000" w:rsidRPr="00F939B4" w:rsidP="00F939B4">
            <w:pPr>
              <w:pStyle w:val="ListBullet"/>
            </w:pPr>
            <w:r w:rsidRPr="00F939B4">
              <w:t>Component</w:t>
            </w:r>
          </w:p>
          <w:p w:rsidR="00000000" w:rsidRPr="00F939B4" w:rsidP="00F939B4">
            <w:pPr>
              <w:pStyle w:val="ListBullet"/>
            </w:pPr>
            <w:r w:rsidRPr="00F939B4">
              <w:t>Installation requirements</w:t>
            </w:r>
          </w:p>
          <w:p w:rsidR="00000000" w:rsidRPr="00F939B4" w:rsidP="00F939B4">
            <w:pPr>
              <w:pStyle w:val="ListBullet"/>
            </w:pPr>
            <w:r w:rsidRPr="00F939B4">
              <w:t>Regulatory requirements</w:t>
            </w:r>
          </w:p>
          <w:p w:rsidR="00000000" w:rsidRPr="00F939B4" w:rsidP="00F939B4">
            <w:pPr>
              <w:pStyle w:val="BodyText"/>
            </w:pPr>
            <w:r w:rsidRPr="00F939B4">
              <w:t>T2</w:t>
            </w:r>
            <w:r w:rsidRPr="00F939B4">
              <w:tab/>
              <w:t>Network set up encompassing:</w:t>
            </w:r>
          </w:p>
          <w:p w:rsidR="00000000" w:rsidRPr="00F939B4" w:rsidP="00F939B4">
            <w:pPr>
              <w:pStyle w:val="ListBullet"/>
            </w:pPr>
            <w:r w:rsidRPr="00F939B4">
              <w:t>Terminology</w:t>
            </w:r>
          </w:p>
          <w:p w:rsidR="00000000" w:rsidRPr="00F939B4" w:rsidP="00F939B4">
            <w:pPr>
              <w:pStyle w:val="ListBullet"/>
            </w:pPr>
            <w:r w:rsidRPr="00F939B4">
              <w:t>Network options</w:t>
            </w:r>
          </w:p>
          <w:p w:rsidR="00000000" w:rsidRPr="00F939B4" w:rsidP="00F939B4">
            <w:pPr>
              <w:pStyle w:val="ListBullet"/>
            </w:pPr>
            <w:r w:rsidRPr="00F939B4">
              <w:t>Ethernet connectivity</w:t>
            </w:r>
          </w:p>
          <w:p w:rsidR="00000000" w:rsidRPr="00F939B4" w:rsidP="00F939B4">
            <w:pPr>
              <w:pStyle w:val="ListBullet"/>
            </w:pPr>
            <w:r w:rsidRPr="00F939B4">
              <w:t>Wireless connectivity</w:t>
            </w:r>
          </w:p>
          <w:p w:rsidR="00000000" w:rsidRPr="00F939B4" w:rsidP="00F939B4">
            <w:pPr>
              <w:pStyle w:val="ListBullet"/>
            </w:pPr>
            <w:r w:rsidRPr="00F939B4">
              <w:t>Router configuration</w:t>
            </w:r>
          </w:p>
          <w:p w:rsidR="00000000" w:rsidRPr="00F939B4" w:rsidP="00F939B4">
            <w:pPr>
              <w:pStyle w:val="BodyText"/>
            </w:pPr>
            <w:r w:rsidRPr="00F939B4">
              <w:t>T3</w:t>
            </w:r>
            <w:r w:rsidRPr="00F939B4">
              <w:tab/>
              <w:t>Controller user interface</w:t>
            </w:r>
          </w:p>
          <w:p w:rsidR="00000000" w:rsidRPr="00F939B4" w:rsidP="00F939B4">
            <w:pPr>
              <w:pStyle w:val="BodyText"/>
            </w:pPr>
            <w:r w:rsidRPr="00F939B4">
              <w:t>T4</w:t>
            </w:r>
            <w:r w:rsidRPr="00F939B4">
              <w:tab/>
              <w:t xml:space="preserve">Programming software and application </w:t>
            </w:r>
          </w:p>
          <w:p w:rsidR="00000000" w:rsidRPr="00F939B4" w:rsidP="00F939B4">
            <w:pPr>
              <w:pStyle w:val="ListBullet"/>
            </w:pPr>
            <w:r w:rsidRPr="00F939B4">
              <w:t>Confined to proprietary software such as ‘wizards’, icons and widgets.</w:t>
            </w:r>
          </w:p>
          <w:p w:rsidR="00000000" w:rsidRPr="00F939B4" w:rsidP="00F939B4">
            <w:pPr>
              <w:pStyle w:val="BodyText"/>
            </w:pPr>
            <w:r w:rsidRPr="00F939B4">
              <w:t>T5</w:t>
            </w:r>
            <w:r w:rsidRPr="00F939B4">
              <w:tab/>
              <w:t>Interface web browsers</w:t>
            </w:r>
          </w:p>
        </w:tc>
      </w:tr>
    </w:tbl>
    <w:p w:rsidR="00000000" w:rsidRPr="00F939B4" w:rsidP="00F939B4">
      <w:pPr>
        <w:pStyle w:val="BodyText"/>
      </w:pPr>
    </w:p>
    <w:p w:rsidR="00000000" w:rsidRPr="00F939B4" w:rsidP="00F939B4">
      <w:pPr>
        <w:pStyle w:val="AllowPageBreak"/>
      </w:pPr>
    </w:p>
    <w:p w:rsidR="00000000" w:rsidRPr="00F939B4" w:rsidP="00F939B4">
      <w:pPr>
        <w:pStyle w:val="Heading1"/>
      </w:pPr>
      <w:bookmarkStart w:id="10" w:name="O_533899"/>
      <w:bookmarkEnd w:id="10"/>
      <w:r w:rsidRPr="00F939B4">
        <w:t>Evidence Guide</w:t>
      </w:r>
    </w:p>
    <w:tbl>
      <w:tblPr>
        <w:tblW w:w="0" w:type="auto"/>
        <w:tblLayout w:type="fixed"/>
        <w:tblCellMar>
          <w:left w:w="62" w:type="dxa"/>
          <w:right w:w="62" w:type="dxa"/>
        </w:tblCellMar>
        <w:tblLook w:val="0000"/>
      </w:tblPr>
      <w:tblGrid>
        <w:gridCol w:w="8460"/>
      </w:tblGrid>
      <w:tr w:rsidTr="008755B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rPr>
                <w:rStyle w:val="SpecialBold"/>
              </w:rPr>
              <w:t>EVIDENCE GUIDE</w:t>
            </w:r>
          </w:p>
        </w:tc>
      </w:tr>
      <w:tr w:rsidTr="008755B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939B4" w:rsidP="00F939B4">
            <w:pPr>
              <w:pStyle w:val="BodyText"/>
            </w:pPr>
            <w:r w:rsidRPr="00F939B4">
              <w:rPr>
                <w:rStyle w:val="SpecialBold"/>
              </w:rPr>
              <w:t>9)</w:t>
            </w:r>
            <w:r w:rsidRPr="00F939B4">
              <w:t xml:space="preserve"> The evidence guide provides advice on assessment and must be read in conjunction with the Performance Criteria, Required Skills and Knowledge, the Range Statement and the Assessment Guidelines for this Training Package.</w:t>
            </w:r>
          </w:p>
          <w:p w:rsidR="00000000" w:rsidRPr="00F939B4" w:rsidP="00F939B4">
            <w:pPr>
              <w:pStyle w:val="BodyText"/>
            </w:pPr>
            <w:r w:rsidRPr="00F939B4">
              <w:t>Th</w:t>
            </w:r>
            <w:r w:rsidRPr="00F939B4">
              <w:t>e Evidence Guide forms an integral part of this unit. It must be used in conjunction with all parts of the unit and performed in accordance with the Assessment Guidelines of this Training Package.</w:t>
            </w:r>
          </w:p>
        </w:tc>
      </w:tr>
    </w:tbl>
    <w:p w:rsidR="00000000" w:rsidRPr="00F939B4" w:rsidP="00F939B4">
      <w:pPr>
        <w:pStyle w:val="BodyText"/>
      </w:pPr>
    </w:p>
    <w:tbl>
      <w:tblPr>
        <w:tblW w:w="0" w:type="auto"/>
        <w:tblLayout w:type="fixed"/>
        <w:tblCellMar>
          <w:left w:w="62" w:type="dxa"/>
          <w:right w:w="62" w:type="dxa"/>
        </w:tblCellMar>
        <w:tblLook w:val="0000"/>
      </w:tblPr>
      <w:tblGrid>
        <w:gridCol w:w="1890"/>
        <w:gridCol w:w="6570"/>
      </w:tblGrid>
      <w:tr w:rsidTr="008755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939B4" w:rsidP="00F939B4">
            <w:pPr>
              <w:pStyle w:val="BodyText"/>
            </w:pPr>
            <w:r w:rsidRPr="00F939B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rPr>
                <w:rStyle w:val="SpecialBold"/>
              </w:rPr>
              <w:t>9.1)</w:t>
            </w:r>
          </w:p>
        </w:tc>
      </w:tr>
      <w:tr w:rsidTr="008755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939B4" w:rsidP="00F939B4">
            <w:pPr>
              <w:pStyle w:val="BodyText"/>
            </w:pPr>
            <w:r w:rsidRPr="00F939B4">
              <w:t>Longitudinal competency development approaches to assessment, such as Profiling, require data to be reliably gathered in a form that can be consistently interpreted over time. This approach is best utilised in Apprenticeship programs and reduces assessment</w:t>
            </w:r>
            <w:r w:rsidRPr="00F939B4">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F939B4">
              <w:t>ncy in a realistically simulated work environment. It is recognised that, in some circumstances, assessment in part or full can occur outside the workplace. However, it must be in accordance with industry and regulatory policy.</w:t>
            </w:r>
          </w:p>
          <w:p w:rsidR="00000000" w:rsidRPr="00F939B4" w:rsidP="00F939B4">
            <w:pPr>
              <w:pStyle w:val="BodyText"/>
            </w:pPr>
            <w:r w:rsidRPr="00F939B4">
              <w:t>Methods chosen for a particu</w:t>
            </w:r>
            <w:r w:rsidRPr="00F939B4">
              <w:t>lar assessment will be influenced by various factors. These include the extent of the assessment, the most effective locations for the assessment activities to take place, access to physical resources, additional safety measures that may be required and th</w:t>
            </w:r>
            <w:r w:rsidRPr="00F939B4">
              <w:t>e critical nature of the competencies being assessed.</w:t>
            </w:r>
          </w:p>
          <w:p w:rsidR="00000000" w:rsidRPr="00F939B4" w:rsidP="00F939B4">
            <w:pPr>
              <w:pStyle w:val="BodyText"/>
            </w:pPr>
            <w:r w:rsidRPr="00F939B4">
              <w:t>The critical safety nature of working with electricity, electrical equipment, gas or any other hazardous substance/material carries risk in deeming a person competent. Sources of evidence need to be ‘ri</w:t>
            </w:r>
            <w:r w:rsidRPr="00F939B4">
              <w:t>ch’ in nature to minimise error in judgment.</w:t>
            </w:r>
          </w:p>
          <w:p w:rsidR="00000000" w:rsidRPr="00F939B4" w:rsidP="00F939B4">
            <w:pPr>
              <w:pStyle w:val="BodyText"/>
            </w:pPr>
            <w:r w:rsidRPr="00F939B4">
              <w:t>Activities associated with normal everyday work have a bearing on the decision as to how much and how detailed the data gathered will contribute to its ‘richness’. Some skills are more critical to safety and ope</w:t>
            </w:r>
            <w:r w:rsidRPr="00F939B4">
              <w:t>rational requirements while the same skills may be more or less frequently practised. These points are raised for the assessors to consider when choosing an assessment method and developing assessment instruments. Sample assessment instruments are included</w:t>
            </w:r>
            <w:r w:rsidRPr="00F939B4">
              <w:t xml:space="preserve"> for Assessors in the Assessment Guidelines of this Training Package.</w:t>
            </w:r>
          </w:p>
        </w:tc>
      </w:tr>
    </w:tbl>
    <w:p w:rsidR="00000000" w:rsidRPr="00F939B4" w:rsidP="00F939B4">
      <w:pPr>
        <w:pStyle w:val="BodyText"/>
      </w:pPr>
    </w:p>
    <w:tbl>
      <w:tblPr>
        <w:tblW w:w="0" w:type="auto"/>
        <w:tblLayout w:type="fixed"/>
        <w:tblCellMar>
          <w:left w:w="62" w:type="dxa"/>
          <w:right w:w="62" w:type="dxa"/>
        </w:tblCellMar>
        <w:tblLook w:val="0000"/>
      </w:tblPr>
      <w:tblGrid>
        <w:gridCol w:w="1890"/>
        <w:gridCol w:w="1440"/>
        <w:gridCol w:w="5130"/>
      </w:tblGrid>
      <w:tr w:rsidTr="008755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939B4" w:rsidP="00F939B4">
            <w:pPr>
              <w:pStyle w:val="BodyText"/>
            </w:pPr>
            <w:r w:rsidRPr="00F939B4">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rPr>
                <w:rStyle w:val="SpecialBold"/>
              </w:rPr>
              <w:t>9.2)</w:t>
            </w:r>
          </w:p>
        </w:tc>
      </w:tr>
      <w:tr w:rsidTr="008755B6">
        <w:tblPrEx>
          <w:tblW w:w="0" w:type="auto"/>
          <w:tblLayout w:type="fixed"/>
          <w:tblCellMar>
            <w:left w:w="62" w:type="dxa"/>
            <w:right w:w="62" w:type="dxa"/>
          </w:tblCellMar>
          <w:tblLook w:val="0000"/>
        </w:tblPrEx>
        <w:trPr>
          <w:trHeight w:val="6965"/>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F939B4" w:rsidP="00F939B4">
            <w:pPr>
              <w:pStyle w:val="BodyText"/>
            </w:pPr>
            <w:r w:rsidRPr="00F939B4">
              <w:t>Before the critical aspects of evidence are considered all prerequisites must be met.</w:t>
            </w:r>
          </w:p>
          <w:p w:rsidR="00000000" w:rsidRPr="00F939B4" w:rsidP="00F939B4">
            <w:pPr>
              <w:pStyle w:val="BodyText"/>
            </w:pPr>
            <w:r w:rsidRPr="00F939B4">
              <w:t xml:space="preserve">Evidence for </w:t>
            </w:r>
            <w:r w:rsidRPr="00F939B4">
              <w:t>competence in this unit shall be considered holistically.  Each element and associated performance criteria shall be demonstrated on at least two occasions in accordance with the ‘Assessment Guidelines – UEE11.  Evidence shall also comprise:</w:t>
            </w:r>
          </w:p>
          <w:p w:rsidR="00000000" w:rsidRPr="00F939B4" w:rsidP="00F939B4">
            <w:pPr>
              <w:pStyle w:val="ListBullet"/>
            </w:pPr>
            <w:r w:rsidRPr="00F939B4">
              <w:t>A representat</w:t>
            </w:r>
            <w:r w:rsidRPr="00F939B4">
              <w:t>ive body of performance criteria demonstrated within the timeframes typically expected of the discipline, work function and industrial environment. In particular this shall incorporate evidence that shows a candidate is able to:</w:t>
            </w:r>
          </w:p>
          <w:p w:rsidR="00000000" w:rsidRPr="00F939B4" w:rsidP="00F939B4">
            <w:pPr>
              <w:pStyle w:val="ListBullet2"/>
            </w:pPr>
            <w:r w:rsidRPr="00F939B4">
              <w:t>Implement Occupational Health and Safety workplace procedures and practices, including the use of risk control measures as specified in the performance criteria and range statement</w:t>
            </w:r>
          </w:p>
          <w:p w:rsidR="00000000" w:rsidRPr="00F939B4" w:rsidP="00F939B4">
            <w:pPr>
              <w:pStyle w:val="ListBullet2"/>
            </w:pPr>
            <w:r w:rsidRPr="00F939B4">
              <w:t>Apply sustainable energy principles and practices as specified in the perfo</w:t>
            </w:r>
            <w:r w:rsidRPr="00F939B4">
              <w:t>rmance criteria and range statement</w:t>
            </w:r>
          </w:p>
          <w:p w:rsidR="00000000" w:rsidRPr="00F939B4" w:rsidP="00F939B4">
            <w:pPr>
              <w:pStyle w:val="ListBullet2"/>
            </w:pPr>
            <w:r w:rsidRPr="00F939B4">
              <w:t>Demonstrate an understanding of the required skills and knowledge as described in this unit.  It may be required by some jurisdictions that RTOs provide a percentile graded result for the purpose of regulatory or licensi</w:t>
            </w:r>
            <w:r w:rsidRPr="00F939B4">
              <w:t xml:space="preserve">ng requirements.   </w:t>
            </w:r>
          </w:p>
          <w:p w:rsidR="00000000" w:rsidRPr="00F939B4" w:rsidP="00F939B4">
            <w:pPr>
              <w:pStyle w:val="ListBullet2"/>
            </w:pPr>
            <w:r w:rsidRPr="00F939B4">
              <w:t>Demonstrate an appropriate level of skills enabling employment</w:t>
            </w:r>
          </w:p>
          <w:p w:rsidR="00000000" w:rsidRPr="00F939B4" w:rsidP="00F939B4">
            <w:pPr>
              <w:pStyle w:val="ListBullet2"/>
            </w:pPr>
            <w:r w:rsidRPr="00F939B4">
              <w:t>Conduct work observing the relevant Anti Discrimination legislation, regulations, polices and workplace procedures</w:t>
            </w:r>
          </w:p>
          <w:p w:rsidR="00000000" w:rsidRPr="00F939B4" w:rsidP="00F939B4">
            <w:pPr>
              <w:pStyle w:val="ListBullet"/>
            </w:pPr>
            <w:r w:rsidRPr="00F939B4">
              <w:t>Demonstrated consistent performance across a representati</w:t>
            </w:r>
            <w:r w:rsidRPr="00F939B4">
              <w:t>ve range of contexts from the prescribed items below:</w:t>
            </w:r>
          </w:p>
          <w:p w:rsidR="00000000" w:rsidP="00F939B4">
            <w:pPr>
              <w:pStyle w:val="ListBullet2"/>
              <w:rPr>
                <w:lang w:val="en-NZ"/>
              </w:rPr>
            </w:pPr>
            <w:r w:rsidRPr="00F939B4">
              <w:t>as described in 8) and including:</w:t>
            </w:r>
          </w:p>
        </w:tc>
      </w:tr>
      <w:tr w:rsidTr="008755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A</w:t>
            </w:r>
          </w:p>
        </w:tc>
        <w:tc>
          <w:tcPr>
            <w:tcW w:w="5130"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 xml:space="preserve">Determining extent of the various services and functions and parameters of the integrated system </w:t>
            </w:r>
          </w:p>
        </w:tc>
      </w:tr>
      <w:tr w:rsidTr="008755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B</w:t>
            </w:r>
          </w:p>
        </w:tc>
        <w:tc>
          <w:tcPr>
            <w:tcW w:w="5130"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Down loading a PC and checking software tools and integrated system programming software and project data.</w:t>
            </w:r>
          </w:p>
        </w:tc>
      </w:tr>
      <w:tr w:rsidTr="008755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C</w:t>
            </w:r>
          </w:p>
        </w:tc>
        <w:tc>
          <w:tcPr>
            <w:tcW w:w="5130"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Checking that network equipment and connectivity comply with manufacture’s requirements.</w:t>
            </w:r>
          </w:p>
        </w:tc>
      </w:tr>
      <w:tr w:rsidTr="008755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D</w:t>
            </w:r>
          </w:p>
        </w:tc>
        <w:tc>
          <w:tcPr>
            <w:tcW w:w="5130"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Developing integrated system multiple access with ma</w:t>
            </w:r>
            <w:r w:rsidRPr="00F939B4">
              <w:t>nufacturer’s instruction and to customer requirements.</w:t>
            </w:r>
          </w:p>
        </w:tc>
      </w:tr>
      <w:tr w:rsidTr="008755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E</w:t>
            </w:r>
          </w:p>
        </w:tc>
        <w:tc>
          <w:tcPr>
            <w:tcW w:w="5130"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 xml:space="preserve">Backing up and transferring programmed assess functions and parameters following manufacturer’s instructions. </w:t>
            </w:r>
          </w:p>
        </w:tc>
      </w:tr>
      <w:tr w:rsidTr="008755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F</w:t>
            </w:r>
          </w:p>
        </w:tc>
        <w:tc>
          <w:tcPr>
            <w:tcW w:w="5130"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Testing multiple access and correcting non-compliance operations and anomalies.</w:t>
            </w:r>
          </w:p>
        </w:tc>
      </w:tr>
      <w:tr w:rsidTr="008755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t>G</w:t>
            </w:r>
          </w:p>
        </w:tc>
        <w:tc>
          <w:tcPr>
            <w:tcW w:w="5130" w:type="dxa"/>
            <w:tcBorders>
              <w:top w:val="nil"/>
              <w:left w:val="nil"/>
              <w:bottom w:val="nil"/>
              <w:right w:val="nil"/>
            </w:tcBorders>
            <w:tcMar>
              <w:top w:w="0" w:type="dxa"/>
              <w:left w:w="62" w:type="dxa"/>
              <w:bottom w:w="0" w:type="dxa"/>
              <w:right w:w="62" w:type="dxa"/>
            </w:tcMar>
          </w:tcPr>
          <w:p w:rsidR="00000000" w:rsidRPr="00F939B4" w:rsidP="00F939B4">
            <w:pPr>
              <w:pStyle w:val="BodyText"/>
            </w:pPr>
            <w:r w:rsidRPr="00F939B4">
              <w:t>Documenting the as-programmed access control specifications.</w:t>
            </w:r>
          </w:p>
        </w:tc>
      </w:tr>
    </w:tbl>
    <w:p w:rsidR="00000000" w:rsidRPr="00F939B4" w:rsidP="00F939B4">
      <w:pPr>
        <w:pStyle w:val="BodyText"/>
      </w:pPr>
    </w:p>
    <w:tbl>
      <w:tblPr>
        <w:tblW w:w="0" w:type="auto"/>
        <w:tblLayout w:type="fixed"/>
        <w:tblCellMar>
          <w:left w:w="62" w:type="dxa"/>
          <w:right w:w="62" w:type="dxa"/>
        </w:tblCellMar>
        <w:tblLook w:val="0000"/>
      </w:tblPr>
      <w:tblGrid>
        <w:gridCol w:w="1890"/>
        <w:gridCol w:w="6570"/>
      </w:tblGrid>
      <w:tr w:rsidTr="008755B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939B4" w:rsidP="00F939B4">
            <w:pPr>
              <w:pStyle w:val="BodyText"/>
            </w:pPr>
            <w:r w:rsidRPr="00F939B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rPr>
                <w:rStyle w:val="SpecialBold"/>
              </w:rPr>
              <w:t>9.3)</w:t>
            </w:r>
          </w:p>
        </w:tc>
      </w:tr>
      <w:tr w:rsidTr="008755B6">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939B4" w:rsidP="00F939B4">
            <w:pPr>
              <w:pStyle w:val="BodyText"/>
            </w:pPr>
            <w:r w:rsidRPr="00F939B4">
              <w:t>This unit should be assessed as it relates to normal work practice using procedures, information and resources typical of a workplace. This should include:</w:t>
            </w:r>
          </w:p>
          <w:p w:rsidR="00000000" w:rsidRPr="00F939B4" w:rsidP="00F939B4">
            <w:pPr>
              <w:pStyle w:val="ListBullet"/>
            </w:pPr>
            <w:r w:rsidRPr="00F939B4">
              <w:t>OHS policy and work procedures and instructions.</w:t>
            </w:r>
          </w:p>
          <w:p w:rsidR="00000000" w:rsidRPr="00F939B4" w:rsidP="00F939B4">
            <w:pPr>
              <w:pStyle w:val="ListBullet"/>
            </w:pPr>
            <w:r w:rsidRPr="00F939B4">
              <w:t>Suitable work environment, facilities, equipment a</w:t>
            </w:r>
            <w:r w:rsidRPr="00F939B4">
              <w:t>nd materials to undertake actual work as prescribed in this unit.</w:t>
            </w:r>
          </w:p>
          <w:p w:rsidR="00000000" w:rsidRPr="00F939B4" w:rsidP="00F939B4">
            <w:pPr>
              <w:pStyle w:val="BodyText"/>
            </w:pPr>
            <w:r w:rsidRPr="00F939B4">
              <w:t>These should be used in the formal learning/assessment environment.</w:t>
            </w:r>
          </w:p>
          <w:p w:rsidR="00000000" w:rsidRPr="00F939B4" w:rsidP="00F939B4">
            <w:pPr>
              <w:pStyle w:val="BodyText"/>
            </w:pPr>
            <w:r w:rsidRPr="00F939B4">
              <w:t>Note:</w:t>
            </w:r>
          </w:p>
          <w:p w:rsidR="00000000" w:rsidRPr="00F939B4" w:rsidP="00F939B4">
            <w:pPr>
              <w:pStyle w:val="BodyText"/>
            </w:pPr>
            <w:r w:rsidRPr="00F939B4">
              <w:t>Where simulation is considered a suitable strategy for assessment, conditions for assessment must be authentic and a</w:t>
            </w:r>
            <w:r w:rsidRPr="00F939B4">
              <w:t>s far as possible reproduce and replicate the workplace and be consistent with the approved industry simulation policy.</w:t>
            </w:r>
          </w:p>
          <w:p w:rsidR="00000000" w:rsidRPr="00F939B4" w:rsidP="00F939B4">
            <w:pPr>
              <w:pStyle w:val="BodyText"/>
            </w:pPr>
            <w:r w:rsidRPr="00F939B4">
              <w:t>The resources used for assessment should reflect current industry practices in relation to developing interfaces for multiple access met</w:t>
            </w:r>
            <w:r w:rsidRPr="00F939B4">
              <w:t>hods to monitor, schedule and control an integrated system.</w:t>
            </w:r>
          </w:p>
        </w:tc>
      </w:tr>
    </w:tbl>
    <w:p w:rsidR="00000000" w:rsidRPr="00F939B4" w:rsidP="00F939B4">
      <w:pPr>
        <w:pStyle w:val="BodyText"/>
      </w:pPr>
    </w:p>
    <w:tbl>
      <w:tblPr>
        <w:tblW w:w="0" w:type="auto"/>
        <w:tblLayout w:type="fixed"/>
        <w:tblCellMar>
          <w:left w:w="62" w:type="dxa"/>
          <w:right w:w="62" w:type="dxa"/>
        </w:tblCellMar>
        <w:tblLook w:val="0000"/>
      </w:tblPr>
      <w:tblGrid>
        <w:gridCol w:w="1890"/>
        <w:gridCol w:w="6570"/>
      </w:tblGrid>
      <w:tr w:rsidTr="008755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939B4" w:rsidP="00F939B4">
            <w:pPr>
              <w:pStyle w:val="BodyText"/>
            </w:pPr>
            <w:r w:rsidRPr="00F939B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rPr>
                <w:rStyle w:val="SpecialBold"/>
              </w:rPr>
              <w:t>9.4)</w:t>
            </w:r>
          </w:p>
        </w:tc>
      </w:tr>
      <w:tr w:rsidTr="008755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939B4" w:rsidP="00F939B4">
            <w:pPr>
              <w:pStyle w:val="BodyText"/>
            </w:pPr>
            <w:r w:rsidRPr="00F939B4">
              <w:t>This unit shall be assessed by methods given in Volume 1, Part 3 ‘Assessment Guidelines’.</w:t>
            </w:r>
          </w:p>
          <w:p w:rsidR="00000000" w:rsidRPr="00F939B4" w:rsidP="00F939B4">
            <w:pPr>
              <w:pStyle w:val="BodyText"/>
            </w:pPr>
            <w:r w:rsidRPr="00F939B4">
              <w:t xml:space="preserve">Note: </w:t>
            </w:r>
          </w:p>
          <w:p w:rsidR="00000000" w:rsidRPr="00F939B4" w:rsidP="00F939B4">
            <w:pPr>
              <w:pStyle w:val="BodyText"/>
            </w:pPr>
            <w:r w:rsidRPr="00F939B4">
              <w:t>Competent performance with inherent safe working practices is expected in the Industry to which this unit applies. This requires that the specified required skills and knowledge are assessed in a structured environment which is primarily intended for learn</w:t>
            </w:r>
            <w:r w:rsidRPr="00F939B4">
              <w:t>ing/assessment and incorporates all necessary equipment and facilities for learners to develop and demonstrate the required skills and knowledge described in this unit.</w:t>
            </w:r>
          </w:p>
        </w:tc>
      </w:tr>
    </w:tbl>
    <w:p w:rsidR="00000000" w:rsidRPr="00F939B4" w:rsidP="00F939B4">
      <w:pPr>
        <w:pStyle w:val="BodyText"/>
      </w:pPr>
    </w:p>
    <w:tbl>
      <w:tblPr>
        <w:tblW w:w="0" w:type="auto"/>
        <w:tblLayout w:type="fixed"/>
        <w:tblCellMar>
          <w:left w:w="62" w:type="dxa"/>
          <w:right w:w="62" w:type="dxa"/>
        </w:tblCellMar>
        <w:tblLook w:val="0000"/>
      </w:tblPr>
      <w:tblGrid>
        <w:gridCol w:w="1890"/>
        <w:gridCol w:w="6570"/>
      </w:tblGrid>
      <w:tr w:rsidTr="008755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939B4" w:rsidP="00F939B4">
            <w:pPr>
              <w:pStyle w:val="BodyText"/>
            </w:pPr>
            <w:r w:rsidRPr="00F939B4">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rPr>
                <w:rStyle w:val="SpecialBold"/>
              </w:rPr>
              <w:t>9.5)</w:t>
            </w:r>
          </w:p>
        </w:tc>
      </w:tr>
      <w:tr w:rsidTr="008755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939B4" w:rsidP="00F939B4">
            <w:pPr>
              <w:pStyle w:val="BodyText"/>
            </w:pPr>
            <w:r w:rsidRPr="00F939B4">
              <w:t>There are no concurren</w:t>
            </w:r>
            <w:r w:rsidRPr="00F939B4">
              <w:t>t assessment recommendations for this unit.</w:t>
            </w:r>
          </w:p>
        </w:tc>
      </w:tr>
    </w:tbl>
    <w:p w:rsidR="00000000" w:rsidRPr="00F939B4" w:rsidP="00F939B4">
      <w:pPr>
        <w:pStyle w:val="BodyText"/>
      </w:pPr>
    </w:p>
    <w:p w:rsidR="00000000" w:rsidRPr="00F939B4" w:rsidP="00F939B4">
      <w:pPr>
        <w:pStyle w:val="AllowPageBreak"/>
      </w:pPr>
    </w:p>
    <w:p w:rsidR="00000000" w:rsidRPr="00F939B4" w:rsidP="00F939B4">
      <w:pPr>
        <w:pStyle w:val="Heading1"/>
      </w:pPr>
      <w:bookmarkStart w:id="11" w:name="O_533898"/>
      <w:bookmarkEnd w:id="11"/>
      <w:r w:rsidRPr="00F939B4">
        <w:t>Range Statement</w:t>
      </w:r>
    </w:p>
    <w:tbl>
      <w:tblPr>
        <w:tblW w:w="0" w:type="auto"/>
        <w:tblLayout w:type="fixed"/>
        <w:tblCellMar>
          <w:left w:w="62" w:type="dxa"/>
          <w:right w:w="62" w:type="dxa"/>
        </w:tblCellMar>
        <w:tblLook w:val="0000"/>
      </w:tblPr>
      <w:tblGrid>
        <w:gridCol w:w="8460"/>
      </w:tblGrid>
      <w:tr w:rsidTr="008755B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rPr>
                <w:rStyle w:val="SpecialBold"/>
              </w:rPr>
              <w:t>RANGE STATEMENT</w:t>
            </w:r>
          </w:p>
        </w:tc>
      </w:tr>
      <w:tr w:rsidTr="008755B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939B4" w:rsidP="00F939B4">
            <w:pPr>
              <w:pStyle w:val="BodyText"/>
            </w:pPr>
            <w:r w:rsidRPr="00F939B4">
              <w:rPr>
                <w:rStyle w:val="SpecialBold"/>
              </w:rPr>
              <w:t>10)</w:t>
            </w:r>
            <w:r w:rsidRPr="00F939B4">
              <w:t xml:space="preserve"> This relates to the unit as a whole providing the range of contexts and conditions to which the </w:t>
            </w:r>
            <w:r w:rsidRPr="00F939B4">
              <w:t>performance criteria apply. It allows for different work environments and situations that will affect performance.</w:t>
            </w:r>
          </w:p>
          <w:p w:rsidR="00000000" w:rsidRPr="00F939B4" w:rsidP="00F939B4">
            <w:pPr>
              <w:pStyle w:val="BodyText"/>
            </w:pPr>
            <w:r w:rsidRPr="00F939B4">
              <w:t>This unit shall be demonstrated in relation to developing interfaces and program to monitor, schedule and control an integrated system by the</w:t>
            </w:r>
            <w:r w:rsidRPr="00F939B4">
              <w:t xml:space="preserve"> following access methods</w:t>
            </w:r>
          </w:p>
          <w:p w:rsidR="00000000" w:rsidRPr="00F939B4" w:rsidP="00F939B4">
            <w:pPr>
              <w:pStyle w:val="ListBullet3"/>
            </w:pPr>
            <w:r w:rsidRPr="00F939B4">
              <w:t>Mobile phone</w:t>
            </w:r>
          </w:p>
          <w:p w:rsidR="00000000" w:rsidRPr="00F939B4" w:rsidP="00F939B4">
            <w:pPr>
              <w:pStyle w:val="ListBullet3"/>
            </w:pPr>
            <w:r w:rsidRPr="00F939B4">
              <w:t>Computer</w:t>
            </w:r>
          </w:p>
          <w:p w:rsidR="00000000" w:rsidRPr="00F939B4" w:rsidP="00F939B4">
            <w:pPr>
              <w:pStyle w:val="ListBullet3"/>
            </w:pPr>
            <w:r w:rsidRPr="00F939B4">
              <w:t xml:space="preserve">Touch screen </w:t>
            </w:r>
          </w:p>
          <w:p w:rsidR="00000000" w:rsidRPr="00F939B4" w:rsidP="00F939B4">
            <w:pPr>
              <w:pStyle w:val="ListBullet3"/>
            </w:pPr>
            <w:r w:rsidRPr="00F939B4">
              <w:t>Remote controller</w:t>
            </w:r>
          </w:p>
          <w:p w:rsidR="00000000" w:rsidRPr="00F939B4" w:rsidP="00F939B4">
            <w:pPr>
              <w:pStyle w:val="ListBullet3"/>
            </w:pPr>
            <w:r w:rsidRPr="00F939B4">
              <w:t>Manual input devices</w:t>
            </w:r>
          </w:p>
          <w:p w:rsidR="00000000" w:rsidRPr="00F939B4" w:rsidP="00F939B4">
            <w:pPr>
              <w:pStyle w:val="BodyText"/>
            </w:pPr>
            <w:r w:rsidRPr="00F939B4">
              <w:t xml:space="preserve">Generic terms used throughout this Vocational Standard shall be regarded as part of the Range Statement in which competency is demonstrated. </w:t>
            </w:r>
            <w:r w:rsidRPr="00F939B4">
              <w:t>The definition of these and other terms that apply are given in Volume 2, Part 2.1.</w:t>
            </w:r>
          </w:p>
        </w:tc>
      </w:tr>
    </w:tbl>
    <w:p w:rsidR="00000000" w:rsidRPr="00F939B4" w:rsidP="00F939B4">
      <w:pPr>
        <w:pStyle w:val="BodyText"/>
      </w:pPr>
    </w:p>
    <w:p w:rsidR="00000000" w:rsidRPr="00F939B4" w:rsidP="00F939B4">
      <w:pPr>
        <w:pStyle w:val="AllowPageBreak"/>
      </w:pPr>
    </w:p>
    <w:p w:rsidR="00000000" w:rsidRPr="00F939B4" w:rsidP="00F939B4">
      <w:pPr>
        <w:pStyle w:val="Heading1"/>
      </w:pPr>
      <w:bookmarkStart w:id="12" w:name="O_533897"/>
      <w:bookmarkEnd w:id="12"/>
      <w:r w:rsidRPr="00F939B4">
        <w:t>Unit Sector(s)</w:t>
      </w:r>
    </w:p>
    <w:p w:rsidR="00000000" w:rsidRPr="00F939B4" w:rsidP="00F939B4">
      <w:pPr>
        <w:pStyle w:val="BodyText"/>
      </w:pPr>
      <w:r w:rsidRPr="00F939B4">
        <w:t>Not applicable.</w:t>
      </w:r>
    </w:p>
    <w:p w:rsidR="00000000" w:rsidRPr="00F939B4" w:rsidP="00F939B4">
      <w:pPr>
        <w:pStyle w:val="AllowPageBreak"/>
      </w:pPr>
    </w:p>
    <w:p w:rsidR="00000000" w:rsidRPr="00F939B4" w:rsidP="00F939B4">
      <w:pPr>
        <w:pStyle w:val="Heading1"/>
      </w:pPr>
      <w:bookmarkStart w:id="13" w:name="O_533896"/>
      <w:bookmarkEnd w:id="13"/>
      <w:r w:rsidRPr="00F939B4">
        <w:t>Competency Field</w:t>
      </w:r>
    </w:p>
    <w:tbl>
      <w:tblPr>
        <w:tblW w:w="0" w:type="auto"/>
        <w:tblLayout w:type="fixed"/>
        <w:tblCellMar>
          <w:left w:w="62" w:type="dxa"/>
          <w:right w:w="62" w:type="dxa"/>
        </w:tblCellMar>
        <w:tblLook w:val="0000"/>
      </w:tblPr>
      <w:tblGrid>
        <w:gridCol w:w="2700"/>
        <w:gridCol w:w="5760"/>
      </w:tblGrid>
      <w:tr w:rsidTr="008755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39B4" w:rsidP="00F939B4">
            <w:pPr>
              <w:pStyle w:val="BodyText"/>
            </w:pPr>
            <w:r w:rsidRPr="00F939B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939B4">
            <w:pPr>
              <w:pStyle w:val="BodyText"/>
              <w:rPr>
                <w:lang w:val="en-NZ"/>
              </w:rPr>
            </w:pPr>
            <w:r w:rsidRPr="00F939B4">
              <w:rPr>
                <w:rStyle w:val="SpecialBold"/>
              </w:rPr>
              <w:t xml:space="preserve">11) </w:t>
            </w:r>
          </w:p>
        </w:tc>
      </w:tr>
      <w:tr w:rsidTr="008755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39B4" w:rsidP="00F939B4">
            <w:pPr>
              <w:pStyle w:val="BodyText"/>
            </w:pPr>
            <w:r w:rsidRPr="00F939B4">
              <w:t>Instrumentation and Control</w:t>
            </w:r>
          </w:p>
        </w:tc>
      </w:tr>
    </w:tbl>
    <w:p w:rsidR="00000000" w:rsidRPr="00F939B4" w:rsidP="00F939B4">
      <w:pPr>
        <w:pStyle w:val="BodyText"/>
      </w:pPr>
    </w:p>
    <w:p w:rsidR="00000000" w:rsidRPr="00F939B4" w:rsidP="00F939B4"/>
    <w:sectPr w:rsidSect="00F939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9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9B4" w:rsidRPr="008755B6" w:rsidP="008755B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9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5B6" w:rsidP="00F939B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755B6" w:rsidP="00F939B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8755B6" w:rsidP="00F939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9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9B4" w:rsidRPr="008755B6" w:rsidP="008755B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9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5B6" w:rsidRPr="002D2AF8" w:rsidP="00F939B4">
    <w:pPr>
      <w:pStyle w:val="Header"/>
      <w:framePr w:wrap="around"/>
    </w:pPr>
    <w:r>
      <w:fldChar w:fldCharType="begin"/>
    </w:r>
    <w:r>
      <w:instrText xml:space="preserve"> TITLE   \* MERGEFORMAT </w:instrText>
    </w:r>
    <w:r>
      <w:fldChar w:fldCharType="separate"/>
    </w:r>
    <w:r>
      <w:t>UEENEEI144A Develop interfaces for multiple access methods to monitor, schedule and control an electrical integrated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8755B6" w:rsidP="00F939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1CF9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F494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A2D5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9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39B4"/>
    <w:pPr>
      <w:spacing w:before="360" w:after="60"/>
      <w:outlineLvl w:val="0"/>
    </w:pPr>
    <w:rPr>
      <w:sz w:val="32"/>
    </w:rPr>
  </w:style>
  <w:style w:type="paragraph" w:styleId="Heading2">
    <w:name w:val="heading 2"/>
    <w:basedOn w:val="HeadingBase"/>
    <w:next w:val="BodyText"/>
    <w:link w:val="Heading2Char"/>
    <w:qFormat/>
    <w:rsid w:val="00F939B4"/>
    <w:pPr>
      <w:keepLines/>
      <w:spacing w:before="240" w:after="120"/>
      <w:outlineLvl w:val="1"/>
    </w:pPr>
    <w:rPr>
      <w:sz w:val="28"/>
      <w:szCs w:val="40"/>
    </w:rPr>
  </w:style>
  <w:style w:type="paragraph" w:styleId="Heading3">
    <w:name w:val="heading 3"/>
    <w:basedOn w:val="HeadingBase"/>
    <w:next w:val="BodyText"/>
    <w:link w:val="Heading3Char"/>
    <w:qFormat/>
    <w:rsid w:val="00F939B4"/>
    <w:pPr>
      <w:spacing w:before="180" w:after="120"/>
      <w:outlineLvl w:val="2"/>
    </w:pPr>
    <w:rPr>
      <w:spacing w:val="-10"/>
      <w:kern w:val="32"/>
    </w:rPr>
  </w:style>
  <w:style w:type="paragraph" w:styleId="Heading4">
    <w:name w:val="heading 4"/>
    <w:basedOn w:val="HeadingBase"/>
    <w:next w:val="BodyText"/>
    <w:link w:val="Heading4Char"/>
    <w:qFormat/>
    <w:rsid w:val="00F939B4"/>
    <w:pPr>
      <w:spacing w:before="160" w:after="120"/>
      <w:outlineLvl w:val="3"/>
    </w:pPr>
    <w:rPr>
      <w:sz w:val="22"/>
    </w:rPr>
  </w:style>
  <w:style w:type="paragraph" w:styleId="Heading5">
    <w:name w:val="heading 5"/>
    <w:basedOn w:val="HeadingBase"/>
    <w:next w:val="Normal"/>
    <w:link w:val="Heading5Char"/>
    <w:qFormat/>
    <w:rsid w:val="00F939B4"/>
    <w:pPr>
      <w:spacing w:before="80"/>
      <w:outlineLvl w:val="4"/>
    </w:pPr>
    <w:rPr>
      <w:color w:val="918585"/>
      <w:sz w:val="20"/>
    </w:rPr>
  </w:style>
  <w:style w:type="paragraph" w:styleId="Heading6">
    <w:name w:val="heading 6"/>
    <w:basedOn w:val="HeadingBase"/>
    <w:next w:val="Normal"/>
    <w:link w:val="Heading6Char"/>
    <w:qFormat/>
    <w:rsid w:val="00F939B4"/>
    <w:pPr>
      <w:spacing w:before="60"/>
      <w:outlineLvl w:val="5"/>
    </w:pPr>
    <w:rPr>
      <w:color w:val="918585"/>
      <w:sz w:val="20"/>
    </w:rPr>
  </w:style>
  <w:style w:type="paragraph" w:styleId="Heading7">
    <w:name w:val="heading 7"/>
    <w:basedOn w:val="Normal"/>
    <w:next w:val="Normal"/>
    <w:link w:val="Heading7Char"/>
    <w:qFormat/>
    <w:rsid w:val="00F939B4"/>
    <w:pPr>
      <w:ind w:left="720"/>
      <w:outlineLvl w:val="6"/>
    </w:pPr>
    <w:rPr>
      <w:i/>
    </w:rPr>
  </w:style>
  <w:style w:type="paragraph" w:styleId="Heading8">
    <w:name w:val="heading 8"/>
    <w:basedOn w:val="Normal"/>
    <w:next w:val="Normal"/>
    <w:link w:val="Heading8Char"/>
    <w:qFormat/>
    <w:rsid w:val="00F939B4"/>
    <w:pPr>
      <w:ind w:left="720"/>
      <w:outlineLvl w:val="7"/>
    </w:pPr>
    <w:rPr>
      <w:i/>
    </w:rPr>
  </w:style>
  <w:style w:type="paragraph" w:styleId="Heading9">
    <w:name w:val="heading 9"/>
    <w:basedOn w:val="Normal"/>
    <w:next w:val="Normal"/>
    <w:link w:val="Heading9Char"/>
    <w:qFormat/>
    <w:rsid w:val="00F939B4"/>
    <w:pPr>
      <w:ind w:left="720"/>
      <w:outlineLvl w:val="8"/>
    </w:pPr>
    <w:rPr>
      <w:i/>
    </w:rPr>
  </w:style>
  <w:style w:type="character" w:default="1" w:styleId="DefaultParagraphFont">
    <w:name w:val="Default Paragraph Font"/>
    <w:uiPriority w:val="1"/>
    <w:unhideWhenUsed/>
    <w:rsid w:val="00F939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39B4"/>
  </w:style>
  <w:style w:type="character" w:customStyle="1" w:styleId="Heading1Char">
    <w:name w:val="Heading 1 Char"/>
    <w:basedOn w:val="DefaultParagraphFont"/>
    <w:link w:val="Heading1"/>
    <w:rsid w:val="00F939B4"/>
    <w:rPr>
      <w:rFonts w:ascii="Times New Roman" w:eastAsia="Times New Roman" w:hAnsi="Times New Roman" w:cs="Times New Roman"/>
      <w:b/>
      <w:sz w:val="32"/>
      <w:szCs w:val="20"/>
      <w:lang w:eastAsia="en-US"/>
    </w:rPr>
  </w:style>
  <w:style w:type="paragraph" w:styleId="BodyText">
    <w:name w:val="Body Text"/>
    <w:basedOn w:val="Normal"/>
    <w:link w:val="BodyTextChar"/>
    <w:rsid w:val="00F939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39B4"/>
    <w:rPr>
      <w:rFonts w:ascii="Times New Roman" w:eastAsia="Times New Roman" w:hAnsi="Times New Roman" w:cs="Times New Roman"/>
      <w:sz w:val="24"/>
      <w:lang w:eastAsia="en-US"/>
    </w:rPr>
  </w:style>
  <w:style w:type="paragraph" w:styleId="ListBullet">
    <w:name w:val="List Bullet"/>
    <w:basedOn w:val="List"/>
    <w:rsid w:val="00F939B4"/>
    <w:pPr>
      <w:numPr>
        <w:numId w:val="14"/>
      </w:numPr>
      <w:tabs>
        <w:tab w:val="clear" w:pos="340"/>
      </w:tabs>
      <w:spacing w:before="40" w:after="40"/>
    </w:pPr>
  </w:style>
  <w:style w:type="character" w:customStyle="1" w:styleId="SpecialBold">
    <w:name w:val="Special Bold"/>
    <w:basedOn w:val="DefaultParagraphFont"/>
    <w:rsid w:val="00F939B4"/>
    <w:rPr>
      <w:b/>
      <w:spacing w:val="0"/>
    </w:rPr>
  </w:style>
  <w:style w:type="paragraph" w:styleId="ListBullet2">
    <w:name w:val="List Bullet 2"/>
    <w:basedOn w:val="List2"/>
    <w:rsid w:val="00F939B4"/>
    <w:pPr>
      <w:numPr>
        <w:numId w:val="15"/>
      </w:numPr>
      <w:tabs>
        <w:tab w:val="clear" w:pos="680"/>
      </w:tabs>
    </w:pPr>
  </w:style>
  <w:style w:type="paragraph" w:customStyle="1" w:styleId="SuperHeading">
    <w:name w:val="SuperHeading"/>
    <w:basedOn w:val="Normal"/>
    <w:rsid w:val="00F939B4"/>
    <w:pPr>
      <w:spacing w:before="240" w:after="120"/>
      <w:outlineLvl w:val="0"/>
    </w:pPr>
    <w:rPr>
      <w:rFonts w:ascii="Times New Roman" w:hAnsi="Times New Roman"/>
      <w:b/>
      <w:sz w:val="32"/>
    </w:rPr>
  </w:style>
  <w:style w:type="paragraph" w:customStyle="1" w:styleId="AllowPageBreak">
    <w:name w:val="AllowPageBreak"/>
    <w:rsid w:val="00F939B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939B4"/>
    <w:pPr>
      <w:numPr>
        <w:numId w:val="3"/>
      </w:numPr>
      <w:tabs>
        <w:tab w:val="clear" w:pos="1021"/>
      </w:tabs>
      <w:ind w:left="1037" w:hanging="357"/>
    </w:pPr>
  </w:style>
  <w:style w:type="character" w:customStyle="1" w:styleId="Heading2Char">
    <w:name w:val="Heading 2 Char"/>
    <w:basedOn w:val="DefaultParagraphFont"/>
    <w:link w:val="Heading2"/>
    <w:rsid w:val="00F939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39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39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39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39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39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39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39B4"/>
    <w:rPr>
      <w:rFonts w:ascii="Courier New" w:eastAsia="Times New Roman" w:hAnsi="Courier New" w:cs="Times New Roman"/>
      <w:i/>
      <w:szCs w:val="20"/>
      <w:lang w:eastAsia="en-US"/>
    </w:rPr>
  </w:style>
  <w:style w:type="paragraph" w:customStyle="1" w:styleId="HeadingBase">
    <w:name w:val="Heading Base"/>
    <w:rsid w:val="00F939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39B4"/>
    <w:pPr>
      <w:tabs>
        <w:tab w:val="right" w:leader="dot" w:pos="9072"/>
      </w:tabs>
      <w:ind w:left="567"/>
    </w:pPr>
    <w:rPr>
      <w:szCs w:val="22"/>
    </w:rPr>
  </w:style>
  <w:style w:type="paragraph" w:customStyle="1" w:styleId="TOCBase">
    <w:name w:val="TOC Base"/>
    <w:rsid w:val="00F939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39B4"/>
    <w:pPr>
      <w:tabs>
        <w:tab w:val="right" w:leader="dot" w:pos="9072"/>
      </w:tabs>
      <w:spacing w:before="40" w:after="40"/>
      <w:ind w:left="284"/>
    </w:pPr>
    <w:rPr>
      <w:rFonts w:ascii="Times New Roman" w:hAnsi="Times New Roman"/>
    </w:rPr>
  </w:style>
  <w:style w:type="paragraph" w:styleId="TOC1">
    <w:name w:val="toc 1"/>
    <w:basedOn w:val="TOCBase"/>
    <w:next w:val="Normal"/>
    <w:rsid w:val="00F939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39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39B4"/>
    <w:rPr>
      <w:rFonts w:ascii="Times New Roman" w:eastAsia="Times New Roman" w:hAnsi="Times New Roman" w:cs="Times New Roman"/>
      <w:sz w:val="16"/>
      <w:lang w:eastAsia="en-US"/>
    </w:rPr>
  </w:style>
  <w:style w:type="paragraph" w:styleId="Title">
    <w:name w:val="Title"/>
    <w:basedOn w:val="HeadingBase"/>
    <w:link w:val="TitleChar"/>
    <w:qFormat/>
    <w:rsid w:val="00F939B4"/>
    <w:pPr>
      <w:spacing w:before="5040"/>
      <w:jc w:val="center"/>
    </w:pPr>
    <w:rPr>
      <w:sz w:val="48"/>
      <w:szCs w:val="72"/>
      <w:lang w:val="en-US"/>
    </w:rPr>
  </w:style>
  <w:style w:type="character" w:customStyle="1" w:styleId="TitleChar">
    <w:name w:val="Title Char"/>
    <w:basedOn w:val="DefaultParagraphFont"/>
    <w:link w:val="Title"/>
    <w:rsid w:val="00F939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39B4"/>
    <w:pPr>
      <w:tabs>
        <w:tab w:val="left" w:pos="3600"/>
        <w:tab w:val="left" w:pos="3958"/>
      </w:tabs>
    </w:pPr>
  </w:style>
  <w:style w:type="paragraph" w:styleId="List">
    <w:name w:val="List"/>
    <w:basedOn w:val="BodyText"/>
    <w:next w:val="BodyText"/>
    <w:rsid w:val="00F939B4"/>
    <w:pPr>
      <w:tabs>
        <w:tab w:val="left" w:pos="340"/>
      </w:tabs>
      <w:spacing w:before="60" w:after="60"/>
      <w:ind w:left="340" w:hanging="340"/>
    </w:pPr>
  </w:style>
  <w:style w:type="paragraph" w:customStyle="1" w:styleId="Note">
    <w:name w:val="Note"/>
    <w:basedOn w:val="BodyText"/>
    <w:rsid w:val="00F939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39B4"/>
    <w:pPr>
      <w:framePr w:wrap="auto" w:hAnchor="text" w:y="6049"/>
    </w:pPr>
    <w:rPr>
      <w:color w:val="000000"/>
      <w:sz w:val="40"/>
    </w:rPr>
  </w:style>
  <w:style w:type="paragraph" w:customStyle="1" w:styleId="TOCTitle">
    <w:name w:val="TOCTitle"/>
    <w:basedOn w:val="Heading1"/>
    <w:rsid w:val="00F939B4"/>
    <w:pPr>
      <w:spacing w:after="240"/>
      <w:jc w:val="center"/>
      <w:outlineLvl w:val="9"/>
    </w:pPr>
    <w:rPr>
      <w:caps/>
    </w:rPr>
  </w:style>
  <w:style w:type="paragraph" w:customStyle="1" w:styleId="Version">
    <w:name w:val="Version"/>
    <w:rsid w:val="00F939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39B4"/>
    <w:pPr>
      <w:keepNext w:val="0"/>
      <w:tabs>
        <w:tab w:val="right" w:pos="4176"/>
      </w:tabs>
      <w:ind w:left="198" w:hanging="198"/>
    </w:pPr>
    <w:rPr>
      <w:rFonts w:ascii="Garamond" w:hAnsi="Garamond"/>
    </w:rPr>
  </w:style>
  <w:style w:type="paragraph" w:styleId="IndexHeading">
    <w:name w:val="index heading"/>
    <w:basedOn w:val="Normal"/>
    <w:next w:val="Index1"/>
    <w:semiHidden/>
    <w:rsid w:val="00F939B4"/>
    <w:pPr>
      <w:spacing w:before="120" w:after="120"/>
    </w:pPr>
    <w:rPr>
      <w:rFonts w:ascii="Arial" w:hAnsi="Arial"/>
      <w:b/>
      <w:color w:val="918585"/>
      <w:sz w:val="24"/>
    </w:rPr>
  </w:style>
  <w:style w:type="paragraph" w:styleId="Header">
    <w:name w:val="header"/>
    <w:basedOn w:val="Normal"/>
    <w:link w:val="HeaderChar"/>
    <w:rsid w:val="00F939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39B4"/>
    <w:rPr>
      <w:rFonts w:ascii="Times New Roman" w:eastAsia="Times New Roman" w:hAnsi="Times New Roman" w:cs="Times New Roman"/>
      <w:sz w:val="16"/>
      <w:szCs w:val="20"/>
      <w:lang w:val="en-GB" w:eastAsia="en-US"/>
    </w:rPr>
  </w:style>
  <w:style w:type="paragraph" w:customStyle="1" w:styleId="Chapter">
    <w:name w:val="Chapter"/>
    <w:basedOn w:val="Normal"/>
    <w:rsid w:val="00F939B4"/>
    <w:pPr>
      <w:spacing w:before="240"/>
    </w:pPr>
    <w:rPr>
      <w:rFonts w:ascii="Times New Roman" w:hAnsi="Times New Roman"/>
      <w:smallCaps/>
      <w:spacing w:val="80"/>
      <w:sz w:val="28"/>
    </w:rPr>
  </w:style>
  <w:style w:type="paragraph" w:customStyle="1" w:styleId="InChapter">
    <w:name w:val="InChapter"/>
    <w:basedOn w:val="Heading3"/>
    <w:rsid w:val="00F939B4"/>
    <w:pPr>
      <w:spacing w:after="240"/>
      <w:outlineLvl w:val="9"/>
    </w:pPr>
    <w:rPr>
      <w:noProof/>
    </w:rPr>
  </w:style>
  <w:style w:type="paragraph" w:styleId="Index2">
    <w:name w:val="index 2"/>
    <w:basedOn w:val="Normal"/>
    <w:next w:val="Normal"/>
    <w:semiHidden/>
    <w:rsid w:val="00F939B4"/>
    <w:pPr>
      <w:tabs>
        <w:tab w:val="right" w:pos="4176"/>
      </w:tabs>
      <w:ind w:left="568" w:hanging="284"/>
    </w:pPr>
    <w:rPr>
      <w:rFonts w:ascii="Garamond" w:hAnsi="Garamond"/>
    </w:rPr>
  </w:style>
  <w:style w:type="paragraph" w:customStyle="1" w:styleId="Byline">
    <w:name w:val="Byline"/>
    <w:rsid w:val="00F939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39B4"/>
    <w:pPr>
      <w:tabs>
        <w:tab w:val="clear" w:pos="3600"/>
        <w:tab w:val="clear" w:pos="3958"/>
      </w:tabs>
      <w:jc w:val="right"/>
    </w:pPr>
  </w:style>
  <w:style w:type="character" w:styleId="Emphasis">
    <w:name w:val="Emphasis"/>
    <w:basedOn w:val="DefaultParagraphFont"/>
    <w:qFormat/>
    <w:rsid w:val="00F939B4"/>
    <w:rPr>
      <w:i/>
    </w:rPr>
  </w:style>
  <w:style w:type="paragraph" w:styleId="Caption">
    <w:name w:val="caption"/>
    <w:basedOn w:val="BodyText"/>
    <w:next w:val="Normal"/>
    <w:qFormat/>
    <w:rsid w:val="00F939B4"/>
    <w:pPr>
      <w:framePr w:w="2268" w:hSpace="181" w:vSpace="181" w:wrap="around" w:vAnchor="text" w:hAnchor="page" w:x="1135" w:y="285" w:anchorLock="1"/>
    </w:pPr>
    <w:rPr>
      <w:i/>
    </w:rPr>
  </w:style>
  <w:style w:type="paragraph" w:customStyle="1" w:styleId="MiniTOCTitle">
    <w:name w:val="MiniTOCTitle"/>
    <w:basedOn w:val="Heading4"/>
    <w:rsid w:val="00F939B4"/>
    <w:pPr>
      <w:spacing w:before="240"/>
      <w:outlineLvl w:val="9"/>
    </w:pPr>
    <w:rPr>
      <w:noProof/>
      <w:sz w:val="24"/>
    </w:rPr>
  </w:style>
  <w:style w:type="paragraph" w:customStyle="1" w:styleId="MiniTOCItem">
    <w:name w:val="MiniTOCItem"/>
    <w:basedOn w:val="ListBullet"/>
    <w:rsid w:val="00F939B4"/>
    <w:pPr>
      <w:numPr>
        <w:numId w:val="0"/>
      </w:numPr>
      <w:tabs>
        <w:tab w:val="right" w:leader="dot" w:pos="6521"/>
      </w:tabs>
      <w:spacing w:before="0" w:after="0"/>
    </w:pPr>
  </w:style>
  <w:style w:type="paragraph" w:customStyle="1" w:styleId="TOFTitle">
    <w:name w:val="TOFTitle"/>
    <w:basedOn w:val="TOCTitle"/>
    <w:rsid w:val="00F939B4"/>
  </w:style>
  <w:style w:type="paragraph" w:styleId="TableofFigures">
    <w:name w:val="table of figures"/>
    <w:basedOn w:val="Normal"/>
    <w:next w:val="Normal"/>
    <w:semiHidden/>
    <w:rsid w:val="00F939B4"/>
    <w:pPr>
      <w:tabs>
        <w:tab w:val="right" w:leader="dot" w:pos="9072"/>
      </w:tabs>
      <w:ind w:left="970" w:hanging="403"/>
    </w:pPr>
    <w:rPr>
      <w:rFonts w:ascii="Times New Roman" w:hAnsi="Times New Roman"/>
      <w:b/>
    </w:rPr>
  </w:style>
  <w:style w:type="paragraph" w:styleId="ListNumber">
    <w:name w:val="List Number"/>
    <w:basedOn w:val="List"/>
    <w:rsid w:val="00F939B4"/>
    <w:pPr>
      <w:numPr>
        <w:numId w:val="12"/>
      </w:numPr>
    </w:pPr>
  </w:style>
  <w:style w:type="character" w:customStyle="1" w:styleId="WingdingSymbols">
    <w:name w:val="Wingding Symbols"/>
    <w:rsid w:val="00F939B4"/>
    <w:rPr>
      <w:rFonts w:ascii="Wingdings" w:hAnsi="Wingdings"/>
    </w:rPr>
  </w:style>
  <w:style w:type="paragraph" w:customStyle="1" w:styleId="TableHeading">
    <w:name w:val="Table Heading"/>
    <w:basedOn w:val="HeadingBase"/>
    <w:rsid w:val="00F939B4"/>
    <w:pPr>
      <w:keepLines/>
      <w:pBdr>
        <w:bottom w:val="single" w:sz="6" w:space="1" w:color="918585"/>
      </w:pBdr>
      <w:spacing w:before="240"/>
    </w:pPr>
  </w:style>
  <w:style w:type="character" w:customStyle="1" w:styleId="HotSpot">
    <w:name w:val="HotSpot"/>
    <w:rsid w:val="00F939B4"/>
    <w:rPr>
      <w:color w:val="0033CC"/>
      <w:u w:val="none"/>
    </w:rPr>
  </w:style>
  <w:style w:type="paragraph" w:customStyle="1" w:styleId="BodyTextRight">
    <w:name w:val="Body Text Right"/>
    <w:basedOn w:val="BodyText"/>
    <w:rsid w:val="00F939B4"/>
    <w:pPr>
      <w:spacing w:before="0" w:after="0"/>
      <w:jc w:val="right"/>
    </w:pPr>
  </w:style>
  <w:style w:type="paragraph" w:styleId="Index3">
    <w:name w:val="index 3"/>
    <w:basedOn w:val="ListNumber2"/>
    <w:next w:val="Normal"/>
    <w:semiHidden/>
    <w:rsid w:val="00F939B4"/>
    <w:pPr>
      <w:numPr>
        <w:numId w:val="0"/>
      </w:numPr>
      <w:tabs>
        <w:tab w:val="right" w:leader="dot" w:pos="4176"/>
      </w:tabs>
    </w:pPr>
  </w:style>
  <w:style w:type="paragraph" w:styleId="ListNumber2">
    <w:name w:val="List Number 2"/>
    <w:basedOn w:val="List2"/>
    <w:rsid w:val="00F939B4"/>
    <w:pPr>
      <w:numPr>
        <w:numId w:val="11"/>
      </w:numPr>
      <w:tabs>
        <w:tab w:val="clear" w:pos="1060"/>
      </w:tabs>
    </w:pPr>
  </w:style>
  <w:style w:type="paragraph" w:customStyle="1" w:styleId="MarginNote">
    <w:name w:val="Margin Note"/>
    <w:basedOn w:val="BodyText"/>
    <w:rsid w:val="00F939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39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39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39B4"/>
    <w:rPr>
      <w:sz w:val="32"/>
    </w:rPr>
  </w:style>
  <w:style w:type="paragraph" w:customStyle="1" w:styleId="HeadingProcedure">
    <w:name w:val="Heading Procedure"/>
    <w:basedOn w:val="HeadingBase"/>
    <w:next w:val="Normal"/>
    <w:rsid w:val="00F939B4"/>
    <w:pPr>
      <w:tabs>
        <w:tab w:val="left" w:pos="0"/>
      </w:tabs>
      <w:spacing w:before="120" w:after="60"/>
    </w:pPr>
    <w:rPr>
      <w:i/>
      <w:color w:val="918585"/>
      <w:sz w:val="22"/>
    </w:rPr>
  </w:style>
  <w:style w:type="paragraph" w:customStyle="1" w:styleId="TableBodyText">
    <w:name w:val="Table Body Text"/>
    <w:basedOn w:val="BodyText"/>
    <w:rsid w:val="00F939B4"/>
    <w:pPr>
      <w:spacing w:before="60" w:after="60"/>
    </w:pPr>
  </w:style>
  <w:style w:type="paragraph" w:styleId="ListContinue">
    <w:name w:val="List Continue"/>
    <w:basedOn w:val="List"/>
    <w:rsid w:val="00F939B4"/>
    <w:pPr>
      <w:ind w:firstLine="0"/>
    </w:pPr>
  </w:style>
  <w:style w:type="paragraph" w:customStyle="1" w:styleId="ListNote">
    <w:name w:val="List Note"/>
    <w:basedOn w:val="List"/>
    <w:rsid w:val="00F939B4"/>
    <w:pPr>
      <w:pBdr>
        <w:top w:val="single" w:sz="6" w:space="2" w:color="918585"/>
        <w:bottom w:val="single" w:sz="6" w:space="2" w:color="918585"/>
      </w:pBdr>
      <w:tabs>
        <w:tab w:val="left" w:pos="1021"/>
      </w:tabs>
      <w:ind w:firstLine="0"/>
    </w:pPr>
  </w:style>
  <w:style w:type="paragraph" w:customStyle="1" w:styleId="Warning">
    <w:name w:val="Warning"/>
    <w:basedOn w:val="BodyText"/>
    <w:rsid w:val="00F939B4"/>
    <w:pPr>
      <w:shd w:val="clear" w:color="auto" w:fill="D9D9D9"/>
      <w:tabs>
        <w:tab w:val="left" w:pos="992"/>
      </w:tabs>
      <w:ind w:left="119" w:right="119"/>
    </w:pPr>
    <w:rPr>
      <w:sz w:val="20"/>
    </w:rPr>
  </w:style>
  <w:style w:type="paragraph" w:customStyle="1" w:styleId="MarginIcons">
    <w:name w:val="Margin Icons"/>
    <w:basedOn w:val="BodyText"/>
    <w:rsid w:val="00F939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39B4"/>
    <w:rPr>
      <w:rFonts w:ascii="Courier New" w:hAnsi="Courier New"/>
    </w:rPr>
  </w:style>
  <w:style w:type="paragraph" w:customStyle="1" w:styleId="NoteBullet">
    <w:name w:val="Note Bullet"/>
    <w:basedOn w:val="Note"/>
    <w:rsid w:val="00F939B4"/>
    <w:pPr>
      <w:tabs>
        <w:tab w:val="clear" w:pos="680"/>
      </w:tabs>
      <w:spacing w:before="60" w:after="60"/>
    </w:pPr>
  </w:style>
  <w:style w:type="paragraph" w:customStyle="1" w:styleId="SubHeading2">
    <w:name w:val="SubHeading2"/>
    <w:basedOn w:val="HeadingBase"/>
    <w:rsid w:val="00F939B4"/>
    <w:pPr>
      <w:spacing w:before="240" w:after="60"/>
    </w:pPr>
    <w:rPr>
      <w:sz w:val="20"/>
    </w:rPr>
  </w:style>
  <w:style w:type="paragraph" w:customStyle="1" w:styleId="SubHeading1">
    <w:name w:val="SubHeading1"/>
    <w:basedOn w:val="HeadingBase"/>
    <w:rsid w:val="00F939B4"/>
    <w:pPr>
      <w:spacing w:before="240" w:after="60"/>
    </w:pPr>
    <w:rPr>
      <w:color w:val="918585"/>
      <w:sz w:val="22"/>
    </w:rPr>
  </w:style>
  <w:style w:type="paragraph" w:customStyle="1" w:styleId="SideHeading">
    <w:name w:val="Side Heading"/>
    <w:basedOn w:val="HeadingBase"/>
    <w:rsid w:val="00F939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39B4"/>
    <w:pPr>
      <w:numPr>
        <w:numId w:val="13"/>
      </w:numPr>
    </w:pPr>
  </w:style>
  <w:style w:type="paragraph" w:styleId="PlainText">
    <w:name w:val="Plain Text"/>
    <w:basedOn w:val="Normal"/>
    <w:link w:val="PlainTextChar"/>
    <w:rsid w:val="00F939B4"/>
    <w:rPr>
      <w:sz w:val="20"/>
    </w:rPr>
  </w:style>
  <w:style w:type="character" w:customStyle="1" w:styleId="PlainTextChar">
    <w:name w:val="Plain Text Char"/>
    <w:basedOn w:val="DefaultParagraphFont"/>
    <w:link w:val="PlainText"/>
    <w:rsid w:val="00F939B4"/>
    <w:rPr>
      <w:rFonts w:ascii="Courier New" w:eastAsia="Times New Roman" w:hAnsi="Courier New" w:cs="Times New Roman"/>
      <w:sz w:val="20"/>
      <w:szCs w:val="20"/>
      <w:lang w:eastAsia="en-US"/>
    </w:rPr>
  </w:style>
  <w:style w:type="character" w:customStyle="1" w:styleId="MenuOption">
    <w:name w:val="Menu Option"/>
    <w:basedOn w:val="DefaultParagraphFont"/>
    <w:rsid w:val="00F939B4"/>
    <w:rPr>
      <w:b/>
      <w:smallCaps/>
    </w:rPr>
  </w:style>
  <w:style w:type="paragraph" w:customStyle="1" w:styleId="TableListNumber">
    <w:name w:val="Table List Number"/>
    <w:basedOn w:val="ListNumber"/>
    <w:rsid w:val="00F939B4"/>
    <w:pPr>
      <w:numPr>
        <w:numId w:val="0"/>
      </w:numPr>
    </w:pPr>
  </w:style>
  <w:style w:type="paragraph" w:styleId="TOC4">
    <w:name w:val="toc 4"/>
    <w:basedOn w:val="TOCBase"/>
    <w:next w:val="Normal"/>
    <w:semiHidden/>
    <w:rsid w:val="00F939B4"/>
    <w:pPr>
      <w:tabs>
        <w:tab w:val="right" w:leader="dot" w:pos="9071"/>
      </w:tabs>
      <w:ind w:left="1701"/>
    </w:pPr>
  </w:style>
  <w:style w:type="paragraph" w:customStyle="1" w:styleId="ListAlpha">
    <w:name w:val="List Alpha"/>
    <w:basedOn w:val="List"/>
    <w:rsid w:val="00F939B4"/>
    <w:pPr>
      <w:numPr>
        <w:numId w:val="10"/>
      </w:numPr>
    </w:pPr>
  </w:style>
  <w:style w:type="paragraph" w:customStyle="1" w:styleId="ListAlpha2">
    <w:name w:val="List Alpha 2"/>
    <w:basedOn w:val="List2"/>
    <w:rsid w:val="00F939B4"/>
    <w:pPr>
      <w:numPr>
        <w:numId w:val="9"/>
      </w:numPr>
    </w:pPr>
  </w:style>
  <w:style w:type="paragraph" w:styleId="List2">
    <w:name w:val="List 2"/>
    <w:basedOn w:val="BodyText"/>
    <w:rsid w:val="00F939B4"/>
    <w:pPr>
      <w:tabs>
        <w:tab w:val="left" w:pos="680"/>
      </w:tabs>
      <w:spacing w:before="60" w:after="60"/>
      <w:ind w:left="680" w:hanging="340"/>
    </w:pPr>
  </w:style>
  <w:style w:type="paragraph" w:styleId="List3">
    <w:name w:val="List 3"/>
    <w:basedOn w:val="BodyText"/>
    <w:rsid w:val="00F939B4"/>
    <w:pPr>
      <w:tabs>
        <w:tab w:val="left" w:pos="1021"/>
      </w:tabs>
      <w:spacing w:before="60" w:after="60"/>
      <w:ind w:left="1020" w:hanging="340"/>
    </w:pPr>
  </w:style>
  <w:style w:type="paragraph" w:styleId="List4">
    <w:name w:val="List 4"/>
    <w:basedOn w:val="BodyText"/>
    <w:rsid w:val="00F939B4"/>
    <w:pPr>
      <w:tabs>
        <w:tab w:val="left" w:pos="1361"/>
      </w:tabs>
      <w:spacing w:before="60" w:after="60"/>
      <w:ind w:left="1361" w:hanging="340"/>
    </w:pPr>
  </w:style>
  <w:style w:type="paragraph" w:styleId="List5">
    <w:name w:val="List 5"/>
    <w:basedOn w:val="BodyText"/>
    <w:rsid w:val="00F939B4"/>
    <w:pPr>
      <w:tabs>
        <w:tab w:val="left" w:pos="1701"/>
      </w:tabs>
      <w:spacing w:before="60" w:after="60"/>
      <w:ind w:left="1701" w:hanging="340"/>
    </w:pPr>
  </w:style>
  <w:style w:type="paragraph" w:styleId="ListBullet4">
    <w:name w:val="List Bullet 4"/>
    <w:basedOn w:val="List4"/>
    <w:rsid w:val="00F939B4"/>
    <w:pPr>
      <w:numPr>
        <w:numId w:val="4"/>
      </w:numPr>
    </w:pPr>
  </w:style>
  <w:style w:type="paragraph" w:styleId="ListBullet5">
    <w:name w:val="List Bullet 5"/>
    <w:basedOn w:val="List5"/>
    <w:rsid w:val="00F939B4"/>
    <w:pPr>
      <w:numPr>
        <w:numId w:val="5"/>
      </w:numPr>
    </w:pPr>
  </w:style>
  <w:style w:type="paragraph" w:styleId="ListContinue2">
    <w:name w:val="List Continue 2"/>
    <w:basedOn w:val="List2"/>
    <w:rsid w:val="00F939B4"/>
    <w:pPr>
      <w:ind w:firstLine="0"/>
    </w:pPr>
  </w:style>
  <w:style w:type="paragraph" w:styleId="ListContinue3">
    <w:name w:val="List Continue 3"/>
    <w:basedOn w:val="List3"/>
    <w:rsid w:val="00F939B4"/>
    <w:pPr>
      <w:ind w:left="1021" w:firstLine="0"/>
    </w:pPr>
  </w:style>
  <w:style w:type="paragraph" w:styleId="ListContinue4">
    <w:name w:val="List Continue 4"/>
    <w:basedOn w:val="List4"/>
    <w:rsid w:val="00F939B4"/>
    <w:pPr>
      <w:ind w:firstLine="0"/>
    </w:pPr>
  </w:style>
  <w:style w:type="paragraph" w:styleId="ListContinue5">
    <w:name w:val="List Continue 5"/>
    <w:basedOn w:val="List5"/>
    <w:rsid w:val="00F939B4"/>
    <w:pPr>
      <w:ind w:firstLine="0"/>
    </w:pPr>
  </w:style>
  <w:style w:type="paragraph" w:styleId="ListNumber3">
    <w:name w:val="List Number 3"/>
    <w:basedOn w:val="List3"/>
    <w:rsid w:val="00F939B4"/>
    <w:pPr>
      <w:numPr>
        <w:numId w:val="6"/>
      </w:numPr>
    </w:pPr>
  </w:style>
  <w:style w:type="paragraph" w:styleId="ListNumber4">
    <w:name w:val="List Number 4"/>
    <w:basedOn w:val="List4"/>
    <w:rsid w:val="00F939B4"/>
    <w:pPr>
      <w:numPr>
        <w:numId w:val="7"/>
      </w:numPr>
    </w:pPr>
  </w:style>
  <w:style w:type="paragraph" w:styleId="ListNumber5">
    <w:name w:val="List Number 5"/>
    <w:basedOn w:val="List5"/>
    <w:rsid w:val="00F939B4"/>
    <w:pPr>
      <w:numPr>
        <w:numId w:val="8"/>
      </w:numPr>
    </w:pPr>
  </w:style>
  <w:style w:type="paragraph" w:styleId="BlockText">
    <w:name w:val="Block Text"/>
    <w:basedOn w:val="Normal"/>
    <w:rsid w:val="00F939B4"/>
    <w:pPr>
      <w:spacing w:after="120"/>
      <w:ind w:left="1440" w:right="1440"/>
    </w:pPr>
  </w:style>
  <w:style w:type="character" w:customStyle="1" w:styleId="Subscript">
    <w:name w:val="Subscript"/>
    <w:basedOn w:val="DefaultParagraphFont"/>
    <w:rsid w:val="00F939B4"/>
    <w:rPr>
      <w:sz w:val="16"/>
      <w:vertAlign w:val="subscript"/>
    </w:rPr>
  </w:style>
  <w:style w:type="character" w:customStyle="1" w:styleId="Superscript">
    <w:name w:val="Superscript"/>
    <w:basedOn w:val="DefaultParagraphFont"/>
    <w:rsid w:val="00F939B4"/>
    <w:rPr>
      <w:sz w:val="16"/>
      <w:vertAlign w:val="superscript"/>
    </w:rPr>
  </w:style>
  <w:style w:type="character" w:customStyle="1" w:styleId="Symbols">
    <w:name w:val="Symbols"/>
    <w:basedOn w:val="DefaultParagraphFont"/>
    <w:rsid w:val="00F939B4"/>
    <w:rPr>
      <w:rFonts w:ascii="Symbol" w:hAnsi="Symbol"/>
    </w:rPr>
  </w:style>
  <w:style w:type="character" w:customStyle="1" w:styleId="MenuOptions">
    <w:name w:val="Menu Options"/>
    <w:basedOn w:val="DefaultParagraphFont"/>
    <w:rsid w:val="00F939B4"/>
    <w:rPr>
      <w:rFonts w:ascii="Arial Narrow" w:hAnsi="Arial Narrow"/>
      <w:smallCaps/>
    </w:rPr>
  </w:style>
  <w:style w:type="character" w:customStyle="1" w:styleId="Buttons">
    <w:name w:val="Buttons"/>
    <w:basedOn w:val="DefaultParagraphFont"/>
    <w:rsid w:val="00F939B4"/>
    <w:rPr>
      <w:b/>
    </w:rPr>
  </w:style>
  <w:style w:type="character" w:customStyle="1" w:styleId="Underlined">
    <w:name w:val="Underlined"/>
    <w:basedOn w:val="DefaultParagraphFont"/>
    <w:rsid w:val="00F939B4"/>
    <w:rPr>
      <w:u w:val="single"/>
    </w:rPr>
  </w:style>
  <w:style w:type="paragraph" w:customStyle="1" w:styleId="TableBodyTextRight">
    <w:name w:val="Table Body Text Right"/>
    <w:basedOn w:val="TableBodyText"/>
    <w:rsid w:val="00F939B4"/>
    <w:pPr>
      <w:widowControl w:val="0"/>
      <w:autoSpaceDE w:val="0"/>
      <w:autoSpaceDN w:val="0"/>
      <w:adjustRightInd w:val="0"/>
      <w:jc w:val="right"/>
    </w:pPr>
    <w:rPr>
      <w:rFonts w:cs="Arial"/>
      <w:szCs w:val="18"/>
    </w:rPr>
  </w:style>
  <w:style w:type="paragraph" w:customStyle="1" w:styleId="CopyrightText">
    <w:name w:val="Copyright Text"/>
    <w:basedOn w:val="BodyText"/>
    <w:rsid w:val="00F939B4"/>
    <w:rPr>
      <w:sz w:val="18"/>
    </w:rPr>
  </w:style>
  <w:style w:type="paragraph" w:customStyle="1" w:styleId="BodySmallRight">
    <w:name w:val="Body Small Right"/>
    <w:basedOn w:val="BodyTextRight"/>
    <w:rsid w:val="00F939B4"/>
    <w:rPr>
      <w:sz w:val="18"/>
      <w:szCs w:val="18"/>
    </w:rPr>
  </w:style>
  <w:style w:type="paragraph" w:customStyle="1" w:styleId="MarginEdition">
    <w:name w:val="Margin Edition"/>
    <w:basedOn w:val="MarginNote"/>
    <w:rsid w:val="00F939B4"/>
    <w:pPr>
      <w:spacing w:before="0" w:after="0"/>
    </w:pPr>
    <w:rPr>
      <w:rFonts w:ascii="Times New Roman" w:hAnsi="Times New Roman"/>
      <w:color w:val="999999"/>
    </w:rPr>
  </w:style>
  <w:style w:type="paragraph" w:customStyle="1" w:styleId="Spacer">
    <w:name w:val="Spacer"/>
    <w:basedOn w:val="Normal"/>
    <w:rsid w:val="00F939B4"/>
    <w:rPr>
      <w:sz w:val="2"/>
      <w:szCs w:val="2"/>
    </w:rPr>
  </w:style>
  <w:style w:type="character" w:customStyle="1" w:styleId="Small">
    <w:name w:val="Small"/>
    <w:basedOn w:val="DefaultParagraphFont"/>
    <w:rsid w:val="00F939B4"/>
    <w:rPr>
      <w:sz w:val="16"/>
    </w:rPr>
  </w:style>
  <w:style w:type="paragraph" w:customStyle="1" w:styleId="WideTable">
    <w:name w:val="Wide Table"/>
    <w:basedOn w:val="Normal"/>
    <w:rsid w:val="00F939B4"/>
    <w:pPr>
      <w:ind w:left="-1418"/>
    </w:pPr>
    <w:rPr>
      <w:sz w:val="2"/>
      <w:szCs w:val="2"/>
    </w:rPr>
  </w:style>
  <w:style w:type="character" w:styleId="PageNumber">
    <w:name w:val="page number"/>
    <w:basedOn w:val="DefaultParagraphFont"/>
    <w:rsid w:val="00F939B4"/>
  </w:style>
  <w:style w:type="paragraph" w:styleId="Quote">
    <w:name w:val="Quote"/>
    <w:basedOn w:val="Heading1"/>
    <w:link w:val="QuoteChar"/>
    <w:qFormat/>
    <w:rsid w:val="00F939B4"/>
    <w:rPr>
      <w:b w:val="0"/>
      <w:sz w:val="72"/>
      <w:szCs w:val="72"/>
      <w:lang w:val="en-NZ"/>
    </w:rPr>
  </w:style>
  <w:style w:type="character" w:customStyle="1" w:styleId="QuoteChar">
    <w:name w:val="Quote Char"/>
    <w:basedOn w:val="DefaultParagraphFont"/>
    <w:link w:val="Quote"/>
    <w:rsid w:val="00F939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39B4"/>
    <w:pPr>
      <w:pageBreakBefore/>
    </w:pPr>
  </w:style>
  <w:style w:type="paragraph" w:customStyle="1" w:styleId="Border">
    <w:name w:val="Border"/>
    <w:basedOn w:val="Normal"/>
    <w:qFormat/>
    <w:rsid w:val="00F939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39B4"/>
    <w:rPr>
      <w:b/>
      <w:bCs/>
      <w:i/>
      <w:iCs/>
      <w:color w:val="auto"/>
    </w:rPr>
  </w:style>
  <w:style w:type="paragraph" w:styleId="IntenseQuote">
    <w:name w:val="Intense Quote"/>
    <w:basedOn w:val="Normal"/>
    <w:next w:val="Normal"/>
    <w:link w:val="IntenseQuoteChar"/>
    <w:uiPriority w:val="30"/>
    <w:qFormat/>
    <w:rsid w:val="00F939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39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39B4"/>
    <w:rPr>
      <w:smallCaps/>
      <w:color w:val="auto"/>
      <w:u w:val="single"/>
    </w:rPr>
  </w:style>
  <w:style w:type="character" w:styleId="IntenseReference">
    <w:name w:val="Intense Reference"/>
    <w:basedOn w:val="DefaultParagraphFont"/>
    <w:uiPriority w:val="32"/>
    <w:qFormat/>
    <w:rsid w:val="00F939B4"/>
    <w:rPr>
      <w:b/>
      <w:bCs/>
      <w:smallCaps/>
      <w:color w:val="auto"/>
      <w:spacing w:val="5"/>
      <w:u w:val="single"/>
    </w:rPr>
  </w:style>
  <w:style w:type="paragraph" w:customStyle="1" w:styleId="2ColumnHeading">
    <w:name w:val="2Column Heading"/>
    <w:basedOn w:val="BodyText"/>
    <w:qFormat/>
    <w:rsid w:val="00F939B4"/>
    <w:pPr>
      <w:spacing w:after="60"/>
      <w:ind w:left="-2268"/>
    </w:pPr>
    <w:rPr>
      <w:b/>
    </w:rPr>
  </w:style>
  <w:style w:type="paragraph" w:customStyle="1" w:styleId="Heading1TOC">
    <w:name w:val="Heading1 TOC"/>
    <w:basedOn w:val="Normal"/>
    <w:qFormat/>
    <w:rsid w:val="00F939B4"/>
    <w:pPr>
      <w:spacing w:before="240" w:after="120"/>
    </w:pPr>
    <w:rPr>
      <w:rFonts w:ascii="Times New Roman" w:hAnsi="Times New Roman"/>
      <w:b/>
      <w:sz w:val="32"/>
    </w:rPr>
  </w:style>
  <w:style w:type="paragraph" w:customStyle="1" w:styleId="Heading2TOC">
    <w:name w:val="Heading2 TOC"/>
    <w:basedOn w:val="Normal"/>
    <w:qFormat/>
    <w:rsid w:val="00F939B4"/>
    <w:pPr>
      <w:spacing w:before="240" w:after="60"/>
    </w:pPr>
    <w:rPr>
      <w:rFonts w:ascii="Times New Roman" w:hAnsi="Times New Roman"/>
      <w:b/>
      <w:sz w:val="28"/>
    </w:rPr>
  </w:style>
  <w:style w:type="character" w:customStyle="1" w:styleId="Underline">
    <w:name w:val="Underline"/>
    <w:basedOn w:val="DefaultParagraphFont"/>
    <w:qFormat/>
    <w:rsid w:val="00F939B4"/>
    <w:rPr>
      <w:u w:val="single"/>
    </w:rPr>
  </w:style>
  <w:style w:type="character" w:customStyle="1" w:styleId="BoldandItalics">
    <w:name w:val="Bold and Italics"/>
    <w:qFormat/>
    <w:rsid w:val="00F939B4"/>
    <w:rPr>
      <w:b/>
      <w:i/>
      <w:u w:val="none"/>
    </w:rPr>
  </w:style>
  <w:style w:type="paragraph" w:styleId="BalloonText">
    <w:name w:val="Balloon Text"/>
    <w:basedOn w:val="Normal"/>
    <w:link w:val="BalloonTextChar"/>
    <w:rsid w:val="00F939B4"/>
    <w:rPr>
      <w:rFonts w:ascii="Tahoma" w:hAnsi="Tahoma" w:cs="Tahoma"/>
      <w:sz w:val="16"/>
      <w:szCs w:val="16"/>
    </w:rPr>
  </w:style>
  <w:style w:type="character" w:customStyle="1" w:styleId="BalloonTextChar">
    <w:name w:val="Balloon Text Char"/>
    <w:basedOn w:val="DefaultParagraphFont"/>
    <w:link w:val="BalloonText"/>
    <w:rsid w:val="00F939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39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39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39B4"/>
    <w:rPr>
      <w:b/>
      <w:color w:val="660033"/>
      <w:spacing w:val="0"/>
    </w:rPr>
  </w:style>
  <w:style w:type="paragraph" w:customStyle="1" w:styleId="Nameditemlist">
    <w:name w:val="Named item list"/>
    <w:basedOn w:val="BodyText"/>
    <w:qFormat/>
    <w:rsid w:val="00F939B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2006</Words>
  <Characters>12141</Characters>
  <Application>Microsoft Office Word</Application>
  <DocSecurity>0</DocSecurity>
  <Lines>506</Lines>
  <Paragraphs>218</Paragraphs>
  <ScaleCrop>false</ScaleCrop>
  <Company>Author-it Software Corporation Ltd.</Company>
  <LinksUpToDate>false</LinksUpToDate>
  <CharactersWithSpaces>13985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UEENEEI144A Develop interfaces for multiple access methods to monitor, schedule and control an electrical integrated system</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2013-03-07T16:52:00Z</dcterms:created>
  <dcterms:modified xsi:type="dcterms:W3CDTF">2013-03-07T16:52:00Z</dcterms:modified>
</cp:coreProperties>
</file>