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A32" w:rsidP="00E32A32">
      <w:pPr>
        <w:pStyle w:val="Title"/>
      </w:pPr>
      <w:bookmarkStart w:id="0" w:name="_GoBack"/>
      <w:bookmarkEnd w:id="0"/>
      <w:r>
        <w:fldChar w:fldCharType="begin"/>
      </w:r>
      <w:r>
        <w:instrText xml:space="preserve"> TITLE   \* MERGEFORMAT </w:instrText>
      </w:r>
      <w:r>
        <w:fldChar w:fldCharType="separate"/>
      </w:r>
      <w:r>
        <w:t>UEENEEI142A Develop an electrical integrated system interface for access through a touch screen</w:t>
      </w:r>
      <w:r>
        <w:fldChar w:fldCharType="end"/>
      </w:r>
    </w:p>
    <w:p w:rsidR="00E32A32" w:rsidP="00E32A32">
      <w:pPr>
        <w:pStyle w:val="Version"/>
        <w:sectPr w:rsidSect="00CC28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2888" w:rsidP="00CC2888">
      <w:pPr>
        <w:pStyle w:val="SuperHeading"/>
      </w:pPr>
      <w:r w:rsidRPr="00CC2888">
        <w:t>UEENEEI142A Develop an electrical integrated system interface for access through a touch screen</w:t>
      </w:r>
    </w:p>
    <w:p w:rsidR="00000000" w:rsidRPr="00CC2888" w:rsidP="00CC2888">
      <w:pPr>
        <w:pStyle w:val="Heading1"/>
      </w:pPr>
      <w:bookmarkStart w:id="1" w:name="O_534318"/>
      <w:bookmarkEnd w:id="1"/>
      <w:r w:rsidRPr="00CC288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32A3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Points</w:t>
            </w:r>
          </w:p>
        </w:tc>
      </w:tr>
      <w:tr w:rsidTr="00E32A3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p>
        </w:tc>
      </w:tr>
      <w:tr w:rsidTr="00E32A3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888">
            <w:pPr>
              <w:pStyle w:val="BodyText"/>
              <w:rPr>
                <w:lang w:val="en-NZ"/>
              </w:rPr>
            </w:pPr>
            <w:r w:rsidRPr="00CC2888">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888" w:rsidP="00CC2888">
            <w:pPr>
              <w:pStyle w:val="BodyText"/>
            </w:pP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2" w:name="O_534317"/>
      <w:bookmarkEnd w:id="2"/>
      <w:r w:rsidRPr="00CC2888">
        <w:t>Unit Descriptor</w:t>
      </w:r>
    </w:p>
    <w:tbl>
      <w:tblPr>
        <w:tblW w:w="0" w:type="auto"/>
        <w:tblLayout w:type="fixed"/>
        <w:tblCellMar>
          <w:left w:w="62" w:type="dxa"/>
          <w:right w:w="62" w:type="dxa"/>
        </w:tblCellMar>
        <w:tblLook w:val="0000"/>
      </w:tblPr>
      <w:tblGrid>
        <w:gridCol w:w="2700"/>
        <w:gridCol w:w="5760"/>
      </w:tblGrid>
      <w:tr w:rsidTr="00E32A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1)</w:t>
            </w:r>
            <w:r w:rsidRPr="00CC2888">
              <w:t xml:space="preserve"> </w:t>
            </w:r>
            <w:r w:rsidRPr="00CC2888">
              <w:rPr>
                <w:rStyle w:val="SpecialBold"/>
              </w:rPr>
              <w:t>Scope:</w:t>
            </w:r>
          </w:p>
        </w:tc>
      </w:tr>
      <w:tr w:rsidTr="00E32A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288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1.1) Descriptor</w:t>
            </w:r>
          </w:p>
        </w:tc>
      </w:tr>
      <w:tr w:rsidTr="00E32A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This unit covers the development of integrated systems touch screen interface. It encompasses working safely, applying knowledge of the application integrated system, working with customers to determine required control parameters, application of touch scr</w:t>
            </w:r>
            <w:r w:rsidRPr="00CC2888">
              <w:t>een software components and embellishments, network connectivity, using diagnostic tools and documenting the developed systems.</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3" w:name="O_534316"/>
      <w:bookmarkEnd w:id="3"/>
      <w:r w:rsidRPr="00CC2888">
        <w:t>Application of the Unit</w:t>
      </w:r>
    </w:p>
    <w:tbl>
      <w:tblPr>
        <w:tblW w:w="0" w:type="auto"/>
        <w:tblLayout w:type="fixed"/>
        <w:tblCellMar>
          <w:left w:w="62" w:type="dxa"/>
          <w:right w:w="62" w:type="dxa"/>
        </w:tblCellMar>
        <w:tblLook w:val="0000"/>
      </w:tblPr>
      <w:tblGrid>
        <w:gridCol w:w="2672"/>
        <w:gridCol w:w="5699"/>
      </w:tblGrid>
      <w:tr w:rsidTr="00E32A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2)</w:t>
            </w:r>
          </w:p>
        </w:tc>
      </w:tr>
      <w:tr w:rsidTr="00E32A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This unit is intended as an elective or skill set at AQF 4 level. It is suitable for employment-based programs under an approved contract of training and may be aligned with a vendor training program that is shown to have the same competency outcomes as th</w:t>
            </w:r>
            <w:r w:rsidRPr="00CC2888">
              <w:t>is unit.</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4" w:name="O_534315"/>
      <w:bookmarkEnd w:id="4"/>
      <w:r w:rsidRPr="00CC2888">
        <w:t>Licensing/Regulatory Information</w:t>
      </w:r>
    </w:p>
    <w:tbl>
      <w:tblPr>
        <w:tblW w:w="0" w:type="auto"/>
        <w:tblLayout w:type="fixed"/>
        <w:tblCellMar>
          <w:left w:w="62" w:type="dxa"/>
          <w:right w:w="62" w:type="dxa"/>
        </w:tblCellMar>
        <w:tblLook w:val="0000"/>
      </w:tblPr>
      <w:tblGrid>
        <w:gridCol w:w="2700"/>
        <w:gridCol w:w="5760"/>
      </w:tblGrid>
      <w:tr w:rsidTr="00E32A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 xml:space="preserve">3) </w:t>
            </w:r>
          </w:p>
        </w:tc>
      </w:tr>
      <w:tr w:rsidTr="00E32A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The skills and knowledge described in this unit do not require a licence to practice in the workplace. However the skills and knowledge as they apply to working directly</w:t>
            </w:r>
            <w:r w:rsidRPr="00CC2888">
              <w:t xml:space="preserve"> on the associated electrical power wiring and equipment require a licence to practise in the workplace where the operating voltage is above 50 V a.c. or 120 V d.c. subject to regulations to carry out electrical work. Practice in the workplace and during t</w:t>
            </w:r>
            <w:r w:rsidRPr="00CC2888">
              <w:t>raining is subject to occupational health and safety regulations and codes and obligation of ‘contracts of training’ such as apprenticeships.</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5" w:name="O_534314"/>
      <w:bookmarkEnd w:id="5"/>
      <w:r w:rsidRPr="00CC2888">
        <w:t>Pre-Requisites</w:t>
      </w:r>
    </w:p>
    <w:tbl>
      <w:tblPr>
        <w:tblW w:w="0" w:type="auto"/>
        <w:tblLayout w:type="fixed"/>
        <w:tblCellMar>
          <w:left w:w="62" w:type="dxa"/>
          <w:right w:w="62" w:type="dxa"/>
        </w:tblCellMar>
        <w:tblLook w:val="0000"/>
      </w:tblPr>
      <w:tblGrid>
        <w:gridCol w:w="2638"/>
        <w:gridCol w:w="1800"/>
        <w:gridCol w:w="3960"/>
      </w:tblGrid>
      <w:tr w:rsidTr="00CC288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 xml:space="preserve">4) </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4.1)</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Granting of competency in this unit shall be made only after competency in the following unit(s) has/have been confirmed.</w:t>
            </w:r>
          </w:p>
          <w:p w:rsidR="00000000" w:rsidRPr="00CC2888" w:rsidP="00CC2888">
            <w:pPr>
              <w:pStyle w:val="BodyText"/>
            </w:pPr>
            <w:r w:rsidRPr="00CC2888">
              <w:t xml:space="preserve">Where pre-requisite pathways have been identified. All competencies in the Common Unit Group must be have been completed plus all the </w:t>
            </w:r>
            <w:r w:rsidRPr="00CC2888">
              <w:t>competencies in one (1) of the identified Pathway Unit Group(s):</w:t>
            </w:r>
          </w:p>
          <w:p w:rsidR="00000000" w:rsidRPr="00CC2888" w:rsidP="00CC2888">
            <w:pPr>
              <w:pStyle w:val="BodyText"/>
            </w:pPr>
            <w:r w:rsidRPr="00CC2888">
              <w:t xml:space="preserve">Electrotechnology </w:t>
            </w:r>
          </w:p>
          <w:p w:rsidR="00000000" w:rsidP="00CC2888">
            <w:pPr>
              <w:pStyle w:val="BodyText"/>
              <w:rPr>
                <w:lang w:val="en-NZ"/>
              </w:rPr>
            </w:pPr>
            <w:r w:rsidRPr="00CC2888">
              <w:t>Electrical</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Common Unit Group</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Unit Code</w:t>
            </w:r>
          </w:p>
        </w:tc>
        <w:tc>
          <w:tcPr>
            <w:tcW w:w="39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Unit Title</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UEENEED101A</w:t>
            </w:r>
          </w:p>
        </w:tc>
        <w:tc>
          <w:tcPr>
            <w:tcW w:w="39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Use computer applications relevant to a workplace</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Apply Occupational Health and Safety regulations, codes and practices in the workplace</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Fabricate, assemble and dismantle utilities industry components</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Fix and secure electrotechnology equipment</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Use drawings, diagrams, schedules, standards, codes and specifications</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UEENEEI141A</w:t>
            </w:r>
          </w:p>
        </w:tc>
        <w:tc>
          <w:tcPr>
            <w:tcW w:w="3960" w:type="dxa"/>
            <w:tcBorders>
              <w:top w:val="nil"/>
              <w:left w:val="nil"/>
              <w:bottom w:val="nil"/>
              <w:right w:val="nil"/>
            </w:tcBorders>
            <w:tcMar>
              <w:top w:w="0" w:type="dxa"/>
              <w:left w:w="62" w:type="dxa"/>
              <w:bottom w:w="0" w:type="dxa"/>
              <w:right w:w="62" w:type="dxa"/>
            </w:tcMar>
            <w:vAlign w:val="bottom"/>
          </w:tcPr>
          <w:p w:rsidR="00000000" w:rsidP="00CC2888">
            <w:pPr>
              <w:pStyle w:val="BodyText"/>
              <w:rPr>
                <w:lang w:val="en-NZ"/>
              </w:rPr>
            </w:pPr>
            <w:r w:rsidRPr="00CC2888">
              <w:t>Develop electrical integrated systems</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 xml:space="preserve">Electrotechnology Pathway Group </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Unit Code</w:t>
            </w:r>
          </w:p>
        </w:tc>
        <w:tc>
          <w:tcPr>
            <w:tcW w:w="39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Unit Title</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UEENEEE108A</w:t>
            </w:r>
          </w:p>
        </w:tc>
        <w:tc>
          <w:tcPr>
            <w:tcW w:w="39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Lay wiring/cabling and terminate accessories for ELV circuits</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Electrical Pathway Group</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Unit Code</w:t>
            </w:r>
          </w:p>
        </w:tc>
        <w:tc>
          <w:tcPr>
            <w:tcW w:w="39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Unit Title</w:t>
            </w:r>
          </w:p>
        </w:tc>
      </w:tr>
      <w:tr w:rsidTr="00CC288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UEENEEG106A</w:t>
            </w:r>
          </w:p>
        </w:tc>
        <w:tc>
          <w:tcPr>
            <w:tcW w:w="39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Terminate cables, cords and accessories for low voltage circuits</w:t>
            </w:r>
          </w:p>
        </w:tc>
      </w:tr>
    </w:tbl>
    <w:p w:rsidR="00000000" w:rsidRPr="00CC2888" w:rsidP="00CC288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32A3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 xml:space="preserve">4.2) </w:t>
            </w:r>
          </w:p>
        </w:tc>
      </w:tr>
      <w:tr w:rsidTr="00E32A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Participants are best equipped to achieve competency in this unit if they have reading, writing and numeracy skills indicated by the following scales. Description of each scale is given in Volume 2, Part 3 ‘Literacy and Numeracy’</w:t>
            </w:r>
          </w:p>
        </w:tc>
      </w:tr>
      <w:tr w:rsidTr="00E32A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Reading</w:t>
            </w:r>
          </w:p>
        </w:tc>
        <w:tc>
          <w:tcPr>
            <w:tcW w:w="81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3</w:t>
            </w:r>
          </w:p>
        </w:tc>
        <w:tc>
          <w:tcPr>
            <w:tcW w:w="99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Writing</w:t>
            </w:r>
          </w:p>
        </w:tc>
        <w:tc>
          <w:tcPr>
            <w:tcW w:w="9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3</w:t>
            </w:r>
          </w:p>
        </w:tc>
        <w:tc>
          <w:tcPr>
            <w:tcW w:w="12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Numeracy</w:t>
            </w:r>
          </w:p>
        </w:tc>
        <w:tc>
          <w:tcPr>
            <w:tcW w:w="72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3</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6" w:name="O_534313"/>
      <w:bookmarkEnd w:id="6"/>
      <w:r w:rsidRPr="00CC2888">
        <w:t>Employability Skills Information</w:t>
      </w:r>
    </w:p>
    <w:tbl>
      <w:tblPr>
        <w:tblW w:w="0" w:type="auto"/>
        <w:tblLayout w:type="fixed"/>
        <w:tblCellMar>
          <w:left w:w="62" w:type="dxa"/>
          <w:right w:w="62" w:type="dxa"/>
        </w:tblCellMar>
        <w:tblLook w:val="0000"/>
      </w:tblPr>
      <w:tblGrid>
        <w:gridCol w:w="2700"/>
        <w:gridCol w:w="5760"/>
      </w:tblGrid>
      <w:tr w:rsidTr="00E32A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 xml:space="preserve">5) </w:t>
            </w:r>
          </w:p>
        </w:tc>
      </w:tr>
      <w:tr w:rsidTr="00E32A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This unit contains Employability Skills</w:t>
            </w:r>
          </w:p>
          <w:p w:rsidR="00000000" w:rsidRPr="00CC2888" w:rsidP="00CC2888">
            <w:pPr>
              <w:pStyle w:val="BodyText"/>
            </w:pPr>
            <w:r w:rsidRPr="00CC288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C2888">
              <w:t>requirements.</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7" w:name="O_534312"/>
      <w:bookmarkEnd w:id="7"/>
      <w:r w:rsidRPr="00CC2888">
        <w:t>Elements and Performance Criteria Pre-Content</w:t>
      </w:r>
    </w:p>
    <w:tbl>
      <w:tblPr>
        <w:tblW w:w="0" w:type="auto"/>
        <w:tblLayout w:type="fixed"/>
        <w:tblCellMar>
          <w:left w:w="62" w:type="dxa"/>
          <w:right w:w="62" w:type="dxa"/>
        </w:tblCellMar>
        <w:tblLook w:val="0000"/>
      </w:tblPr>
      <w:tblGrid>
        <w:gridCol w:w="2700"/>
        <w:gridCol w:w="5760"/>
      </w:tblGrid>
      <w:tr w:rsidTr="00E32A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6)</w:t>
            </w:r>
            <w:r w:rsidRPr="00CC288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Performance Criteria describe the required performance needed to demonstrate achievement of the element</w:t>
            </w:r>
            <w:r w:rsidRPr="00CC2888">
              <w:t>. Assessment of performance is to be consistent with the Evidence Guide.</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8" w:name="O_534311"/>
      <w:bookmarkEnd w:id="8"/>
      <w:r w:rsidRPr="00CC2888">
        <w:t>Elements and Performance Criteria</w:t>
      </w:r>
    </w:p>
    <w:tbl>
      <w:tblPr>
        <w:tblW w:w="0" w:type="auto"/>
        <w:tblLayout w:type="fixed"/>
        <w:tblCellMar>
          <w:left w:w="62" w:type="dxa"/>
          <w:right w:w="62" w:type="dxa"/>
        </w:tblCellMar>
        <w:tblLook w:val="0000"/>
      </w:tblPr>
      <w:tblGrid>
        <w:gridCol w:w="422"/>
        <w:gridCol w:w="2108"/>
        <w:gridCol w:w="170"/>
        <w:gridCol w:w="674"/>
        <w:gridCol w:w="4552"/>
        <w:gridCol w:w="534"/>
      </w:tblGrid>
      <w:tr w:rsidTr="00E32A32">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PERFORMANCE CRITERIA</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1</w:t>
            </w:r>
          </w:p>
        </w:tc>
        <w:tc>
          <w:tcPr>
            <w:tcW w:w="2108" w:type="dxa"/>
            <w:vMerge w:val="restart"/>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Prepare to develop and integrated system touch screen interface</w:t>
            </w: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1.1</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The areas and control to be accessed through the touch screen are determined from the integrated systems data base and customer requirements.</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1.2</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Control parameters to be access</w:t>
            </w:r>
            <w:r w:rsidRPr="00CC2888">
              <w:t>ed through the touch screen are determined from the integrated systems data base and confirmed with the customer.</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1.3</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Touch screen embellishments to be applied are discussed and confirmed with the customer.</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1.4</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Touch screen programming and integrated system programming software and project data are down loaded to a compatible PC.</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1.5</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Programming tools are and checked for correct operation.</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1.6</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Manufacturer’s instruction for installing and connecting touch</w:t>
            </w:r>
            <w:r w:rsidRPr="00CC2888">
              <w:t xml:space="preserve"> screens are read and understood </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2</w:t>
            </w:r>
          </w:p>
        </w:tc>
        <w:tc>
          <w:tcPr>
            <w:tcW w:w="2108" w:type="dxa"/>
            <w:vMerge w:val="restart"/>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Develop and integrated system touch screen interface</w:t>
            </w: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2.1</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OHS risk control work measures and procedures are followed.</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2.2</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Installation and connection for the touch screen are checked for compliance with manufacture’</w:t>
            </w:r>
            <w:r w:rsidRPr="00CC2888">
              <w:t>s requirements.</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2.3</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Knowledge of integrated system and touch screen programming methods are used in developing a touch screen interface.</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2.4</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Touch screen interface functions and embellishments are developed for compatibly with the integrated system and to customer requirements</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2.5</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 xml:space="preserve">Network connectivity is implemented, where required, and web page content made available. </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3</w:t>
            </w:r>
          </w:p>
        </w:tc>
        <w:tc>
          <w:tcPr>
            <w:tcW w:w="2108"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Back up, transfer</w:t>
            </w:r>
            <w:r w:rsidRPr="00CC2888">
              <w:t xml:space="preserve"> and test touch screen interface</w:t>
            </w: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3.1</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OHS work completion risk control measures and procedures are followed.</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3.2</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 xml:space="preserve">Touch screen interface program is backed up and transfer to the touch screen following manufacturer’s instructions. </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3.3</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Touch screen tests are conducted to verify compatibility and compliance with the integrated system and customer requirements.</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3.4</w:t>
            </w:r>
          </w:p>
        </w:tc>
        <w:tc>
          <w:tcPr>
            <w:tcW w:w="4552"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Non-compliance operations and anomalies are corrected to comply with manufacturer’s and customer requirements.</w:t>
            </w:r>
          </w:p>
        </w:tc>
      </w:tr>
      <w:tr w:rsidTr="00E32A32">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3.5</w:t>
            </w:r>
          </w:p>
        </w:tc>
        <w:tc>
          <w:tcPr>
            <w:tcW w:w="4552"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A copy of the documentation of the as-programmed touch screen specifications is given the client or client’s representative.</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9" w:name="O_534310"/>
      <w:bookmarkEnd w:id="9"/>
      <w:r w:rsidRPr="00CC2888">
        <w:t>Required Skills and Knowledge</w:t>
      </w:r>
    </w:p>
    <w:tbl>
      <w:tblPr>
        <w:tblW w:w="0" w:type="auto"/>
        <w:tblLayout w:type="fixed"/>
        <w:tblCellMar>
          <w:left w:w="62" w:type="dxa"/>
          <w:right w:w="62" w:type="dxa"/>
        </w:tblCellMar>
        <w:tblLook w:val="0000"/>
      </w:tblPr>
      <w:tblGrid>
        <w:gridCol w:w="8460"/>
      </w:tblGrid>
      <w:tr w:rsidTr="00E32A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REQUIRED SKILLS AND KNOWLEDGE</w:t>
            </w:r>
          </w:p>
        </w:tc>
      </w:tr>
      <w:tr w:rsidTr="00E32A3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8)</w:t>
            </w:r>
            <w:r w:rsidRPr="00CC2888">
              <w:t xml:space="preserve"> This describes the required skills and knowledge and their level, required for this unit.</w:t>
            </w:r>
          </w:p>
          <w:p w:rsidR="00000000" w:rsidRPr="00CC2888" w:rsidP="00CC2888">
            <w:pPr>
              <w:pStyle w:val="BodyText"/>
            </w:pPr>
            <w:r w:rsidRPr="00CC2888">
              <w:t xml:space="preserve">Evidence shall show that knowledge and associated skills for developing an integrated system interface for access through a touch screen have been acquired. </w:t>
            </w:r>
          </w:p>
          <w:p w:rsidR="00000000" w:rsidRPr="00CC2888" w:rsidP="00CC2888">
            <w:pPr>
              <w:pStyle w:val="BodyText"/>
            </w:pPr>
            <w:r w:rsidRPr="00CC2888">
              <w:t>All knowledge and skills detailed in this unit should be contextualised to current industry practices and technologies.</w:t>
            </w:r>
          </w:p>
          <w:p w:rsidR="00000000" w:rsidRPr="00CC2888" w:rsidP="00CC2888">
            <w:pPr>
              <w:pStyle w:val="BodyText"/>
            </w:pPr>
            <w:r w:rsidRPr="00CC2888">
              <w:rPr>
                <w:rStyle w:val="SpecialBold"/>
              </w:rPr>
              <w:t>KS01-EI142A</w:t>
            </w:r>
            <w:r w:rsidRPr="00CC2888">
              <w:rPr>
                <w:rStyle w:val="SpecialBold"/>
              </w:rPr>
              <w:tab/>
              <w:t xml:space="preserve">      Touch screen installation requirements and programming in integrated systems</w:t>
            </w:r>
          </w:p>
          <w:p w:rsidR="00000000" w:rsidRPr="00CC2888" w:rsidP="00CC2888">
            <w:pPr>
              <w:pStyle w:val="BodyText"/>
            </w:pPr>
            <w:r w:rsidRPr="00CC2888">
              <w:t>Evidence shall show an understanding of t</w:t>
            </w:r>
            <w:r w:rsidRPr="00CC2888">
              <w:t>he installation requirements and programming of touch screens in integrated systems to an extent indicated by the following aspects:</w:t>
            </w:r>
          </w:p>
          <w:p w:rsidR="00000000" w:rsidRPr="00CC2888" w:rsidP="00CC2888">
            <w:pPr>
              <w:pStyle w:val="BodyText"/>
            </w:pPr>
            <w:r w:rsidRPr="00CC2888">
              <w:t>T1</w:t>
            </w:r>
            <w:r w:rsidRPr="00CC2888">
              <w:tab/>
              <w:t>Integrated system touch screen types, features and parameters.</w:t>
            </w:r>
          </w:p>
          <w:p w:rsidR="00000000" w:rsidRPr="00CC2888" w:rsidP="00CC2888">
            <w:pPr>
              <w:pStyle w:val="BodyText"/>
            </w:pPr>
            <w:r w:rsidRPr="00CC2888">
              <w:t>T2</w:t>
            </w:r>
            <w:r w:rsidRPr="00CC2888">
              <w:tab/>
              <w:t>Touch screen mounting methods and manufacturer’s instr</w:t>
            </w:r>
            <w:r w:rsidRPr="00CC2888">
              <w:t>uctions</w:t>
            </w:r>
          </w:p>
          <w:p w:rsidR="00000000" w:rsidRPr="00CC2888" w:rsidP="00CC2888">
            <w:pPr>
              <w:pStyle w:val="BodyText"/>
            </w:pPr>
            <w:r w:rsidRPr="00CC2888">
              <w:t>T3</w:t>
            </w:r>
            <w:r w:rsidRPr="00CC2888">
              <w:tab/>
              <w:t xml:space="preserve">Touch screen wiring and connection arrangements encompassing:  </w:t>
            </w:r>
          </w:p>
          <w:p w:rsidR="00000000" w:rsidRPr="00CC2888" w:rsidP="00CC2888">
            <w:pPr>
              <w:pStyle w:val="ListBullet"/>
            </w:pPr>
            <w:r w:rsidRPr="00CC2888">
              <w:t>Power supply</w:t>
            </w:r>
          </w:p>
          <w:p w:rsidR="00000000" w:rsidRPr="00CC2888" w:rsidP="00CC2888">
            <w:pPr>
              <w:pStyle w:val="ListBullet"/>
            </w:pPr>
            <w:r w:rsidRPr="00CC2888">
              <w:t>Integrated network</w:t>
            </w:r>
          </w:p>
          <w:p w:rsidR="00000000" w:rsidRPr="00CC2888" w:rsidP="00CC2888">
            <w:pPr>
              <w:pStyle w:val="ListBullet"/>
            </w:pPr>
            <w:r w:rsidRPr="00CC2888">
              <w:t>Audio</w:t>
            </w:r>
          </w:p>
          <w:p w:rsidR="00000000" w:rsidRPr="00CC2888" w:rsidP="00CC2888">
            <w:pPr>
              <w:pStyle w:val="ListBullet"/>
            </w:pPr>
            <w:r w:rsidRPr="00CC2888">
              <w:t>Video</w:t>
            </w:r>
          </w:p>
          <w:p w:rsidR="00000000" w:rsidRPr="00CC2888" w:rsidP="00CC2888">
            <w:pPr>
              <w:pStyle w:val="ListBullet"/>
            </w:pPr>
            <w:r w:rsidRPr="00CC2888">
              <w:t>IR control</w:t>
            </w:r>
          </w:p>
          <w:p w:rsidR="00000000" w:rsidRPr="00CC2888" w:rsidP="00CC2888">
            <w:pPr>
              <w:pStyle w:val="ListBullet"/>
            </w:pPr>
            <w:r w:rsidRPr="00CC2888">
              <w:t>Programming</w:t>
            </w:r>
          </w:p>
          <w:p w:rsidR="00000000" w:rsidRPr="00CC2888" w:rsidP="00CC2888">
            <w:pPr>
              <w:pStyle w:val="ListBullet"/>
            </w:pPr>
            <w:r w:rsidRPr="00CC2888">
              <w:t>Network</w:t>
            </w:r>
          </w:p>
          <w:p w:rsidR="00000000" w:rsidRPr="00CC2888" w:rsidP="00CC2888">
            <w:pPr>
              <w:pStyle w:val="BodyText"/>
            </w:pPr>
            <w:r w:rsidRPr="00CC2888">
              <w:t>T4</w:t>
            </w:r>
            <w:r w:rsidRPr="00CC2888">
              <w:tab/>
              <w:t>Electrical protection requirements</w:t>
            </w:r>
          </w:p>
          <w:p w:rsidR="00000000" w:rsidRPr="00CC2888" w:rsidP="00CC2888">
            <w:pPr>
              <w:pStyle w:val="BodyText"/>
            </w:pPr>
            <w:r w:rsidRPr="00CC2888">
              <w:t>T5</w:t>
            </w:r>
            <w:r w:rsidRPr="00CC2888">
              <w:tab/>
              <w:t>Programming requirements and process</w:t>
            </w:r>
          </w:p>
          <w:p w:rsidR="00000000" w:rsidRPr="00CC2888" w:rsidP="00CC2888">
            <w:pPr>
              <w:pStyle w:val="BodyText"/>
            </w:pPr>
            <w:r w:rsidRPr="00CC2888">
              <w:t>T6</w:t>
            </w:r>
            <w:r w:rsidRPr="00CC2888">
              <w:tab/>
              <w:t>Programming software spe</w:t>
            </w:r>
            <w:r w:rsidRPr="00CC2888">
              <w:t>cifications and tools</w:t>
            </w:r>
          </w:p>
          <w:p w:rsidR="00000000" w:rsidRPr="00CC2888" w:rsidP="00CC2888">
            <w:pPr>
              <w:pStyle w:val="BodyText"/>
            </w:pPr>
            <w:r w:rsidRPr="00CC2888">
              <w:t>T7</w:t>
            </w:r>
            <w:r w:rsidRPr="00CC2888">
              <w:tab/>
              <w:t>HMI programming techniques with proprietary software encompassing</w:t>
            </w:r>
          </w:p>
          <w:p w:rsidR="00000000" w:rsidRPr="00CC2888" w:rsidP="00CC2888">
            <w:pPr>
              <w:pStyle w:val="ListBullet"/>
            </w:pPr>
            <w:r w:rsidRPr="00CC2888">
              <w:t xml:space="preserve">Component types </w:t>
            </w:r>
          </w:p>
          <w:p w:rsidR="00000000" w:rsidRPr="00CC2888" w:rsidP="00CC2888">
            <w:pPr>
              <w:pStyle w:val="ListBullet"/>
            </w:pPr>
            <w:r w:rsidRPr="00CC2888">
              <w:t>Component properties</w:t>
            </w:r>
          </w:p>
          <w:p w:rsidR="00000000" w:rsidRPr="00CC2888" w:rsidP="00CC2888">
            <w:pPr>
              <w:pStyle w:val="ListBullet"/>
            </w:pPr>
            <w:r w:rsidRPr="00CC2888">
              <w:t>Arranging visible properties and creating screen embellishment</w:t>
            </w:r>
          </w:p>
          <w:p w:rsidR="00000000" w:rsidRPr="00CC2888" w:rsidP="00CC2888">
            <w:pPr>
              <w:pStyle w:val="ListBullet"/>
            </w:pPr>
            <w:r w:rsidRPr="00CC2888">
              <w:t>Setting integrated system properties of components (components can be text, images, shapes, buttons, sliders, level indicators, clocks, monitors, HTML, web cam images and the like).</w:t>
            </w:r>
          </w:p>
          <w:p w:rsidR="00000000" w:rsidRPr="00CC2888" w:rsidP="00CC2888">
            <w:pPr>
              <w:pStyle w:val="BodyText"/>
            </w:pPr>
            <w:r w:rsidRPr="00CC2888">
              <w:t>T8</w:t>
            </w:r>
            <w:r w:rsidRPr="00CC2888">
              <w:tab/>
              <w:t>Methods for transferring and project data and backing up.</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10" w:name="O_534309"/>
      <w:bookmarkEnd w:id="10"/>
      <w:r w:rsidRPr="00CC2888">
        <w:t>Evidence Guide</w:t>
      </w:r>
    </w:p>
    <w:tbl>
      <w:tblPr>
        <w:tblW w:w="0" w:type="auto"/>
        <w:tblLayout w:type="fixed"/>
        <w:tblCellMar>
          <w:left w:w="62" w:type="dxa"/>
          <w:right w:w="62" w:type="dxa"/>
        </w:tblCellMar>
        <w:tblLook w:val="0000"/>
      </w:tblPr>
      <w:tblGrid>
        <w:gridCol w:w="8460"/>
      </w:tblGrid>
      <w:tr w:rsidTr="00E32A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EVIDENCE GUIDE</w:t>
            </w:r>
          </w:p>
        </w:tc>
      </w:tr>
      <w:tr w:rsidTr="00E32A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9)</w:t>
            </w:r>
            <w:r w:rsidRPr="00CC2888">
              <w:t xml:space="preserve"> The evidence guide provides advice on assessment and must be read in conjunction with the Performance </w:t>
            </w:r>
            <w:r w:rsidRPr="00CC2888">
              <w:t>Criteria, Required Skills and Knowledge, the Range Statement and the Assessment Guidelines for this Training Package.</w:t>
            </w:r>
          </w:p>
          <w:p w:rsidR="00000000" w:rsidRPr="00CC2888" w:rsidP="00CC2888">
            <w:pPr>
              <w:pStyle w:val="BodyText"/>
            </w:pPr>
            <w:r w:rsidRPr="00CC2888">
              <w:t>The Evidence Guide forms an integral part of this unit. It must be used in conjunction with all parts of the unit and performed in accorda</w:t>
            </w:r>
            <w:r w:rsidRPr="00CC2888">
              <w:t>nce with the Assessment Guidelines of this Training Package.</w:t>
            </w:r>
          </w:p>
        </w:tc>
      </w:tr>
    </w:tbl>
    <w:p w:rsidR="00000000" w:rsidRPr="00CC2888" w:rsidP="00CC2888">
      <w:pPr>
        <w:pStyle w:val="BodyText"/>
      </w:pPr>
    </w:p>
    <w:tbl>
      <w:tblPr>
        <w:tblW w:w="0" w:type="auto"/>
        <w:tblLayout w:type="fixed"/>
        <w:tblCellMar>
          <w:left w:w="62" w:type="dxa"/>
          <w:right w:w="62" w:type="dxa"/>
        </w:tblCellMar>
        <w:tblLook w:val="0000"/>
      </w:tblPr>
      <w:tblGrid>
        <w:gridCol w:w="1890"/>
        <w:gridCol w:w="6570"/>
      </w:tblGrid>
      <w:tr w:rsidTr="00E32A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9.1)</w:t>
            </w:r>
          </w:p>
        </w:tc>
      </w:tr>
      <w:tr w:rsidTr="00E32A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Longitudinal competency development approaches to assessment, such as Profiling, require data to be reliably gathered in a form that can be consistently interprete</w:t>
            </w:r>
            <w:r w:rsidRPr="00CC2888">
              <w:t>d over time. This approach is best utilised in Apprenticeship programs and reduces assessment intervention. It is the industry-preferred model for apprenticeships. However, where summative (or final) assessment is used it is to include the application of t</w:t>
            </w:r>
            <w:r w:rsidRPr="00CC2888">
              <w:t>he competency in the normal work environment or, at a minimum, the application of the competency in a realistically simulated work environment. It is recognised that, in some circumstances, assessment in part or full can occur outside the workplace. Howeve</w:t>
            </w:r>
            <w:r w:rsidRPr="00CC2888">
              <w:t>r, it must be in accordance with industry and regulatory policy.</w:t>
            </w:r>
          </w:p>
          <w:p w:rsidR="00000000" w:rsidRPr="00CC2888" w:rsidP="00CC2888">
            <w:pPr>
              <w:pStyle w:val="BodyText"/>
            </w:pPr>
            <w:r w:rsidRPr="00CC2888">
              <w:t>Methods chosen for a particular assessment will be influenced by various factors. These include the extent of the assessment, the most effective locations for the assessment activities to tak</w:t>
            </w:r>
            <w:r w:rsidRPr="00CC2888">
              <w:t>e place, access to physical resources, additional safety measures that may be required and the critical nature of the competencies being assessed.</w:t>
            </w:r>
          </w:p>
          <w:p w:rsidR="00000000" w:rsidRPr="00CC2888" w:rsidP="00CC2888">
            <w:pPr>
              <w:pStyle w:val="BodyText"/>
            </w:pPr>
            <w:r w:rsidRPr="00CC2888">
              <w:t>The critical safety nature of working with electricity, electrical equipment, gas or any other hazardous subs</w:t>
            </w:r>
            <w:r w:rsidRPr="00CC2888">
              <w:t>tance/material carries risk in deeming a person competent. Sources of evidence need to be ‘rich’ in nature to minimise error in judgment.</w:t>
            </w:r>
          </w:p>
          <w:p w:rsidR="00000000" w:rsidRPr="00CC2888" w:rsidP="00CC2888">
            <w:pPr>
              <w:pStyle w:val="BodyText"/>
            </w:pPr>
            <w:r w:rsidRPr="00CC2888">
              <w:t>Activities associated with normal everyday work have a bearing on the decision as to how much and how detailed the data gathered will contribute to its ‘richness’. Some skills are more critical to safety and operational requirements while the same skills m</w:t>
            </w:r>
            <w:r w:rsidRPr="00CC2888">
              <w:t>ay be more or less frequently practised. These points are raised for the assessors to consider when choosing an assessment method and developing assessment instruments. Sample assessment instruments are included for Assessors in the Assessment Guidelines o</w:t>
            </w:r>
            <w:r w:rsidRPr="00CC2888">
              <w:t>f this Training Package.</w:t>
            </w:r>
          </w:p>
        </w:tc>
      </w:tr>
    </w:tbl>
    <w:p w:rsidR="00000000" w:rsidRPr="00CC2888" w:rsidP="00CC2888">
      <w:pPr>
        <w:pStyle w:val="BodyText"/>
      </w:pPr>
    </w:p>
    <w:tbl>
      <w:tblPr>
        <w:tblW w:w="0" w:type="auto"/>
        <w:tblLayout w:type="fixed"/>
        <w:tblCellMar>
          <w:left w:w="62" w:type="dxa"/>
          <w:right w:w="62" w:type="dxa"/>
        </w:tblCellMar>
        <w:tblLook w:val="0000"/>
      </w:tblPr>
      <w:tblGrid>
        <w:gridCol w:w="1860"/>
        <w:gridCol w:w="30"/>
        <w:gridCol w:w="1170"/>
        <w:gridCol w:w="5400"/>
      </w:tblGrid>
      <w:tr w:rsidTr="00E32A32">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9.2)</w:t>
            </w:r>
          </w:p>
        </w:tc>
      </w:tr>
      <w:tr w:rsidTr="00E32A32">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Before the critical aspects of evidence are considered all prerequisites must be met.</w:t>
            </w:r>
          </w:p>
          <w:p w:rsidR="00000000" w:rsidRPr="00CC2888" w:rsidP="00CC2888">
            <w:pPr>
              <w:pStyle w:val="BodyText"/>
            </w:pPr>
            <w:r w:rsidRPr="00CC2888">
              <w:t>Evidence for competence in this unit shall be considered h</w:t>
            </w:r>
            <w:r w:rsidRPr="00CC2888">
              <w:t>olistically.  Each element and associated performance criteria shall be demonstrated on at least two occasions in accordance with the ‘Assessment Guidelines – UEE11’.  Evidence shall also comprise:</w:t>
            </w:r>
          </w:p>
          <w:p w:rsidR="00000000" w:rsidRPr="00CC2888" w:rsidP="00CC2888">
            <w:pPr>
              <w:pStyle w:val="ListBullet"/>
            </w:pPr>
            <w:r w:rsidRPr="00CC2888">
              <w:t>A representative body of performance criteria demonstrate</w:t>
            </w:r>
            <w:r w:rsidRPr="00CC2888">
              <w:t>d within the timeframes typically expected of the discipline, work function and industrial environment. In particular this shall incorporate evidence that shows a candidate is able to:</w:t>
            </w:r>
          </w:p>
          <w:p w:rsidR="00000000" w:rsidRPr="00CC2888" w:rsidP="00CC2888">
            <w:pPr>
              <w:pStyle w:val="ListBullet2"/>
            </w:pPr>
            <w:r w:rsidRPr="00CC2888">
              <w:t>Implement Occupational Health and Safety workplace procedures and practices, including the use of risk control measures as specified in the performance criteria and range statement</w:t>
            </w:r>
          </w:p>
          <w:p w:rsidR="00000000" w:rsidRPr="00CC2888" w:rsidP="00CC2888">
            <w:pPr>
              <w:pStyle w:val="ListBullet2"/>
            </w:pPr>
            <w:r w:rsidRPr="00CC2888">
              <w:t>Apply sustainable energy principles and practices as specified in the perfo</w:t>
            </w:r>
            <w:r w:rsidRPr="00CC2888">
              <w:t>rmance criteria and range statement</w:t>
            </w:r>
          </w:p>
          <w:p w:rsidR="00000000" w:rsidRPr="00CC2888" w:rsidP="00CC2888">
            <w:pPr>
              <w:pStyle w:val="ListBullet2"/>
            </w:pPr>
            <w:r w:rsidRPr="00CC2888">
              <w:t>Demonstrate an understanding of the required skills and knowledge as described in this unit. It may be required by some jurisdictions that RTOs provide a percentile graded result for the purpose of regulatory or licensin</w:t>
            </w:r>
            <w:r w:rsidRPr="00CC2888">
              <w:t>g requirements.</w:t>
            </w:r>
          </w:p>
          <w:p w:rsidR="00000000" w:rsidRPr="00CC2888" w:rsidP="00CC2888">
            <w:pPr>
              <w:pStyle w:val="ListBullet2"/>
            </w:pPr>
            <w:r w:rsidRPr="00CC2888">
              <w:t>Demonstrate an appropriate level of skills enabling employment</w:t>
            </w:r>
          </w:p>
          <w:p w:rsidR="00000000" w:rsidRPr="00CC2888" w:rsidP="00CC2888">
            <w:pPr>
              <w:pStyle w:val="ListBullet2"/>
            </w:pPr>
            <w:r w:rsidRPr="00CC2888">
              <w:t>Conduct work observing the relevant Anti Discrimination legislation, regulations, polices and workplace procedures</w:t>
            </w:r>
          </w:p>
          <w:p w:rsidR="00000000" w:rsidRPr="00CC2888" w:rsidP="00CC2888">
            <w:pPr>
              <w:pStyle w:val="ListBullet"/>
            </w:pPr>
            <w:r w:rsidRPr="00CC2888">
              <w:t>Demonstrated consistent performance across a representative r</w:t>
            </w:r>
            <w:r w:rsidRPr="00CC2888">
              <w:t>ange of contexts from the prescribed items below:</w:t>
            </w:r>
          </w:p>
          <w:p w:rsidR="00000000" w:rsidP="00CC2888">
            <w:pPr>
              <w:pStyle w:val="ListBullet2"/>
              <w:rPr>
                <w:lang w:val="en-NZ"/>
              </w:rPr>
            </w:pPr>
            <w:r w:rsidRPr="00CC2888">
              <w:t xml:space="preserve"> as described in 8) and including:</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A</w:t>
            </w:r>
          </w:p>
        </w:tc>
        <w:tc>
          <w:tcPr>
            <w:tcW w:w="54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 xml:space="preserve">Determining the areas and control parameters to be accessed through the touch screen </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B</w:t>
            </w:r>
          </w:p>
        </w:tc>
        <w:tc>
          <w:tcPr>
            <w:tcW w:w="54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 xml:space="preserve">Confirming touch screen embellishments to be applied </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C</w:t>
            </w:r>
          </w:p>
        </w:tc>
        <w:tc>
          <w:tcPr>
            <w:tcW w:w="54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Down loading to a PC and checking touch screen programming and integrated system programming software and project data.</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D</w:t>
            </w:r>
          </w:p>
        </w:tc>
        <w:tc>
          <w:tcPr>
            <w:tcW w:w="54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 xml:space="preserve">Understanding manufacturer’s instruction for installing and connecting touch screens </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E</w:t>
            </w:r>
          </w:p>
        </w:tc>
        <w:tc>
          <w:tcPr>
            <w:tcW w:w="54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Checking that the installation and connections for the touch screen comply with manufacture’s requirements.</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F</w:t>
            </w:r>
          </w:p>
        </w:tc>
        <w:tc>
          <w:tcPr>
            <w:tcW w:w="54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Developing touch screen interface functions and embellishments in accordance for compatibility with the integrated system and to customer requir</w:t>
            </w:r>
            <w:r w:rsidRPr="00CC2888">
              <w:t>ements</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G</w:t>
            </w:r>
          </w:p>
        </w:tc>
        <w:tc>
          <w:tcPr>
            <w:tcW w:w="54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 xml:space="preserve">Backing up and transferring touch screen interface program following manufacturer’s instructions. </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H</w:t>
            </w:r>
          </w:p>
        </w:tc>
        <w:tc>
          <w:tcPr>
            <w:tcW w:w="540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Testing touch screen and correcting non-compliance operations and anomalies.</w:t>
            </w:r>
          </w:p>
        </w:tc>
      </w:tr>
      <w:tr w:rsidTr="00E32A32">
        <w:tblPrEx>
          <w:tblW w:w="0" w:type="auto"/>
          <w:tblLayout w:type="fixed"/>
          <w:tblCellMar>
            <w:left w:w="62" w:type="dxa"/>
            <w:right w:w="62" w:type="dxa"/>
          </w:tblCellMar>
          <w:tblLook w:val="0000"/>
        </w:tblPrEx>
        <w:tc>
          <w:tcPr>
            <w:tcW w:w="18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0" w:type="dxa"/>
            <w:gridSpan w:val="2"/>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t>I</w:t>
            </w:r>
          </w:p>
        </w:tc>
        <w:tc>
          <w:tcPr>
            <w:tcW w:w="540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Documenting the as-programmed touch screen specifications</w:t>
            </w:r>
          </w:p>
        </w:tc>
      </w:tr>
    </w:tbl>
    <w:p w:rsidR="00000000" w:rsidRPr="00CC2888" w:rsidP="00CC2888">
      <w:pPr>
        <w:pStyle w:val="BodyText"/>
      </w:pPr>
    </w:p>
    <w:tbl>
      <w:tblPr>
        <w:tblW w:w="0" w:type="auto"/>
        <w:tblLayout w:type="fixed"/>
        <w:tblCellMar>
          <w:left w:w="62" w:type="dxa"/>
          <w:right w:w="62" w:type="dxa"/>
        </w:tblCellMar>
        <w:tblLook w:val="0000"/>
      </w:tblPr>
      <w:tblGrid>
        <w:gridCol w:w="1890"/>
        <w:gridCol w:w="6570"/>
      </w:tblGrid>
      <w:tr w:rsidTr="00E32A3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C</w:t>
            </w:r>
            <w:r w:rsidRPr="00CC2888">
              <w:rPr>
                <w:rStyle w:val="SpecialBold"/>
              </w:rPr>
              <w:t>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9.3)</w:t>
            </w:r>
          </w:p>
        </w:tc>
      </w:tr>
      <w:tr w:rsidTr="00E32A3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This unit should be assessed as it relates to normal work practice using procedures, information and resources typical of a workplace. This should include:</w:t>
            </w:r>
          </w:p>
          <w:p w:rsidR="00000000" w:rsidRPr="00CC2888" w:rsidP="00CC2888">
            <w:pPr>
              <w:pStyle w:val="ListBullet"/>
            </w:pPr>
            <w:r w:rsidRPr="00CC2888">
              <w:t>OHS policy and work procedures and</w:t>
            </w:r>
            <w:r w:rsidRPr="00CC2888">
              <w:t xml:space="preserve"> instructions.</w:t>
            </w:r>
          </w:p>
          <w:p w:rsidR="00000000" w:rsidRPr="00CC2888" w:rsidP="00CC2888">
            <w:pPr>
              <w:pStyle w:val="ListBullet"/>
            </w:pPr>
            <w:r w:rsidRPr="00CC2888">
              <w:t>Suitable work environment, facilities, equipment and materials to undertake actual work as prescribed in this unit.</w:t>
            </w:r>
          </w:p>
          <w:p w:rsidR="00000000" w:rsidRPr="00CC2888" w:rsidP="00CC2888">
            <w:pPr>
              <w:pStyle w:val="BodyText"/>
            </w:pPr>
            <w:r w:rsidRPr="00CC2888">
              <w:t>These should be used in the formal learning/assessment environment.</w:t>
            </w:r>
          </w:p>
          <w:p w:rsidR="00000000" w:rsidRPr="00CC2888" w:rsidP="00CC2888">
            <w:pPr>
              <w:pStyle w:val="BodyText"/>
            </w:pPr>
            <w:r w:rsidRPr="00CC2888">
              <w:t>Note:</w:t>
            </w:r>
          </w:p>
          <w:p w:rsidR="00000000" w:rsidRPr="00CC2888" w:rsidP="00CC2888">
            <w:pPr>
              <w:pStyle w:val="BodyText"/>
            </w:pPr>
            <w:r w:rsidRPr="00CC2888">
              <w:t xml:space="preserve">Where simulation is considered a suitable strategy </w:t>
            </w:r>
            <w:r w:rsidRPr="00CC2888">
              <w:t>for assessment, conditions for assessment must be authentic and as far as possible reproduce and replicate the workplace and be consistent with the approved industry simulation policy.</w:t>
            </w:r>
          </w:p>
        </w:tc>
      </w:tr>
    </w:tbl>
    <w:p w:rsidR="00000000" w:rsidRPr="00CC2888" w:rsidP="00CC2888">
      <w:pPr>
        <w:pStyle w:val="BodyText"/>
      </w:pPr>
    </w:p>
    <w:tbl>
      <w:tblPr>
        <w:tblW w:w="0" w:type="auto"/>
        <w:tblLayout w:type="fixed"/>
        <w:tblCellMar>
          <w:left w:w="62" w:type="dxa"/>
          <w:right w:w="62" w:type="dxa"/>
        </w:tblCellMar>
        <w:tblLook w:val="0000"/>
      </w:tblPr>
      <w:tblGrid>
        <w:gridCol w:w="1890"/>
        <w:gridCol w:w="6570"/>
      </w:tblGrid>
      <w:tr w:rsidTr="00E32A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9.4)</w:t>
            </w:r>
          </w:p>
        </w:tc>
      </w:tr>
      <w:tr w:rsidTr="00E32A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This unit shall be assessed by methods given in Volume 1, Part 3 ‘Assessment Guidelines’.</w:t>
            </w:r>
          </w:p>
          <w:p w:rsidR="00000000" w:rsidRPr="00CC2888" w:rsidP="00CC2888">
            <w:pPr>
              <w:pStyle w:val="BodyText"/>
            </w:pPr>
            <w:r w:rsidRPr="00CC2888">
              <w:t xml:space="preserve">Note: </w:t>
            </w:r>
          </w:p>
          <w:p w:rsidR="00000000" w:rsidRPr="00CC2888" w:rsidP="00CC2888">
            <w:pPr>
              <w:pStyle w:val="BodyText"/>
            </w:pPr>
            <w:r w:rsidRPr="00CC2888">
              <w:t>Competent performance with inherent safe working practices is expected in the Industry to which this unit applies. This requires that the specified required sk</w:t>
            </w:r>
            <w:r w:rsidRPr="00CC2888">
              <w:t>ills and knowledge are assessed in a structured environment which is primarily intended for learning/assessment and incorporates all necessary equipment and facilities for learners to develop and demonstrate the required skills and knowledge described in t</w:t>
            </w:r>
            <w:r w:rsidRPr="00CC2888">
              <w:t>his unit.</w:t>
            </w:r>
          </w:p>
        </w:tc>
      </w:tr>
    </w:tbl>
    <w:p w:rsidR="00000000" w:rsidRPr="00CC2888" w:rsidP="00CC2888">
      <w:pPr>
        <w:pStyle w:val="BodyText"/>
      </w:pPr>
    </w:p>
    <w:tbl>
      <w:tblPr>
        <w:tblW w:w="0" w:type="auto"/>
        <w:tblLayout w:type="fixed"/>
        <w:tblCellMar>
          <w:left w:w="62" w:type="dxa"/>
          <w:right w:w="62" w:type="dxa"/>
        </w:tblCellMar>
        <w:tblLook w:val="0000"/>
      </w:tblPr>
      <w:tblGrid>
        <w:gridCol w:w="1890"/>
        <w:gridCol w:w="6570"/>
      </w:tblGrid>
      <w:tr w:rsidTr="00E32A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9.5)</w:t>
            </w:r>
          </w:p>
        </w:tc>
      </w:tr>
      <w:tr w:rsidTr="00E32A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There are no concurrent assessment recommendations for this unit.</w:t>
            </w: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11" w:name="O_534308"/>
      <w:bookmarkEnd w:id="11"/>
      <w:r w:rsidRPr="00CC2888">
        <w:t>Range Statement</w:t>
      </w:r>
    </w:p>
    <w:tbl>
      <w:tblPr>
        <w:tblW w:w="0" w:type="auto"/>
        <w:tblLayout w:type="fixed"/>
        <w:tblCellMar>
          <w:left w:w="62" w:type="dxa"/>
          <w:right w:w="62" w:type="dxa"/>
        </w:tblCellMar>
        <w:tblLook w:val="0000"/>
      </w:tblPr>
      <w:tblGrid>
        <w:gridCol w:w="8460"/>
      </w:tblGrid>
      <w:tr w:rsidTr="00E32A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RANGE STATEMENT</w:t>
            </w:r>
          </w:p>
        </w:tc>
      </w:tr>
      <w:tr w:rsidTr="00E32A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10)</w:t>
            </w:r>
            <w:r w:rsidRPr="00CC2888">
              <w:t xml:space="preserve"> This relates to the unit as a whole providing the range of contexts and conditions to which the performance criteria apply. It allows for different work environments and situations that will affect performance.</w:t>
            </w:r>
          </w:p>
          <w:p w:rsidR="00000000" w:rsidRPr="00CC2888" w:rsidP="00CC2888">
            <w:pPr>
              <w:pStyle w:val="BodyText"/>
            </w:pPr>
            <w:r w:rsidRPr="00CC2888">
              <w:t xml:space="preserve">This unit shall be demonstrated in relation </w:t>
            </w:r>
            <w:r w:rsidRPr="00CC2888">
              <w:t xml:space="preserve">to using manufacturer’s designated software to: </w:t>
            </w:r>
          </w:p>
          <w:p w:rsidR="00000000" w:rsidRPr="00CC2888" w:rsidP="00CC2888">
            <w:pPr>
              <w:pStyle w:val="ListBullet3"/>
            </w:pPr>
            <w:r w:rsidRPr="00CC2888">
              <w:t>program a B/W touch screen for safe and effective operation.</w:t>
            </w:r>
          </w:p>
          <w:p w:rsidR="00000000" w:rsidRPr="00CC2888" w:rsidP="00CC2888">
            <w:pPr>
              <w:pStyle w:val="ListBullet3"/>
            </w:pPr>
            <w:r w:rsidRPr="00CC2888">
              <w:t>create and edit scenes, schedules and access control</w:t>
            </w:r>
          </w:p>
          <w:p w:rsidR="00000000" w:rsidRPr="00CC2888" w:rsidP="00CC2888">
            <w:pPr>
              <w:pStyle w:val="ListBullet3"/>
            </w:pPr>
            <w:r w:rsidRPr="00CC2888">
              <w:t xml:space="preserve">use templates to enhance a touch screen </w:t>
            </w:r>
          </w:p>
          <w:p w:rsidR="00000000" w:rsidRPr="00CC2888" w:rsidP="00CC2888">
            <w:pPr>
              <w:pStyle w:val="ListBullet3"/>
            </w:pPr>
            <w:r w:rsidRPr="00CC2888">
              <w:t>backup and restore program</w:t>
            </w:r>
          </w:p>
          <w:p w:rsidR="00000000" w:rsidRPr="00CC2888" w:rsidP="00CC2888">
            <w:pPr>
              <w:pStyle w:val="ListBullet3"/>
            </w:pPr>
            <w:r w:rsidRPr="00CC2888">
              <w:t>transfer the programmed access to a touch screen in an integrated system</w:t>
            </w:r>
          </w:p>
          <w:p w:rsidR="00000000" w:rsidRPr="00CC2888" w:rsidP="00CC2888">
            <w:pPr>
              <w:pStyle w:val="List3"/>
            </w:pPr>
            <w:r w:rsidRPr="00CC2888">
              <w:t>and</w:t>
            </w:r>
          </w:p>
          <w:p w:rsidR="00000000" w:rsidRPr="00CC2888" w:rsidP="00CC2888">
            <w:pPr>
              <w:pStyle w:val="ListBullet3"/>
            </w:pPr>
            <w:r w:rsidRPr="00CC2888">
              <w:t>program a colour touch screen for safe and effective operation.</w:t>
            </w:r>
          </w:p>
          <w:p w:rsidR="00000000" w:rsidRPr="00CC2888" w:rsidP="00CC2888">
            <w:pPr>
              <w:pStyle w:val="ListBullet3"/>
            </w:pPr>
            <w:r w:rsidRPr="00CC2888">
              <w:t>create and edit scenes, schedules and access control</w:t>
            </w:r>
          </w:p>
          <w:p w:rsidR="00000000" w:rsidRPr="00CC2888" w:rsidP="00CC2888">
            <w:pPr>
              <w:pStyle w:val="ListBullet3"/>
            </w:pPr>
            <w:r w:rsidRPr="00CC2888">
              <w:t xml:space="preserve">use templates to enhance a touch screen </w:t>
            </w:r>
          </w:p>
          <w:p w:rsidR="00000000" w:rsidRPr="00CC2888" w:rsidP="00CC2888">
            <w:pPr>
              <w:pStyle w:val="ListBullet3"/>
            </w:pPr>
            <w:r w:rsidRPr="00CC2888">
              <w:t>backup and restore p</w:t>
            </w:r>
            <w:r w:rsidRPr="00CC2888">
              <w:t>rogram</w:t>
            </w:r>
          </w:p>
          <w:p w:rsidR="00000000" w:rsidRPr="00CC2888" w:rsidP="00CC2888">
            <w:pPr>
              <w:pStyle w:val="ListBullet3"/>
            </w:pPr>
            <w:r w:rsidRPr="00CC2888">
              <w:t>transfer the programmed access to a colour touch screen in an integrated system</w:t>
            </w:r>
          </w:p>
          <w:p w:rsidR="00000000" w:rsidRPr="00CC2888" w:rsidP="00CC2888">
            <w:pPr>
              <w:pStyle w:val="BodyText"/>
            </w:pPr>
            <w:r w:rsidRPr="00CC2888">
              <w:t xml:space="preserve">Generic terms used throughout this Vocational Standard shall be regarded as part of the Range Statement in which competency is demonstrated. The definition of these and </w:t>
            </w:r>
            <w:r w:rsidRPr="00CC2888">
              <w:t>other terms that apply are given in Volume 2, Part 2.1.</w:t>
            </w:r>
          </w:p>
          <w:p w:rsidR="00000000" w:rsidRPr="00CC2888" w:rsidP="00CC2888">
            <w:pPr>
              <w:pStyle w:val="BodyText"/>
            </w:pPr>
          </w:p>
        </w:tc>
      </w:tr>
    </w:tbl>
    <w:p w:rsidR="00000000" w:rsidRPr="00CC2888" w:rsidP="00CC2888">
      <w:pPr>
        <w:pStyle w:val="BodyText"/>
      </w:pPr>
    </w:p>
    <w:p w:rsidR="00000000" w:rsidRPr="00CC2888" w:rsidP="00CC2888">
      <w:pPr>
        <w:pStyle w:val="AllowPageBreak"/>
      </w:pPr>
    </w:p>
    <w:p w:rsidR="00000000" w:rsidRPr="00CC2888" w:rsidP="00CC2888">
      <w:pPr>
        <w:pStyle w:val="Heading1"/>
      </w:pPr>
      <w:bookmarkStart w:id="12" w:name="O_534307"/>
      <w:bookmarkEnd w:id="12"/>
      <w:r w:rsidRPr="00CC2888">
        <w:t>Unit Sector(s)</w:t>
      </w:r>
    </w:p>
    <w:p w:rsidR="00000000" w:rsidRPr="00CC2888" w:rsidP="00CC2888">
      <w:pPr>
        <w:pStyle w:val="BodyText"/>
      </w:pPr>
      <w:r w:rsidRPr="00CC2888">
        <w:t>Not applicable.</w:t>
      </w:r>
    </w:p>
    <w:p w:rsidR="00000000" w:rsidRPr="00CC2888" w:rsidP="00CC2888">
      <w:pPr>
        <w:pStyle w:val="AllowPageBreak"/>
      </w:pPr>
    </w:p>
    <w:p w:rsidR="00000000" w:rsidRPr="00CC2888" w:rsidP="00CC2888">
      <w:pPr>
        <w:pStyle w:val="Heading1"/>
      </w:pPr>
      <w:bookmarkStart w:id="13" w:name="O_534306"/>
      <w:bookmarkEnd w:id="13"/>
      <w:r w:rsidRPr="00CC2888">
        <w:t>Competency Field</w:t>
      </w:r>
    </w:p>
    <w:tbl>
      <w:tblPr>
        <w:tblW w:w="0" w:type="auto"/>
        <w:tblLayout w:type="fixed"/>
        <w:tblCellMar>
          <w:left w:w="62" w:type="dxa"/>
          <w:right w:w="62" w:type="dxa"/>
        </w:tblCellMar>
        <w:tblLook w:val="0000"/>
      </w:tblPr>
      <w:tblGrid>
        <w:gridCol w:w="2700"/>
        <w:gridCol w:w="5760"/>
      </w:tblGrid>
      <w:tr w:rsidTr="00E32A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C2888">
            <w:pPr>
              <w:pStyle w:val="BodyText"/>
              <w:rPr>
                <w:lang w:val="en-NZ"/>
              </w:rPr>
            </w:pPr>
            <w:r w:rsidRPr="00CC2888">
              <w:rPr>
                <w:rStyle w:val="SpecialBold"/>
              </w:rPr>
              <w:t xml:space="preserve">11) </w:t>
            </w:r>
          </w:p>
        </w:tc>
      </w:tr>
      <w:tr w:rsidTr="00E32A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2888" w:rsidP="00CC2888">
            <w:pPr>
              <w:pStyle w:val="BodyText"/>
            </w:pPr>
            <w:r w:rsidRPr="00CC2888">
              <w:t>Instrumentation and Control</w:t>
            </w:r>
          </w:p>
        </w:tc>
      </w:tr>
    </w:tbl>
    <w:p w:rsidR="00000000" w:rsidRPr="00CC2888" w:rsidP="00CC2888">
      <w:pPr>
        <w:pStyle w:val="BodyText"/>
      </w:pPr>
    </w:p>
    <w:p w:rsidR="00000000" w:rsidRPr="00CC2888" w:rsidP="00CC2888"/>
    <w:sectPr w:rsidSect="00CC28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88" w:rsidRPr="00E32A32" w:rsidP="00E32A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2" w:rsidP="00CC28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2A32" w:rsidP="00CC28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E32A32" w:rsidP="00CC28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88" w:rsidRPr="00E32A32" w:rsidP="00E32A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2" w:rsidRPr="002D2AF8" w:rsidP="00CC2888">
    <w:pPr>
      <w:pStyle w:val="Header"/>
      <w:framePr w:wrap="around"/>
    </w:pPr>
    <w:r>
      <w:fldChar w:fldCharType="begin"/>
    </w:r>
    <w:r>
      <w:instrText xml:space="preserve"> TITLE   \* MERGEFORMAT </w:instrText>
    </w:r>
    <w:r>
      <w:fldChar w:fldCharType="separate"/>
    </w:r>
    <w:r>
      <w:t>UEENEEI142A Develop an electrical integrated system interface for access through a touch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E32A32" w:rsidP="00CC28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8C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65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9AB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888"/>
    <w:pPr>
      <w:spacing w:before="360" w:after="60"/>
      <w:outlineLvl w:val="0"/>
    </w:pPr>
    <w:rPr>
      <w:sz w:val="32"/>
    </w:rPr>
  </w:style>
  <w:style w:type="paragraph" w:styleId="Heading2">
    <w:name w:val="heading 2"/>
    <w:basedOn w:val="HeadingBase"/>
    <w:next w:val="BodyText"/>
    <w:link w:val="Heading2Char"/>
    <w:qFormat/>
    <w:rsid w:val="00CC2888"/>
    <w:pPr>
      <w:keepLines/>
      <w:spacing w:before="240" w:after="120"/>
      <w:outlineLvl w:val="1"/>
    </w:pPr>
    <w:rPr>
      <w:sz w:val="28"/>
      <w:szCs w:val="40"/>
    </w:rPr>
  </w:style>
  <w:style w:type="paragraph" w:styleId="Heading3">
    <w:name w:val="heading 3"/>
    <w:basedOn w:val="HeadingBase"/>
    <w:next w:val="BodyText"/>
    <w:link w:val="Heading3Char"/>
    <w:qFormat/>
    <w:rsid w:val="00CC2888"/>
    <w:pPr>
      <w:spacing w:before="180" w:after="120"/>
      <w:outlineLvl w:val="2"/>
    </w:pPr>
    <w:rPr>
      <w:spacing w:val="-10"/>
      <w:kern w:val="32"/>
    </w:rPr>
  </w:style>
  <w:style w:type="paragraph" w:styleId="Heading4">
    <w:name w:val="heading 4"/>
    <w:basedOn w:val="HeadingBase"/>
    <w:next w:val="BodyText"/>
    <w:link w:val="Heading4Char"/>
    <w:qFormat/>
    <w:rsid w:val="00CC2888"/>
    <w:pPr>
      <w:spacing w:before="160" w:after="120"/>
      <w:outlineLvl w:val="3"/>
    </w:pPr>
    <w:rPr>
      <w:sz w:val="22"/>
    </w:rPr>
  </w:style>
  <w:style w:type="paragraph" w:styleId="Heading5">
    <w:name w:val="heading 5"/>
    <w:basedOn w:val="HeadingBase"/>
    <w:next w:val="Normal"/>
    <w:link w:val="Heading5Char"/>
    <w:qFormat/>
    <w:rsid w:val="00CC2888"/>
    <w:pPr>
      <w:spacing w:before="80"/>
      <w:outlineLvl w:val="4"/>
    </w:pPr>
    <w:rPr>
      <w:color w:val="918585"/>
      <w:sz w:val="20"/>
    </w:rPr>
  </w:style>
  <w:style w:type="paragraph" w:styleId="Heading6">
    <w:name w:val="heading 6"/>
    <w:basedOn w:val="HeadingBase"/>
    <w:next w:val="Normal"/>
    <w:link w:val="Heading6Char"/>
    <w:qFormat/>
    <w:rsid w:val="00CC2888"/>
    <w:pPr>
      <w:spacing w:before="60"/>
      <w:outlineLvl w:val="5"/>
    </w:pPr>
    <w:rPr>
      <w:color w:val="918585"/>
      <w:sz w:val="20"/>
    </w:rPr>
  </w:style>
  <w:style w:type="paragraph" w:styleId="Heading7">
    <w:name w:val="heading 7"/>
    <w:basedOn w:val="Normal"/>
    <w:next w:val="Normal"/>
    <w:link w:val="Heading7Char"/>
    <w:qFormat/>
    <w:rsid w:val="00CC2888"/>
    <w:pPr>
      <w:ind w:left="720"/>
      <w:outlineLvl w:val="6"/>
    </w:pPr>
    <w:rPr>
      <w:i/>
    </w:rPr>
  </w:style>
  <w:style w:type="paragraph" w:styleId="Heading8">
    <w:name w:val="heading 8"/>
    <w:basedOn w:val="Normal"/>
    <w:next w:val="Normal"/>
    <w:link w:val="Heading8Char"/>
    <w:qFormat/>
    <w:rsid w:val="00CC2888"/>
    <w:pPr>
      <w:ind w:left="720"/>
      <w:outlineLvl w:val="7"/>
    </w:pPr>
    <w:rPr>
      <w:i/>
    </w:rPr>
  </w:style>
  <w:style w:type="paragraph" w:styleId="Heading9">
    <w:name w:val="heading 9"/>
    <w:basedOn w:val="Normal"/>
    <w:next w:val="Normal"/>
    <w:link w:val="Heading9Char"/>
    <w:qFormat/>
    <w:rsid w:val="00CC2888"/>
    <w:pPr>
      <w:ind w:left="720"/>
      <w:outlineLvl w:val="8"/>
    </w:pPr>
    <w:rPr>
      <w:i/>
    </w:rPr>
  </w:style>
  <w:style w:type="character" w:default="1" w:styleId="DefaultParagraphFont">
    <w:name w:val="Default Paragraph Font"/>
    <w:uiPriority w:val="1"/>
    <w:unhideWhenUsed/>
    <w:rsid w:val="00CC2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888"/>
  </w:style>
  <w:style w:type="character" w:customStyle="1" w:styleId="Heading1Char">
    <w:name w:val="Heading 1 Char"/>
    <w:basedOn w:val="DefaultParagraphFont"/>
    <w:link w:val="Heading1"/>
    <w:rsid w:val="00CC2888"/>
    <w:rPr>
      <w:rFonts w:ascii="Times New Roman" w:eastAsia="Times New Roman" w:hAnsi="Times New Roman" w:cs="Times New Roman"/>
      <w:b/>
      <w:sz w:val="32"/>
      <w:szCs w:val="20"/>
      <w:lang w:eastAsia="en-US"/>
    </w:rPr>
  </w:style>
  <w:style w:type="paragraph" w:styleId="BodyText">
    <w:name w:val="Body Text"/>
    <w:basedOn w:val="Normal"/>
    <w:link w:val="BodyTextChar"/>
    <w:rsid w:val="00CC28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888"/>
    <w:rPr>
      <w:rFonts w:ascii="Times New Roman" w:eastAsia="Times New Roman" w:hAnsi="Times New Roman" w:cs="Times New Roman"/>
      <w:sz w:val="24"/>
      <w:lang w:eastAsia="en-US"/>
    </w:rPr>
  </w:style>
  <w:style w:type="paragraph" w:styleId="ListBullet">
    <w:name w:val="List Bullet"/>
    <w:basedOn w:val="List"/>
    <w:rsid w:val="00CC2888"/>
    <w:pPr>
      <w:numPr>
        <w:numId w:val="14"/>
      </w:numPr>
      <w:tabs>
        <w:tab w:val="clear" w:pos="340"/>
      </w:tabs>
      <w:spacing w:before="40" w:after="40"/>
    </w:pPr>
  </w:style>
  <w:style w:type="character" w:customStyle="1" w:styleId="SpecialBold">
    <w:name w:val="Special Bold"/>
    <w:basedOn w:val="DefaultParagraphFont"/>
    <w:rsid w:val="00CC2888"/>
    <w:rPr>
      <w:b/>
      <w:spacing w:val="0"/>
    </w:rPr>
  </w:style>
  <w:style w:type="paragraph" w:styleId="ListBullet2">
    <w:name w:val="List Bullet 2"/>
    <w:basedOn w:val="List2"/>
    <w:rsid w:val="00CC2888"/>
    <w:pPr>
      <w:numPr>
        <w:numId w:val="15"/>
      </w:numPr>
      <w:tabs>
        <w:tab w:val="clear" w:pos="680"/>
      </w:tabs>
    </w:pPr>
  </w:style>
  <w:style w:type="paragraph" w:customStyle="1" w:styleId="SuperHeading">
    <w:name w:val="SuperHeading"/>
    <w:basedOn w:val="Normal"/>
    <w:rsid w:val="00CC2888"/>
    <w:pPr>
      <w:spacing w:before="240" w:after="120"/>
      <w:outlineLvl w:val="0"/>
    </w:pPr>
    <w:rPr>
      <w:rFonts w:ascii="Times New Roman" w:hAnsi="Times New Roman"/>
      <w:b/>
      <w:sz w:val="32"/>
    </w:rPr>
  </w:style>
  <w:style w:type="paragraph" w:customStyle="1" w:styleId="AllowPageBreak">
    <w:name w:val="AllowPageBreak"/>
    <w:rsid w:val="00CC2888"/>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CC2888"/>
    <w:pPr>
      <w:tabs>
        <w:tab w:val="left" w:pos="1021"/>
      </w:tabs>
      <w:spacing w:before="60" w:after="60"/>
      <w:ind w:left="1020" w:hanging="340"/>
    </w:pPr>
  </w:style>
  <w:style w:type="paragraph" w:styleId="ListBullet3">
    <w:name w:val="List Bullet 3"/>
    <w:basedOn w:val="List3"/>
    <w:rsid w:val="00CC2888"/>
    <w:pPr>
      <w:numPr>
        <w:numId w:val="3"/>
      </w:numPr>
      <w:tabs>
        <w:tab w:val="clear" w:pos="1021"/>
      </w:tabs>
      <w:ind w:left="1037" w:hanging="357"/>
    </w:pPr>
  </w:style>
  <w:style w:type="character" w:customStyle="1" w:styleId="Heading2Char">
    <w:name w:val="Heading 2 Char"/>
    <w:basedOn w:val="DefaultParagraphFont"/>
    <w:link w:val="Heading2"/>
    <w:rsid w:val="00CC2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888"/>
    <w:rPr>
      <w:rFonts w:ascii="Courier New" w:eastAsia="Times New Roman" w:hAnsi="Courier New" w:cs="Times New Roman"/>
      <w:i/>
      <w:szCs w:val="20"/>
      <w:lang w:eastAsia="en-US"/>
    </w:rPr>
  </w:style>
  <w:style w:type="paragraph" w:customStyle="1" w:styleId="HeadingBase">
    <w:name w:val="Heading Base"/>
    <w:rsid w:val="00CC2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888"/>
    <w:pPr>
      <w:tabs>
        <w:tab w:val="right" w:leader="dot" w:pos="9072"/>
      </w:tabs>
      <w:ind w:left="567"/>
    </w:pPr>
    <w:rPr>
      <w:szCs w:val="22"/>
    </w:rPr>
  </w:style>
  <w:style w:type="paragraph" w:customStyle="1" w:styleId="TOCBase">
    <w:name w:val="TOC Base"/>
    <w:rsid w:val="00CC2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888"/>
    <w:pPr>
      <w:tabs>
        <w:tab w:val="right" w:leader="dot" w:pos="9072"/>
      </w:tabs>
      <w:spacing w:before="40" w:after="40"/>
      <w:ind w:left="284"/>
    </w:pPr>
    <w:rPr>
      <w:rFonts w:ascii="Times New Roman" w:hAnsi="Times New Roman"/>
    </w:rPr>
  </w:style>
  <w:style w:type="paragraph" w:styleId="TOC1">
    <w:name w:val="toc 1"/>
    <w:basedOn w:val="TOCBase"/>
    <w:next w:val="Normal"/>
    <w:rsid w:val="00CC28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888"/>
    <w:rPr>
      <w:rFonts w:ascii="Times New Roman" w:eastAsia="Times New Roman" w:hAnsi="Times New Roman" w:cs="Times New Roman"/>
      <w:sz w:val="16"/>
      <w:lang w:eastAsia="en-US"/>
    </w:rPr>
  </w:style>
  <w:style w:type="paragraph" w:styleId="Title">
    <w:name w:val="Title"/>
    <w:basedOn w:val="HeadingBase"/>
    <w:link w:val="TitleChar"/>
    <w:qFormat/>
    <w:rsid w:val="00CC2888"/>
    <w:pPr>
      <w:spacing w:before="5040"/>
      <w:jc w:val="center"/>
    </w:pPr>
    <w:rPr>
      <w:sz w:val="48"/>
      <w:szCs w:val="72"/>
      <w:lang w:val="en-US"/>
    </w:rPr>
  </w:style>
  <w:style w:type="character" w:customStyle="1" w:styleId="TitleChar">
    <w:name w:val="Title Char"/>
    <w:basedOn w:val="DefaultParagraphFont"/>
    <w:link w:val="Title"/>
    <w:rsid w:val="00CC2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888"/>
    <w:pPr>
      <w:tabs>
        <w:tab w:val="left" w:pos="3600"/>
        <w:tab w:val="left" w:pos="3958"/>
      </w:tabs>
    </w:pPr>
  </w:style>
  <w:style w:type="paragraph" w:styleId="List">
    <w:name w:val="List"/>
    <w:basedOn w:val="BodyText"/>
    <w:next w:val="BodyText"/>
    <w:rsid w:val="00CC2888"/>
    <w:pPr>
      <w:tabs>
        <w:tab w:val="left" w:pos="340"/>
      </w:tabs>
      <w:spacing w:before="60" w:after="60"/>
      <w:ind w:left="340" w:hanging="340"/>
    </w:pPr>
  </w:style>
  <w:style w:type="paragraph" w:customStyle="1" w:styleId="Note">
    <w:name w:val="Note"/>
    <w:basedOn w:val="BodyText"/>
    <w:rsid w:val="00CC2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888"/>
    <w:pPr>
      <w:framePr w:wrap="auto" w:hAnchor="text" w:y="6049"/>
    </w:pPr>
    <w:rPr>
      <w:color w:val="000000"/>
      <w:sz w:val="40"/>
    </w:rPr>
  </w:style>
  <w:style w:type="paragraph" w:customStyle="1" w:styleId="TOCTitle">
    <w:name w:val="TOCTitle"/>
    <w:basedOn w:val="Heading1"/>
    <w:rsid w:val="00CC2888"/>
    <w:pPr>
      <w:spacing w:after="240"/>
      <w:jc w:val="center"/>
      <w:outlineLvl w:val="9"/>
    </w:pPr>
    <w:rPr>
      <w:caps/>
    </w:rPr>
  </w:style>
  <w:style w:type="paragraph" w:customStyle="1" w:styleId="Version">
    <w:name w:val="Version"/>
    <w:rsid w:val="00CC2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888"/>
    <w:pPr>
      <w:keepNext w:val="0"/>
      <w:tabs>
        <w:tab w:val="right" w:pos="4176"/>
      </w:tabs>
      <w:ind w:left="198" w:hanging="198"/>
    </w:pPr>
    <w:rPr>
      <w:rFonts w:ascii="Garamond" w:hAnsi="Garamond"/>
    </w:rPr>
  </w:style>
  <w:style w:type="paragraph" w:styleId="IndexHeading">
    <w:name w:val="index heading"/>
    <w:basedOn w:val="Normal"/>
    <w:next w:val="Index1"/>
    <w:semiHidden/>
    <w:rsid w:val="00CC2888"/>
    <w:pPr>
      <w:spacing w:before="120" w:after="120"/>
    </w:pPr>
    <w:rPr>
      <w:rFonts w:ascii="Arial" w:hAnsi="Arial"/>
      <w:b/>
      <w:color w:val="918585"/>
      <w:sz w:val="24"/>
    </w:rPr>
  </w:style>
  <w:style w:type="paragraph" w:styleId="Header">
    <w:name w:val="header"/>
    <w:basedOn w:val="Normal"/>
    <w:link w:val="HeaderChar"/>
    <w:rsid w:val="00CC2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888"/>
    <w:rPr>
      <w:rFonts w:ascii="Times New Roman" w:eastAsia="Times New Roman" w:hAnsi="Times New Roman" w:cs="Times New Roman"/>
      <w:sz w:val="16"/>
      <w:szCs w:val="20"/>
      <w:lang w:val="en-GB" w:eastAsia="en-US"/>
    </w:rPr>
  </w:style>
  <w:style w:type="paragraph" w:customStyle="1" w:styleId="Chapter">
    <w:name w:val="Chapter"/>
    <w:basedOn w:val="Normal"/>
    <w:rsid w:val="00CC2888"/>
    <w:pPr>
      <w:spacing w:before="240"/>
    </w:pPr>
    <w:rPr>
      <w:rFonts w:ascii="Times New Roman" w:hAnsi="Times New Roman"/>
      <w:smallCaps/>
      <w:spacing w:val="80"/>
      <w:sz w:val="28"/>
    </w:rPr>
  </w:style>
  <w:style w:type="paragraph" w:customStyle="1" w:styleId="InChapter">
    <w:name w:val="InChapter"/>
    <w:basedOn w:val="Heading3"/>
    <w:rsid w:val="00CC2888"/>
    <w:pPr>
      <w:spacing w:after="240"/>
      <w:outlineLvl w:val="9"/>
    </w:pPr>
    <w:rPr>
      <w:noProof/>
    </w:rPr>
  </w:style>
  <w:style w:type="paragraph" w:styleId="Index2">
    <w:name w:val="index 2"/>
    <w:basedOn w:val="Normal"/>
    <w:next w:val="Normal"/>
    <w:semiHidden/>
    <w:rsid w:val="00CC2888"/>
    <w:pPr>
      <w:tabs>
        <w:tab w:val="right" w:pos="4176"/>
      </w:tabs>
      <w:ind w:left="568" w:hanging="284"/>
    </w:pPr>
    <w:rPr>
      <w:rFonts w:ascii="Garamond" w:hAnsi="Garamond"/>
    </w:rPr>
  </w:style>
  <w:style w:type="paragraph" w:customStyle="1" w:styleId="Byline">
    <w:name w:val="Byline"/>
    <w:rsid w:val="00CC2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888"/>
    <w:pPr>
      <w:tabs>
        <w:tab w:val="clear" w:pos="3600"/>
        <w:tab w:val="clear" w:pos="3958"/>
      </w:tabs>
      <w:jc w:val="right"/>
    </w:pPr>
  </w:style>
  <w:style w:type="character" w:styleId="Emphasis">
    <w:name w:val="Emphasis"/>
    <w:basedOn w:val="DefaultParagraphFont"/>
    <w:qFormat/>
    <w:rsid w:val="00CC2888"/>
    <w:rPr>
      <w:i/>
    </w:rPr>
  </w:style>
  <w:style w:type="paragraph" w:styleId="Caption">
    <w:name w:val="caption"/>
    <w:basedOn w:val="BodyText"/>
    <w:next w:val="Normal"/>
    <w:qFormat/>
    <w:rsid w:val="00CC2888"/>
    <w:pPr>
      <w:framePr w:w="2268" w:hSpace="181" w:vSpace="181" w:wrap="around" w:vAnchor="text" w:hAnchor="page" w:x="1135" w:y="285" w:anchorLock="1"/>
    </w:pPr>
    <w:rPr>
      <w:i/>
    </w:rPr>
  </w:style>
  <w:style w:type="paragraph" w:customStyle="1" w:styleId="MiniTOCTitle">
    <w:name w:val="MiniTOCTitle"/>
    <w:basedOn w:val="Heading4"/>
    <w:rsid w:val="00CC2888"/>
    <w:pPr>
      <w:spacing w:before="240"/>
      <w:outlineLvl w:val="9"/>
    </w:pPr>
    <w:rPr>
      <w:noProof/>
      <w:sz w:val="24"/>
    </w:rPr>
  </w:style>
  <w:style w:type="paragraph" w:customStyle="1" w:styleId="MiniTOCItem">
    <w:name w:val="MiniTOCItem"/>
    <w:basedOn w:val="ListBullet"/>
    <w:rsid w:val="00CC2888"/>
    <w:pPr>
      <w:numPr>
        <w:numId w:val="0"/>
      </w:numPr>
      <w:tabs>
        <w:tab w:val="right" w:leader="dot" w:pos="6521"/>
      </w:tabs>
      <w:spacing w:before="0" w:after="0"/>
    </w:pPr>
  </w:style>
  <w:style w:type="paragraph" w:customStyle="1" w:styleId="TOFTitle">
    <w:name w:val="TOFTitle"/>
    <w:basedOn w:val="TOCTitle"/>
    <w:rsid w:val="00CC2888"/>
  </w:style>
  <w:style w:type="paragraph" w:styleId="TableofFigures">
    <w:name w:val="table of figures"/>
    <w:basedOn w:val="Normal"/>
    <w:next w:val="Normal"/>
    <w:semiHidden/>
    <w:rsid w:val="00CC2888"/>
    <w:pPr>
      <w:tabs>
        <w:tab w:val="right" w:leader="dot" w:pos="9072"/>
      </w:tabs>
      <w:ind w:left="970" w:hanging="403"/>
    </w:pPr>
    <w:rPr>
      <w:rFonts w:ascii="Times New Roman" w:hAnsi="Times New Roman"/>
      <w:b/>
    </w:rPr>
  </w:style>
  <w:style w:type="paragraph" w:styleId="ListNumber">
    <w:name w:val="List Number"/>
    <w:basedOn w:val="List"/>
    <w:rsid w:val="00CC2888"/>
    <w:pPr>
      <w:numPr>
        <w:numId w:val="12"/>
      </w:numPr>
    </w:pPr>
  </w:style>
  <w:style w:type="character" w:customStyle="1" w:styleId="WingdingSymbols">
    <w:name w:val="Wingding Symbols"/>
    <w:rsid w:val="00CC2888"/>
    <w:rPr>
      <w:rFonts w:ascii="Wingdings" w:hAnsi="Wingdings"/>
    </w:rPr>
  </w:style>
  <w:style w:type="paragraph" w:customStyle="1" w:styleId="TableHeading">
    <w:name w:val="Table Heading"/>
    <w:basedOn w:val="HeadingBase"/>
    <w:rsid w:val="00CC2888"/>
    <w:pPr>
      <w:keepLines/>
      <w:pBdr>
        <w:bottom w:val="single" w:sz="6" w:space="1" w:color="918585"/>
      </w:pBdr>
      <w:spacing w:before="240"/>
    </w:pPr>
  </w:style>
  <w:style w:type="character" w:customStyle="1" w:styleId="HotSpot">
    <w:name w:val="HotSpot"/>
    <w:rsid w:val="00CC2888"/>
    <w:rPr>
      <w:color w:val="0033CC"/>
      <w:u w:val="none"/>
    </w:rPr>
  </w:style>
  <w:style w:type="paragraph" w:customStyle="1" w:styleId="BodyTextRight">
    <w:name w:val="Body Text Right"/>
    <w:basedOn w:val="BodyText"/>
    <w:rsid w:val="00CC2888"/>
    <w:pPr>
      <w:spacing w:before="0" w:after="0"/>
      <w:jc w:val="right"/>
    </w:pPr>
  </w:style>
  <w:style w:type="paragraph" w:styleId="Index3">
    <w:name w:val="index 3"/>
    <w:basedOn w:val="ListNumber2"/>
    <w:next w:val="Normal"/>
    <w:semiHidden/>
    <w:rsid w:val="00CC2888"/>
    <w:pPr>
      <w:numPr>
        <w:numId w:val="0"/>
      </w:numPr>
      <w:tabs>
        <w:tab w:val="right" w:leader="dot" w:pos="4176"/>
      </w:tabs>
    </w:pPr>
  </w:style>
  <w:style w:type="paragraph" w:styleId="ListNumber2">
    <w:name w:val="List Number 2"/>
    <w:basedOn w:val="List2"/>
    <w:rsid w:val="00CC2888"/>
    <w:pPr>
      <w:numPr>
        <w:numId w:val="11"/>
      </w:numPr>
      <w:tabs>
        <w:tab w:val="clear" w:pos="1060"/>
      </w:tabs>
    </w:pPr>
  </w:style>
  <w:style w:type="paragraph" w:customStyle="1" w:styleId="MarginNote">
    <w:name w:val="Margin Note"/>
    <w:basedOn w:val="BodyText"/>
    <w:rsid w:val="00CC2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888"/>
    <w:rPr>
      <w:sz w:val="32"/>
    </w:rPr>
  </w:style>
  <w:style w:type="paragraph" w:customStyle="1" w:styleId="HeadingProcedure">
    <w:name w:val="Heading Procedure"/>
    <w:basedOn w:val="HeadingBase"/>
    <w:next w:val="Normal"/>
    <w:rsid w:val="00CC2888"/>
    <w:pPr>
      <w:tabs>
        <w:tab w:val="left" w:pos="0"/>
      </w:tabs>
      <w:spacing w:before="120" w:after="60"/>
    </w:pPr>
    <w:rPr>
      <w:i/>
      <w:color w:val="918585"/>
      <w:sz w:val="22"/>
    </w:rPr>
  </w:style>
  <w:style w:type="paragraph" w:customStyle="1" w:styleId="TableBodyText">
    <w:name w:val="Table Body Text"/>
    <w:basedOn w:val="BodyText"/>
    <w:rsid w:val="00CC2888"/>
    <w:pPr>
      <w:spacing w:before="60" w:after="60"/>
    </w:pPr>
  </w:style>
  <w:style w:type="paragraph" w:styleId="ListContinue">
    <w:name w:val="List Continue"/>
    <w:basedOn w:val="List"/>
    <w:rsid w:val="00CC2888"/>
    <w:pPr>
      <w:ind w:firstLine="0"/>
    </w:pPr>
  </w:style>
  <w:style w:type="paragraph" w:customStyle="1" w:styleId="ListNote">
    <w:name w:val="List Note"/>
    <w:basedOn w:val="List"/>
    <w:rsid w:val="00CC2888"/>
    <w:pPr>
      <w:pBdr>
        <w:top w:val="single" w:sz="6" w:space="2" w:color="918585"/>
        <w:bottom w:val="single" w:sz="6" w:space="2" w:color="918585"/>
      </w:pBdr>
      <w:tabs>
        <w:tab w:val="left" w:pos="1021"/>
      </w:tabs>
      <w:ind w:firstLine="0"/>
    </w:pPr>
  </w:style>
  <w:style w:type="paragraph" w:customStyle="1" w:styleId="Warning">
    <w:name w:val="Warning"/>
    <w:basedOn w:val="BodyText"/>
    <w:rsid w:val="00CC2888"/>
    <w:pPr>
      <w:shd w:val="clear" w:color="auto" w:fill="D9D9D9"/>
      <w:tabs>
        <w:tab w:val="left" w:pos="992"/>
      </w:tabs>
      <w:ind w:left="119" w:right="119"/>
    </w:pPr>
    <w:rPr>
      <w:sz w:val="20"/>
    </w:rPr>
  </w:style>
  <w:style w:type="paragraph" w:customStyle="1" w:styleId="MarginIcons">
    <w:name w:val="Margin Icons"/>
    <w:basedOn w:val="BodyText"/>
    <w:rsid w:val="00CC2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888"/>
    <w:rPr>
      <w:rFonts w:ascii="Courier New" w:hAnsi="Courier New"/>
    </w:rPr>
  </w:style>
  <w:style w:type="paragraph" w:customStyle="1" w:styleId="NoteBullet">
    <w:name w:val="Note Bullet"/>
    <w:basedOn w:val="Note"/>
    <w:rsid w:val="00CC2888"/>
    <w:pPr>
      <w:tabs>
        <w:tab w:val="clear" w:pos="680"/>
      </w:tabs>
      <w:spacing w:before="60" w:after="60"/>
    </w:pPr>
  </w:style>
  <w:style w:type="paragraph" w:customStyle="1" w:styleId="SubHeading2">
    <w:name w:val="SubHeading2"/>
    <w:basedOn w:val="HeadingBase"/>
    <w:rsid w:val="00CC2888"/>
    <w:pPr>
      <w:spacing w:before="240" w:after="60"/>
    </w:pPr>
    <w:rPr>
      <w:sz w:val="20"/>
    </w:rPr>
  </w:style>
  <w:style w:type="paragraph" w:customStyle="1" w:styleId="SubHeading1">
    <w:name w:val="SubHeading1"/>
    <w:basedOn w:val="HeadingBase"/>
    <w:rsid w:val="00CC2888"/>
    <w:pPr>
      <w:spacing w:before="240" w:after="60"/>
    </w:pPr>
    <w:rPr>
      <w:color w:val="918585"/>
      <w:sz w:val="22"/>
    </w:rPr>
  </w:style>
  <w:style w:type="paragraph" w:customStyle="1" w:styleId="SideHeading">
    <w:name w:val="Side Heading"/>
    <w:basedOn w:val="HeadingBase"/>
    <w:rsid w:val="00CC2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888"/>
    <w:pPr>
      <w:numPr>
        <w:numId w:val="13"/>
      </w:numPr>
    </w:pPr>
  </w:style>
  <w:style w:type="paragraph" w:styleId="PlainText">
    <w:name w:val="Plain Text"/>
    <w:basedOn w:val="Normal"/>
    <w:link w:val="PlainTextChar"/>
    <w:rsid w:val="00CC2888"/>
    <w:rPr>
      <w:sz w:val="20"/>
    </w:rPr>
  </w:style>
  <w:style w:type="character" w:customStyle="1" w:styleId="PlainTextChar">
    <w:name w:val="Plain Text Char"/>
    <w:basedOn w:val="DefaultParagraphFont"/>
    <w:link w:val="PlainText"/>
    <w:rsid w:val="00CC2888"/>
    <w:rPr>
      <w:rFonts w:ascii="Courier New" w:eastAsia="Times New Roman" w:hAnsi="Courier New" w:cs="Times New Roman"/>
      <w:sz w:val="20"/>
      <w:szCs w:val="20"/>
      <w:lang w:eastAsia="en-US"/>
    </w:rPr>
  </w:style>
  <w:style w:type="character" w:customStyle="1" w:styleId="MenuOption">
    <w:name w:val="Menu Option"/>
    <w:basedOn w:val="DefaultParagraphFont"/>
    <w:rsid w:val="00CC2888"/>
    <w:rPr>
      <w:b/>
      <w:smallCaps/>
    </w:rPr>
  </w:style>
  <w:style w:type="paragraph" w:customStyle="1" w:styleId="TableListNumber">
    <w:name w:val="Table List Number"/>
    <w:basedOn w:val="ListNumber"/>
    <w:rsid w:val="00CC2888"/>
    <w:pPr>
      <w:numPr>
        <w:numId w:val="0"/>
      </w:numPr>
    </w:pPr>
  </w:style>
  <w:style w:type="paragraph" w:styleId="TOC4">
    <w:name w:val="toc 4"/>
    <w:basedOn w:val="TOCBase"/>
    <w:next w:val="Normal"/>
    <w:semiHidden/>
    <w:rsid w:val="00CC2888"/>
    <w:pPr>
      <w:tabs>
        <w:tab w:val="right" w:leader="dot" w:pos="9071"/>
      </w:tabs>
      <w:ind w:left="1701"/>
    </w:pPr>
  </w:style>
  <w:style w:type="paragraph" w:customStyle="1" w:styleId="ListAlpha">
    <w:name w:val="List Alpha"/>
    <w:basedOn w:val="List"/>
    <w:rsid w:val="00CC2888"/>
    <w:pPr>
      <w:numPr>
        <w:numId w:val="10"/>
      </w:numPr>
    </w:pPr>
  </w:style>
  <w:style w:type="paragraph" w:customStyle="1" w:styleId="ListAlpha2">
    <w:name w:val="List Alpha 2"/>
    <w:basedOn w:val="List2"/>
    <w:rsid w:val="00CC2888"/>
    <w:pPr>
      <w:numPr>
        <w:numId w:val="9"/>
      </w:numPr>
    </w:pPr>
  </w:style>
  <w:style w:type="paragraph" w:styleId="List2">
    <w:name w:val="List 2"/>
    <w:basedOn w:val="BodyText"/>
    <w:rsid w:val="00CC2888"/>
    <w:pPr>
      <w:tabs>
        <w:tab w:val="left" w:pos="680"/>
      </w:tabs>
      <w:spacing w:before="60" w:after="60"/>
      <w:ind w:left="680" w:hanging="340"/>
    </w:pPr>
  </w:style>
  <w:style w:type="paragraph" w:styleId="List4">
    <w:name w:val="List 4"/>
    <w:basedOn w:val="BodyText"/>
    <w:rsid w:val="00CC2888"/>
    <w:pPr>
      <w:tabs>
        <w:tab w:val="left" w:pos="1361"/>
      </w:tabs>
      <w:spacing w:before="60" w:after="60"/>
      <w:ind w:left="1361" w:hanging="340"/>
    </w:pPr>
  </w:style>
  <w:style w:type="paragraph" w:styleId="List5">
    <w:name w:val="List 5"/>
    <w:basedOn w:val="BodyText"/>
    <w:rsid w:val="00CC2888"/>
    <w:pPr>
      <w:tabs>
        <w:tab w:val="left" w:pos="1701"/>
      </w:tabs>
      <w:spacing w:before="60" w:after="60"/>
      <w:ind w:left="1701" w:hanging="340"/>
    </w:pPr>
  </w:style>
  <w:style w:type="paragraph" w:styleId="ListBullet4">
    <w:name w:val="List Bullet 4"/>
    <w:basedOn w:val="List4"/>
    <w:rsid w:val="00CC2888"/>
    <w:pPr>
      <w:numPr>
        <w:numId w:val="4"/>
      </w:numPr>
    </w:pPr>
  </w:style>
  <w:style w:type="paragraph" w:styleId="ListBullet5">
    <w:name w:val="List Bullet 5"/>
    <w:basedOn w:val="List5"/>
    <w:rsid w:val="00CC2888"/>
    <w:pPr>
      <w:numPr>
        <w:numId w:val="5"/>
      </w:numPr>
    </w:pPr>
  </w:style>
  <w:style w:type="paragraph" w:styleId="ListContinue2">
    <w:name w:val="List Continue 2"/>
    <w:basedOn w:val="List2"/>
    <w:rsid w:val="00CC2888"/>
    <w:pPr>
      <w:ind w:firstLine="0"/>
    </w:pPr>
  </w:style>
  <w:style w:type="paragraph" w:styleId="ListContinue3">
    <w:name w:val="List Continue 3"/>
    <w:basedOn w:val="List3"/>
    <w:rsid w:val="00CC2888"/>
    <w:pPr>
      <w:ind w:left="1021" w:firstLine="0"/>
    </w:pPr>
  </w:style>
  <w:style w:type="paragraph" w:styleId="ListContinue4">
    <w:name w:val="List Continue 4"/>
    <w:basedOn w:val="List4"/>
    <w:rsid w:val="00CC2888"/>
    <w:pPr>
      <w:ind w:firstLine="0"/>
    </w:pPr>
  </w:style>
  <w:style w:type="paragraph" w:styleId="ListContinue5">
    <w:name w:val="List Continue 5"/>
    <w:basedOn w:val="List5"/>
    <w:rsid w:val="00CC2888"/>
    <w:pPr>
      <w:ind w:firstLine="0"/>
    </w:pPr>
  </w:style>
  <w:style w:type="paragraph" w:styleId="ListNumber3">
    <w:name w:val="List Number 3"/>
    <w:basedOn w:val="List3"/>
    <w:rsid w:val="00CC2888"/>
    <w:pPr>
      <w:numPr>
        <w:numId w:val="6"/>
      </w:numPr>
    </w:pPr>
  </w:style>
  <w:style w:type="paragraph" w:styleId="ListNumber4">
    <w:name w:val="List Number 4"/>
    <w:basedOn w:val="List4"/>
    <w:rsid w:val="00CC2888"/>
    <w:pPr>
      <w:numPr>
        <w:numId w:val="7"/>
      </w:numPr>
    </w:pPr>
  </w:style>
  <w:style w:type="paragraph" w:styleId="ListNumber5">
    <w:name w:val="List Number 5"/>
    <w:basedOn w:val="List5"/>
    <w:rsid w:val="00CC2888"/>
    <w:pPr>
      <w:numPr>
        <w:numId w:val="8"/>
      </w:numPr>
    </w:pPr>
  </w:style>
  <w:style w:type="paragraph" w:styleId="BlockText">
    <w:name w:val="Block Text"/>
    <w:basedOn w:val="Normal"/>
    <w:rsid w:val="00CC2888"/>
    <w:pPr>
      <w:spacing w:after="120"/>
      <w:ind w:left="1440" w:right="1440"/>
    </w:pPr>
  </w:style>
  <w:style w:type="character" w:customStyle="1" w:styleId="Subscript">
    <w:name w:val="Subscript"/>
    <w:basedOn w:val="DefaultParagraphFont"/>
    <w:rsid w:val="00CC2888"/>
    <w:rPr>
      <w:sz w:val="16"/>
      <w:vertAlign w:val="subscript"/>
    </w:rPr>
  </w:style>
  <w:style w:type="character" w:customStyle="1" w:styleId="Superscript">
    <w:name w:val="Superscript"/>
    <w:basedOn w:val="DefaultParagraphFont"/>
    <w:rsid w:val="00CC2888"/>
    <w:rPr>
      <w:sz w:val="16"/>
      <w:vertAlign w:val="superscript"/>
    </w:rPr>
  </w:style>
  <w:style w:type="character" w:customStyle="1" w:styleId="Symbols">
    <w:name w:val="Symbols"/>
    <w:basedOn w:val="DefaultParagraphFont"/>
    <w:rsid w:val="00CC2888"/>
    <w:rPr>
      <w:rFonts w:ascii="Symbol" w:hAnsi="Symbol"/>
    </w:rPr>
  </w:style>
  <w:style w:type="character" w:customStyle="1" w:styleId="MenuOptions">
    <w:name w:val="Menu Options"/>
    <w:basedOn w:val="DefaultParagraphFont"/>
    <w:rsid w:val="00CC2888"/>
    <w:rPr>
      <w:rFonts w:ascii="Arial Narrow" w:hAnsi="Arial Narrow"/>
      <w:smallCaps/>
    </w:rPr>
  </w:style>
  <w:style w:type="character" w:customStyle="1" w:styleId="Buttons">
    <w:name w:val="Buttons"/>
    <w:basedOn w:val="DefaultParagraphFont"/>
    <w:rsid w:val="00CC2888"/>
    <w:rPr>
      <w:b/>
    </w:rPr>
  </w:style>
  <w:style w:type="character" w:customStyle="1" w:styleId="Underlined">
    <w:name w:val="Underlined"/>
    <w:basedOn w:val="DefaultParagraphFont"/>
    <w:rsid w:val="00CC2888"/>
    <w:rPr>
      <w:u w:val="single"/>
    </w:rPr>
  </w:style>
  <w:style w:type="paragraph" w:customStyle="1" w:styleId="TableBodyTextRight">
    <w:name w:val="Table Body Text Right"/>
    <w:basedOn w:val="TableBodyText"/>
    <w:rsid w:val="00CC2888"/>
    <w:pPr>
      <w:widowControl w:val="0"/>
      <w:autoSpaceDE w:val="0"/>
      <w:autoSpaceDN w:val="0"/>
      <w:adjustRightInd w:val="0"/>
      <w:jc w:val="right"/>
    </w:pPr>
    <w:rPr>
      <w:rFonts w:cs="Arial"/>
      <w:szCs w:val="18"/>
    </w:rPr>
  </w:style>
  <w:style w:type="paragraph" w:customStyle="1" w:styleId="CopyrightText">
    <w:name w:val="Copyright Text"/>
    <w:basedOn w:val="BodyText"/>
    <w:rsid w:val="00CC2888"/>
    <w:rPr>
      <w:sz w:val="18"/>
    </w:rPr>
  </w:style>
  <w:style w:type="paragraph" w:customStyle="1" w:styleId="BodySmallRight">
    <w:name w:val="Body Small Right"/>
    <w:basedOn w:val="BodyTextRight"/>
    <w:rsid w:val="00CC2888"/>
    <w:rPr>
      <w:sz w:val="18"/>
      <w:szCs w:val="18"/>
    </w:rPr>
  </w:style>
  <w:style w:type="paragraph" w:customStyle="1" w:styleId="MarginEdition">
    <w:name w:val="Margin Edition"/>
    <w:basedOn w:val="MarginNote"/>
    <w:rsid w:val="00CC2888"/>
    <w:pPr>
      <w:spacing w:before="0" w:after="0"/>
    </w:pPr>
    <w:rPr>
      <w:rFonts w:ascii="Times New Roman" w:hAnsi="Times New Roman"/>
      <w:color w:val="999999"/>
    </w:rPr>
  </w:style>
  <w:style w:type="paragraph" w:customStyle="1" w:styleId="Spacer">
    <w:name w:val="Spacer"/>
    <w:basedOn w:val="Normal"/>
    <w:rsid w:val="00CC2888"/>
    <w:rPr>
      <w:sz w:val="2"/>
      <w:szCs w:val="2"/>
    </w:rPr>
  </w:style>
  <w:style w:type="character" w:customStyle="1" w:styleId="Small">
    <w:name w:val="Small"/>
    <w:basedOn w:val="DefaultParagraphFont"/>
    <w:rsid w:val="00CC2888"/>
    <w:rPr>
      <w:sz w:val="16"/>
    </w:rPr>
  </w:style>
  <w:style w:type="paragraph" w:customStyle="1" w:styleId="WideTable">
    <w:name w:val="Wide Table"/>
    <w:basedOn w:val="Normal"/>
    <w:rsid w:val="00CC2888"/>
    <w:pPr>
      <w:ind w:left="-1418"/>
    </w:pPr>
    <w:rPr>
      <w:sz w:val="2"/>
      <w:szCs w:val="2"/>
    </w:rPr>
  </w:style>
  <w:style w:type="character" w:styleId="PageNumber">
    <w:name w:val="page number"/>
    <w:basedOn w:val="DefaultParagraphFont"/>
    <w:rsid w:val="00CC2888"/>
  </w:style>
  <w:style w:type="paragraph" w:styleId="Quote">
    <w:name w:val="Quote"/>
    <w:basedOn w:val="Heading1"/>
    <w:link w:val="QuoteChar"/>
    <w:qFormat/>
    <w:rsid w:val="00CC2888"/>
    <w:rPr>
      <w:b w:val="0"/>
      <w:sz w:val="72"/>
      <w:szCs w:val="72"/>
      <w:lang w:val="en-NZ"/>
    </w:rPr>
  </w:style>
  <w:style w:type="character" w:customStyle="1" w:styleId="QuoteChar">
    <w:name w:val="Quote Char"/>
    <w:basedOn w:val="DefaultParagraphFont"/>
    <w:link w:val="Quote"/>
    <w:rsid w:val="00CC2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888"/>
    <w:pPr>
      <w:pageBreakBefore/>
    </w:pPr>
  </w:style>
  <w:style w:type="paragraph" w:customStyle="1" w:styleId="Border">
    <w:name w:val="Border"/>
    <w:basedOn w:val="Normal"/>
    <w:qFormat/>
    <w:rsid w:val="00CC2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888"/>
    <w:rPr>
      <w:b/>
      <w:bCs/>
      <w:i/>
      <w:iCs/>
      <w:color w:val="auto"/>
    </w:rPr>
  </w:style>
  <w:style w:type="paragraph" w:styleId="IntenseQuote">
    <w:name w:val="Intense Quote"/>
    <w:basedOn w:val="Normal"/>
    <w:next w:val="Normal"/>
    <w:link w:val="IntenseQuoteChar"/>
    <w:uiPriority w:val="30"/>
    <w:qFormat/>
    <w:rsid w:val="00CC2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888"/>
    <w:rPr>
      <w:smallCaps/>
      <w:color w:val="auto"/>
      <w:u w:val="single"/>
    </w:rPr>
  </w:style>
  <w:style w:type="character" w:styleId="IntenseReference">
    <w:name w:val="Intense Reference"/>
    <w:basedOn w:val="DefaultParagraphFont"/>
    <w:uiPriority w:val="32"/>
    <w:qFormat/>
    <w:rsid w:val="00CC2888"/>
    <w:rPr>
      <w:b/>
      <w:bCs/>
      <w:smallCaps/>
      <w:color w:val="auto"/>
      <w:spacing w:val="5"/>
      <w:u w:val="single"/>
    </w:rPr>
  </w:style>
  <w:style w:type="paragraph" w:customStyle="1" w:styleId="2ColumnHeading">
    <w:name w:val="2Column Heading"/>
    <w:basedOn w:val="BodyText"/>
    <w:qFormat/>
    <w:rsid w:val="00CC2888"/>
    <w:pPr>
      <w:spacing w:after="60"/>
      <w:ind w:left="-2268"/>
    </w:pPr>
    <w:rPr>
      <w:b/>
    </w:rPr>
  </w:style>
  <w:style w:type="paragraph" w:customStyle="1" w:styleId="Heading1TOC">
    <w:name w:val="Heading1 TOC"/>
    <w:basedOn w:val="Normal"/>
    <w:qFormat/>
    <w:rsid w:val="00CC2888"/>
    <w:pPr>
      <w:spacing w:before="240" w:after="120"/>
    </w:pPr>
    <w:rPr>
      <w:rFonts w:ascii="Times New Roman" w:hAnsi="Times New Roman"/>
      <w:b/>
      <w:sz w:val="32"/>
    </w:rPr>
  </w:style>
  <w:style w:type="paragraph" w:customStyle="1" w:styleId="Heading2TOC">
    <w:name w:val="Heading2 TOC"/>
    <w:basedOn w:val="Normal"/>
    <w:qFormat/>
    <w:rsid w:val="00CC2888"/>
    <w:pPr>
      <w:spacing w:before="240" w:after="60"/>
    </w:pPr>
    <w:rPr>
      <w:rFonts w:ascii="Times New Roman" w:hAnsi="Times New Roman"/>
      <w:b/>
      <w:sz w:val="28"/>
    </w:rPr>
  </w:style>
  <w:style w:type="character" w:customStyle="1" w:styleId="Underline">
    <w:name w:val="Underline"/>
    <w:basedOn w:val="DefaultParagraphFont"/>
    <w:qFormat/>
    <w:rsid w:val="00CC2888"/>
    <w:rPr>
      <w:u w:val="single"/>
    </w:rPr>
  </w:style>
  <w:style w:type="character" w:customStyle="1" w:styleId="BoldandItalics">
    <w:name w:val="Bold and Italics"/>
    <w:qFormat/>
    <w:rsid w:val="00CC2888"/>
    <w:rPr>
      <w:b/>
      <w:i/>
      <w:u w:val="none"/>
    </w:rPr>
  </w:style>
  <w:style w:type="paragraph" w:styleId="BalloonText">
    <w:name w:val="Balloon Text"/>
    <w:basedOn w:val="Normal"/>
    <w:link w:val="BalloonTextChar"/>
    <w:rsid w:val="00CC2888"/>
    <w:rPr>
      <w:rFonts w:ascii="Tahoma" w:hAnsi="Tahoma" w:cs="Tahoma"/>
      <w:sz w:val="16"/>
      <w:szCs w:val="16"/>
    </w:rPr>
  </w:style>
  <w:style w:type="character" w:customStyle="1" w:styleId="BalloonTextChar">
    <w:name w:val="Balloon Text Char"/>
    <w:basedOn w:val="DefaultParagraphFont"/>
    <w:link w:val="BalloonText"/>
    <w:rsid w:val="00CC2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8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888"/>
    <w:rPr>
      <w:b/>
      <w:color w:val="660033"/>
      <w:spacing w:val="0"/>
    </w:rPr>
  </w:style>
  <w:style w:type="paragraph" w:customStyle="1" w:styleId="Nameditemlist">
    <w:name w:val="Named item list"/>
    <w:basedOn w:val="BodyText"/>
    <w:qFormat/>
    <w:rsid w:val="00CC28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2100</Words>
  <Characters>12572</Characters>
  <Application>Microsoft Office Word</Application>
  <DocSecurity>0</DocSecurity>
  <Lines>517</Lines>
  <Paragraphs>226</Paragraphs>
  <ScaleCrop>false</ScaleCrop>
  <Company>Author-it Software Corporation Ltd.</Company>
  <LinksUpToDate>false</LinksUpToDate>
  <CharactersWithSpaces>14509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UEENEEI142A Develop an electrical integrated system interface for access through a touch screen</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2013-03-07T18:15:00Z</dcterms:created>
  <dcterms:modified xsi:type="dcterms:W3CDTF">2013-03-07T18:15:00Z</dcterms:modified>
</cp:coreProperties>
</file>