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AE3" w:rsidP="00FF7AE3">
      <w:pPr>
        <w:pStyle w:val="Title"/>
      </w:pPr>
      <w:bookmarkStart w:id="0" w:name="_GoBack"/>
      <w:bookmarkEnd w:id="0"/>
      <w:r>
        <w:fldChar w:fldCharType="begin"/>
      </w:r>
      <w:r>
        <w:instrText xml:space="preserve"> TITLE   \* MERGEFORMAT </w:instrText>
      </w:r>
      <w:r>
        <w:fldChar w:fldCharType="separate"/>
      </w:r>
      <w:r>
        <w:t>UEENEEI139A Diagnose and rectify faults in digital controls systems</w:t>
      </w:r>
      <w:r>
        <w:fldChar w:fldCharType="end"/>
      </w:r>
    </w:p>
    <w:p w:rsidR="00FF7AE3" w:rsidP="00FF7AE3">
      <w:pPr>
        <w:pStyle w:val="Version"/>
        <w:sectPr w:rsidSect="00F63F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3F06" w:rsidP="00F63F06">
      <w:pPr>
        <w:pStyle w:val="SuperHeading"/>
      </w:pPr>
      <w:r w:rsidRPr="00F63F06">
        <w:t>UEENEEI139A Diagnose and rectify faults in digital controls systems</w:t>
      </w:r>
    </w:p>
    <w:p w:rsidR="00000000" w:rsidRPr="00F63F06" w:rsidP="00F63F06">
      <w:pPr>
        <w:pStyle w:val="Heading1"/>
      </w:pPr>
      <w:bookmarkStart w:id="1" w:name="O_534153"/>
      <w:bookmarkEnd w:id="1"/>
      <w:r w:rsidRPr="00F63F06">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FF7AE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06">
            <w:pPr>
              <w:pStyle w:val="BodyText"/>
              <w:rPr>
                <w:lang w:val="en-NZ"/>
              </w:rPr>
            </w:pPr>
            <w:r w:rsidRPr="00F63F06">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06">
            <w:pPr>
              <w:pStyle w:val="BodyText"/>
              <w:rPr>
                <w:lang w:val="en-NZ"/>
              </w:rPr>
            </w:pPr>
            <w:r w:rsidRPr="00F63F06">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06">
            <w:pPr>
              <w:pStyle w:val="BodyText"/>
              <w:rPr>
                <w:lang w:val="en-NZ"/>
              </w:rPr>
            </w:pPr>
            <w:r w:rsidRPr="00F63F06">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06">
            <w:pPr>
              <w:pStyle w:val="BodyText"/>
              <w:rPr>
                <w:lang w:val="en-NZ"/>
              </w:rPr>
            </w:pPr>
            <w:r w:rsidRPr="00F63F06">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06">
            <w:pPr>
              <w:pStyle w:val="BodyText"/>
              <w:rPr>
                <w:lang w:val="en-NZ"/>
              </w:rPr>
            </w:pPr>
            <w:r w:rsidRPr="00F63F06">
              <w:t>Points</w:t>
            </w:r>
          </w:p>
        </w:tc>
      </w:tr>
      <w:tr w:rsidTr="00FF7AE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06">
            <w:pPr>
              <w:pStyle w:val="BodyText"/>
              <w:rPr>
                <w:lang w:val="en-NZ"/>
              </w:rPr>
            </w:pPr>
            <w:r w:rsidRPr="00F63F0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06">
            <w:pPr>
              <w:pStyle w:val="BodyText"/>
              <w:rPr>
                <w:lang w:val="en-NZ"/>
              </w:rPr>
            </w:pPr>
            <w:r w:rsidRPr="00F63F06">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06">
            <w:pPr>
              <w:pStyle w:val="BodyText"/>
              <w:rPr>
                <w:lang w:val="en-NZ"/>
              </w:rPr>
            </w:pPr>
            <w:r w:rsidRPr="00F63F06">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06">
            <w:pPr>
              <w:pStyle w:val="BodyText"/>
              <w:rPr>
                <w:lang w:val="en-NZ"/>
              </w:rPr>
            </w:pPr>
            <w:r w:rsidRPr="00F63F06">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06">
            <w:pPr>
              <w:pStyle w:val="BodyText"/>
              <w:rPr>
                <w:lang w:val="en-NZ"/>
              </w:rPr>
            </w:pPr>
          </w:p>
        </w:tc>
      </w:tr>
      <w:tr w:rsidTr="00FF7AE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06">
            <w:pPr>
              <w:pStyle w:val="BodyText"/>
              <w:rPr>
                <w:lang w:val="en-NZ"/>
              </w:rPr>
            </w:pPr>
            <w:r w:rsidRPr="00F63F0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06">
            <w:pPr>
              <w:pStyle w:val="BodyText"/>
              <w:rPr>
                <w:lang w:val="en-NZ"/>
              </w:rPr>
            </w:pPr>
            <w:r w:rsidRPr="00F63F06">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06">
            <w:pPr>
              <w:pStyle w:val="BodyText"/>
              <w:rPr>
                <w:lang w:val="en-NZ"/>
              </w:rPr>
            </w:pPr>
            <w:r w:rsidRPr="00F63F06">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06">
            <w:pPr>
              <w:pStyle w:val="BodyText"/>
              <w:rPr>
                <w:lang w:val="en-NZ"/>
              </w:rPr>
            </w:pPr>
            <w:r w:rsidRPr="00F63F06">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06">
            <w:pPr>
              <w:pStyle w:val="BodyText"/>
              <w:rPr>
                <w:lang w:val="en-NZ"/>
              </w:rPr>
            </w:pPr>
          </w:p>
        </w:tc>
      </w:tr>
      <w:tr w:rsidTr="00FF7AE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06">
            <w:pPr>
              <w:pStyle w:val="BodyText"/>
              <w:rPr>
                <w:lang w:val="en-NZ"/>
              </w:rPr>
            </w:pPr>
            <w:r w:rsidRPr="00F63F06">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06">
            <w:pPr>
              <w:pStyle w:val="BodyText"/>
              <w:rPr>
                <w:lang w:val="en-NZ"/>
              </w:rPr>
            </w:pPr>
            <w:r w:rsidRPr="00F63F06">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06">
            <w:pPr>
              <w:pStyle w:val="BodyText"/>
              <w:rPr>
                <w:lang w:val="en-NZ"/>
              </w:rPr>
            </w:pPr>
            <w:r w:rsidRPr="00F63F06">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F06">
            <w:pPr>
              <w:pStyle w:val="BodyText"/>
              <w:rPr>
                <w:lang w:val="en-NZ"/>
              </w:rPr>
            </w:pPr>
            <w:r w:rsidRPr="00F63F06">
              <w:t xml:space="preserve">Inserted topic numbering in Required Skills and Knowledge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F06" w:rsidP="00F63F06">
            <w:pPr>
              <w:pStyle w:val="BodyText"/>
            </w:pPr>
          </w:p>
        </w:tc>
      </w:tr>
    </w:tbl>
    <w:p w:rsidR="00000000" w:rsidRPr="00F63F06" w:rsidP="00F63F06">
      <w:pPr>
        <w:pStyle w:val="BodyText"/>
      </w:pPr>
    </w:p>
    <w:p w:rsidR="00000000" w:rsidRPr="00F63F06" w:rsidP="00F63F06">
      <w:pPr>
        <w:pStyle w:val="AllowPageBreak"/>
      </w:pPr>
    </w:p>
    <w:p w:rsidR="00000000" w:rsidRPr="00F63F06" w:rsidP="00F63F06">
      <w:pPr>
        <w:pStyle w:val="Heading1"/>
      </w:pPr>
      <w:bookmarkStart w:id="2" w:name="O_534152"/>
      <w:bookmarkEnd w:id="2"/>
      <w:r w:rsidRPr="00F63F06">
        <w:t>Unit Descriptor</w:t>
      </w:r>
    </w:p>
    <w:tbl>
      <w:tblPr>
        <w:tblW w:w="0" w:type="auto"/>
        <w:tblLayout w:type="fixed"/>
        <w:tblCellMar>
          <w:left w:w="62" w:type="dxa"/>
          <w:right w:w="62" w:type="dxa"/>
        </w:tblCellMar>
        <w:tblLook w:val="0000"/>
      </w:tblPr>
      <w:tblGrid>
        <w:gridCol w:w="2700"/>
        <w:gridCol w:w="5760"/>
      </w:tblGrid>
      <w:tr w:rsidTr="00FF7A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rPr>
                <w:rStyle w:val="SpecialBold"/>
              </w:rPr>
              <w:t>1)</w:t>
            </w:r>
            <w:r w:rsidRPr="00F63F06">
              <w:t xml:space="preserve"> </w:t>
            </w:r>
            <w:r w:rsidRPr="00F63F06">
              <w:rPr>
                <w:rStyle w:val="SpecialBold"/>
              </w:rPr>
              <w:t>Scope:</w:t>
            </w:r>
          </w:p>
        </w:tc>
      </w:tr>
      <w:tr w:rsidTr="00FF7A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63F0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rPr>
                <w:rStyle w:val="SpecialBold"/>
              </w:rPr>
              <w:t>1.1) Descriptor</w:t>
            </w:r>
          </w:p>
        </w:tc>
      </w:tr>
      <w:tr w:rsidTr="00FF7A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t>This unit covers diagnosing and rectifying faults in digital components of electronic control systems. The unit encompasses safe working practices, interpreting diagrams and technical data, applying knowledge of digital systems to logical fault finding pro</w:t>
            </w:r>
            <w:r w:rsidRPr="00F63F06">
              <w:t>cesses, implementing fault rectification, safety and functional testing and reporting work activities and outcomes.</w:t>
            </w:r>
          </w:p>
        </w:tc>
      </w:tr>
    </w:tbl>
    <w:p w:rsidR="00000000" w:rsidRPr="00F63F06" w:rsidP="00F63F06">
      <w:pPr>
        <w:pStyle w:val="BodyText"/>
      </w:pPr>
    </w:p>
    <w:p w:rsidR="00000000" w:rsidRPr="00F63F06" w:rsidP="00F63F06">
      <w:pPr>
        <w:pStyle w:val="AllowPageBreak"/>
      </w:pPr>
    </w:p>
    <w:p w:rsidR="00000000" w:rsidRPr="00F63F06" w:rsidP="00F63F06">
      <w:pPr>
        <w:pStyle w:val="Heading1"/>
      </w:pPr>
      <w:bookmarkStart w:id="3" w:name="O_534151"/>
      <w:bookmarkEnd w:id="3"/>
      <w:r w:rsidRPr="00F63F06">
        <w:t>Application of the Unit</w:t>
      </w:r>
    </w:p>
    <w:tbl>
      <w:tblPr>
        <w:tblW w:w="0" w:type="auto"/>
        <w:tblLayout w:type="fixed"/>
        <w:tblCellMar>
          <w:left w:w="62" w:type="dxa"/>
          <w:right w:w="62" w:type="dxa"/>
        </w:tblCellMar>
        <w:tblLook w:val="0000"/>
      </w:tblPr>
      <w:tblGrid>
        <w:gridCol w:w="2672"/>
        <w:gridCol w:w="5699"/>
      </w:tblGrid>
      <w:tr w:rsidTr="00FF7AE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rPr>
                <w:rStyle w:val="SpecialBold"/>
              </w:rPr>
              <w:t>2)</w:t>
            </w:r>
          </w:p>
        </w:tc>
      </w:tr>
      <w:tr w:rsidTr="00FF7AE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t>This unit is intended as an additional competency to relevant compet</w:t>
            </w:r>
            <w:r w:rsidRPr="00F63F06">
              <w:t>encies previously acquired. It is suitable for employment-based programs under an approved contract of training at the aligned AQF 4 level or higher.</w:t>
            </w:r>
          </w:p>
        </w:tc>
      </w:tr>
    </w:tbl>
    <w:p w:rsidR="00000000" w:rsidRPr="00F63F06" w:rsidP="00F63F06">
      <w:pPr>
        <w:pStyle w:val="BodyText"/>
      </w:pPr>
    </w:p>
    <w:p w:rsidR="00000000" w:rsidRPr="00F63F06" w:rsidP="00F63F06">
      <w:pPr>
        <w:pStyle w:val="AllowPageBreak"/>
      </w:pPr>
    </w:p>
    <w:p w:rsidR="00000000" w:rsidRPr="00F63F06" w:rsidP="00F63F06">
      <w:pPr>
        <w:pStyle w:val="Heading1"/>
      </w:pPr>
      <w:bookmarkStart w:id="4" w:name="O_534150"/>
      <w:bookmarkEnd w:id="4"/>
      <w:r w:rsidRPr="00F63F06">
        <w:t>Licensing/Regulatory Information</w:t>
      </w:r>
    </w:p>
    <w:tbl>
      <w:tblPr>
        <w:tblW w:w="0" w:type="auto"/>
        <w:tblLayout w:type="fixed"/>
        <w:tblCellMar>
          <w:left w:w="62" w:type="dxa"/>
          <w:right w:w="62" w:type="dxa"/>
        </w:tblCellMar>
        <w:tblLook w:val="0000"/>
      </w:tblPr>
      <w:tblGrid>
        <w:gridCol w:w="2700"/>
        <w:gridCol w:w="5760"/>
      </w:tblGrid>
      <w:tr w:rsidTr="00FF7A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rPr>
                <w:rStyle w:val="SpecialBold"/>
              </w:rPr>
              <w:t xml:space="preserve">3) </w:t>
            </w:r>
          </w:p>
        </w:tc>
      </w:tr>
      <w:tr w:rsidTr="00FF7A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t>The skills and knowledge described in this unit require a license to practice in the workplace where plant and equipment operate at voltage above 50 V a.c. or 120 V d.c. However other conditions may apply in some jurisdictions subject to regulations relate</w:t>
            </w:r>
            <w:r w:rsidRPr="00F63F06">
              <w:t>d to electrical work. Practice in the workplace and during training is also subject to regulations directly related to occupational health and safety and where applicable contracts of training such as apprenticeships.</w:t>
            </w:r>
          </w:p>
          <w:p w:rsidR="00000000" w:rsidRPr="00F63F06" w:rsidP="00F63F06">
            <w:pPr>
              <w:pStyle w:val="BodyText"/>
            </w:pPr>
            <w:r w:rsidRPr="00F63F06">
              <w:t xml:space="preserve">Note: </w:t>
            </w:r>
          </w:p>
          <w:p w:rsidR="00000000" w:rsidRPr="00F63F06" w:rsidP="00F63F06">
            <w:pPr>
              <w:pStyle w:val="BodyText"/>
            </w:pPr>
            <w:r w:rsidRPr="00F63F06">
              <w:t xml:space="preserve">1. Compliance with permits may </w:t>
            </w:r>
            <w:r w:rsidRPr="00F63F06">
              <w:t>be required in various jurisdictions and typically relates to the operation of plant, machinery and equipment such as elevating work platforms, powder operated fixing tools, power operated tools, vehicles, road signage and traffic control, lifting equipmen</w:t>
            </w:r>
            <w:r w:rsidRPr="00F63F06">
              <w:t>t and the like. Permits may also be required for some work environments such as confined spaces, working aloft, near live electrical apparatus and site rehabilitation.</w:t>
            </w:r>
          </w:p>
          <w:p w:rsidR="00000000" w:rsidRPr="00F63F06" w:rsidP="00F63F06">
            <w:pPr>
              <w:pStyle w:val="BodyText"/>
            </w:pPr>
            <w:r w:rsidRPr="00F63F06">
              <w:t>2. Compliance may be required in various jurisdictions relating to currency in First Aid</w:t>
            </w:r>
            <w:r w:rsidRPr="00F63F06">
              <w:t>, confined space, lifting and risk safety measures.</w:t>
            </w:r>
          </w:p>
        </w:tc>
      </w:tr>
    </w:tbl>
    <w:p w:rsidR="00000000" w:rsidRPr="00F63F06" w:rsidP="00F63F06">
      <w:pPr>
        <w:pStyle w:val="BodyText"/>
      </w:pPr>
    </w:p>
    <w:p w:rsidR="00000000" w:rsidRPr="00F63F06" w:rsidP="00F63F06">
      <w:pPr>
        <w:pStyle w:val="AllowPageBreak"/>
      </w:pPr>
    </w:p>
    <w:p w:rsidR="00000000" w:rsidRPr="00F63F06" w:rsidP="00F63F06">
      <w:pPr>
        <w:pStyle w:val="Heading1"/>
      </w:pPr>
      <w:bookmarkStart w:id="5" w:name="O_534149"/>
      <w:bookmarkEnd w:id="5"/>
      <w:r w:rsidRPr="00F63F06">
        <w:t>Pre-Requisites</w:t>
      </w:r>
    </w:p>
    <w:tbl>
      <w:tblPr>
        <w:tblW w:w="0" w:type="auto"/>
        <w:tblLayout w:type="fixed"/>
        <w:tblCellMar>
          <w:left w:w="62" w:type="dxa"/>
          <w:right w:w="62" w:type="dxa"/>
        </w:tblCellMar>
        <w:tblLook w:val="0000"/>
      </w:tblPr>
      <w:tblGrid>
        <w:gridCol w:w="2638"/>
        <w:gridCol w:w="1800"/>
        <w:gridCol w:w="3960"/>
      </w:tblGrid>
      <w:tr w:rsidTr="00F63F06">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rPr>
                <w:rStyle w:val="SpecialBold"/>
              </w:rPr>
              <w:t xml:space="preserve">4) </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rPr>
                <w:rStyle w:val="SpecialBold"/>
              </w:rPr>
              <w:t>4.1)</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t>Granting of competency in this unit shall be made only after competency in the following unit(s) has/have been confirmed.</w:t>
            </w:r>
          </w:p>
          <w:p w:rsidR="00000000" w:rsidRPr="00F63F06" w:rsidP="00F63F06">
            <w:pPr>
              <w:pStyle w:val="BodyText"/>
            </w:pPr>
            <w:r w:rsidRPr="00F63F06">
              <w:t>Where pre-requisite pathways have been identified. All competencies in the Common Unit Group must be have been completed plus all the competencies in one (1) of the identified Pathway Unit Group(s):</w:t>
            </w:r>
          </w:p>
          <w:p w:rsidR="00000000" w:rsidRPr="00F63F06" w:rsidP="00F63F06">
            <w:pPr>
              <w:pStyle w:val="BodyText"/>
            </w:pPr>
            <w:r w:rsidRPr="00F63F06">
              <w:t>Instrumentation and Control</w:t>
            </w:r>
          </w:p>
          <w:p w:rsidR="00000000" w:rsidP="00F63F06">
            <w:pPr>
              <w:pStyle w:val="BodyText"/>
              <w:rPr>
                <w:lang w:val="en-NZ"/>
              </w:rPr>
            </w:pPr>
            <w:r w:rsidRPr="00F63F06">
              <w:t>Electrical</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Common Unit Gro</w:t>
            </w:r>
            <w:r w:rsidRPr="00F63F06">
              <w:t>up</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Unit Code</w:t>
            </w:r>
          </w:p>
        </w:tc>
        <w:tc>
          <w:tcPr>
            <w:tcW w:w="39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Unit Title</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F63F06">
            <w:pPr>
              <w:pStyle w:val="BodyText"/>
              <w:rPr>
                <w:lang w:val="en-NZ"/>
              </w:rPr>
            </w:pPr>
            <w:r w:rsidRPr="00F63F06">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F63F06">
            <w:pPr>
              <w:pStyle w:val="BodyText"/>
              <w:rPr>
                <w:lang w:val="en-NZ"/>
              </w:rPr>
            </w:pPr>
            <w:r w:rsidRPr="00F63F06">
              <w:t>Apply Occupational Health and Safety regulations, codes and practices in the workplace</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UEENEEE104A</w:t>
            </w:r>
          </w:p>
        </w:tc>
        <w:tc>
          <w:tcPr>
            <w:tcW w:w="3960" w:type="dxa"/>
            <w:tcBorders>
              <w:top w:val="nil"/>
              <w:left w:val="nil"/>
              <w:bottom w:val="nil"/>
              <w:right w:val="nil"/>
            </w:tcBorders>
            <w:tcMar>
              <w:top w:w="0" w:type="dxa"/>
              <w:left w:w="62" w:type="dxa"/>
              <w:bottom w:w="0" w:type="dxa"/>
              <w:right w:w="62" w:type="dxa"/>
            </w:tcMar>
            <w:vAlign w:val="bottom"/>
          </w:tcPr>
          <w:p w:rsidR="00000000" w:rsidP="00F63F06">
            <w:pPr>
              <w:pStyle w:val="BodyText"/>
              <w:rPr>
                <w:lang w:val="en-NZ"/>
              </w:rPr>
            </w:pPr>
            <w:r w:rsidRPr="00F63F06">
              <w:t>Solve problems in d.c. Circuits</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F63F06">
            <w:pPr>
              <w:pStyle w:val="BodyText"/>
              <w:rPr>
                <w:lang w:val="en-NZ"/>
              </w:rPr>
            </w:pPr>
            <w:r w:rsidRPr="00F63F06">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F63F06">
            <w:pPr>
              <w:pStyle w:val="BodyText"/>
              <w:rPr>
                <w:lang w:val="en-NZ"/>
              </w:rPr>
            </w:pPr>
            <w:r w:rsidRPr="00F63F06">
              <w:t>Use drawings, diagrams, schedules, standards, codes and specifications</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Instrumentation and Control Pathway Group</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Unit Code</w:t>
            </w:r>
          </w:p>
        </w:tc>
        <w:tc>
          <w:tcPr>
            <w:tcW w:w="39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Unit Title</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 xml:space="preserve">UEENEEE119A </w:t>
            </w:r>
          </w:p>
        </w:tc>
        <w:tc>
          <w:tcPr>
            <w:tcW w:w="39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Solve problems in multiple path extra low voltage (ELV) a.c. circuits</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F63F06">
            <w:pPr>
              <w:pStyle w:val="BodyText"/>
              <w:rPr>
                <w:lang w:val="en-NZ"/>
              </w:rPr>
            </w:pPr>
            <w:r w:rsidRPr="00F63F06">
              <w:t>UEENEEI101A</w:t>
            </w:r>
          </w:p>
        </w:tc>
        <w:tc>
          <w:tcPr>
            <w:tcW w:w="39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Use instrumentation drawings, specification, standards and equipment manuals</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F63F06">
            <w:pPr>
              <w:pStyle w:val="BodyText"/>
              <w:rPr>
                <w:lang w:val="en-NZ"/>
              </w:rPr>
            </w:pPr>
            <w:r w:rsidRPr="00F63F06">
              <w:t>UEENEEI102A</w:t>
            </w:r>
          </w:p>
        </w:tc>
        <w:tc>
          <w:tcPr>
            <w:tcW w:w="39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Solve problems in pressure measurement components and systems</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F63F06">
            <w:pPr>
              <w:pStyle w:val="BodyText"/>
              <w:rPr>
                <w:lang w:val="en-NZ"/>
              </w:rPr>
            </w:pPr>
            <w:r w:rsidRPr="00F63F06">
              <w:t>UEENEEI103A</w:t>
            </w:r>
          </w:p>
        </w:tc>
        <w:tc>
          <w:tcPr>
            <w:tcW w:w="39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Solve problems in density/level measurement components and systems</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F63F06">
            <w:pPr>
              <w:pStyle w:val="BodyText"/>
              <w:rPr>
                <w:lang w:val="en-NZ"/>
              </w:rPr>
            </w:pPr>
            <w:r w:rsidRPr="00F63F06">
              <w:t>UEENEEI104A</w:t>
            </w:r>
          </w:p>
        </w:tc>
        <w:tc>
          <w:tcPr>
            <w:tcW w:w="39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Solve problems in flow measurement components and systems</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F63F06">
            <w:pPr>
              <w:pStyle w:val="BodyText"/>
              <w:rPr>
                <w:lang w:val="en-NZ"/>
              </w:rPr>
            </w:pPr>
            <w:r w:rsidRPr="00F63F06">
              <w:t>UEENEEI105A</w:t>
            </w:r>
          </w:p>
        </w:tc>
        <w:tc>
          <w:tcPr>
            <w:tcW w:w="39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Solve problems in temperature measurement components and systems</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UEENEEI106A</w:t>
            </w:r>
          </w:p>
        </w:tc>
        <w:tc>
          <w:tcPr>
            <w:tcW w:w="39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Set up and adjust PID control loops</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UEENEEI110A</w:t>
            </w:r>
          </w:p>
        </w:tc>
        <w:tc>
          <w:tcPr>
            <w:tcW w:w="39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Set up and adjust advanced PID process control loops</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UEENEEI112A</w:t>
            </w:r>
          </w:p>
        </w:tc>
        <w:tc>
          <w:tcPr>
            <w:tcW w:w="39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Verify compliance and functionality of instrumentation and control installations</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F63F06">
            <w:pPr>
              <w:pStyle w:val="BodyText"/>
              <w:rPr>
                <w:lang w:val="en-NZ"/>
              </w:rPr>
            </w:pPr>
            <w:r w:rsidRPr="00F63F06">
              <w:t>UEENEEI113A</w:t>
            </w:r>
          </w:p>
        </w:tc>
        <w:tc>
          <w:tcPr>
            <w:tcW w:w="39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Setup and configure Human-Machine Interface (HMI) and industrial networks</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F63F06">
            <w:pPr>
              <w:pStyle w:val="BodyText"/>
              <w:rPr>
                <w:lang w:val="en-NZ"/>
              </w:rPr>
            </w:pPr>
            <w:r w:rsidRPr="00F63F06">
              <w:t>Electrical Pathway Group</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Unit Code</w:t>
            </w:r>
          </w:p>
        </w:tc>
        <w:tc>
          <w:tcPr>
            <w:tcW w:w="39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Unit Title</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F63F06">
            <w:pPr>
              <w:pStyle w:val="BodyText"/>
              <w:rPr>
                <w:lang w:val="en-NZ"/>
              </w:rPr>
            </w:pPr>
            <w:r w:rsidRPr="00F63F06">
              <w:t>UEENEEE105A</w:t>
            </w:r>
          </w:p>
        </w:tc>
        <w:tc>
          <w:tcPr>
            <w:tcW w:w="39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Fix and secure electrotechnology equipment</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F63F06">
            <w:pPr>
              <w:pStyle w:val="BodyText"/>
              <w:rPr>
                <w:lang w:val="en-NZ"/>
              </w:rPr>
            </w:pPr>
            <w:r w:rsidRPr="00F63F06">
              <w:t>UEENEEG006A</w:t>
            </w:r>
          </w:p>
        </w:tc>
        <w:tc>
          <w:tcPr>
            <w:tcW w:w="39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Solve problems in single and three phase low voltage machines</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F63F06">
            <w:pPr>
              <w:pStyle w:val="BodyText"/>
              <w:rPr>
                <w:lang w:val="en-NZ"/>
              </w:rPr>
            </w:pPr>
            <w:r w:rsidRPr="00F63F06">
              <w:t>UEENEEG033A</w:t>
            </w:r>
          </w:p>
        </w:tc>
        <w:tc>
          <w:tcPr>
            <w:tcW w:w="39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Solve problems in single and three phase electrical apparatus and circuits</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F63F06">
            <w:pPr>
              <w:pStyle w:val="BodyText"/>
              <w:rPr>
                <w:lang w:val="en-NZ"/>
              </w:rPr>
            </w:pPr>
            <w:r w:rsidRPr="00F63F06">
              <w:t xml:space="preserve">UEENEEG063A </w:t>
            </w:r>
          </w:p>
        </w:tc>
        <w:tc>
          <w:tcPr>
            <w:tcW w:w="39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Arrange circuits, control and protection for general electrical installations</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F63F06">
            <w:pPr>
              <w:pStyle w:val="BodyText"/>
              <w:rPr>
                <w:lang w:val="en-NZ"/>
              </w:rPr>
            </w:pPr>
            <w:r w:rsidRPr="00F63F06">
              <w:t>UEENEEG101A</w:t>
            </w:r>
          </w:p>
        </w:tc>
        <w:tc>
          <w:tcPr>
            <w:tcW w:w="3960" w:type="dxa"/>
            <w:tcBorders>
              <w:top w:val="nil"/>
              <w:left w:val="nil"/>
              <w:bottom w:val="nil"/>
              <w:right w:val="nil"/>
            </w:tcBorders>
            <w:tcMar>
              <w:top w:w="0" w:type="dxa"/>
              <w:left w:w="62" w:type="dxa"/>
              <w:bottom w:w="0" w:type="dxa"/>
              <w:right w:w="62" w:type="dxa"/>
            </w:tcMar>
            <w:vAlign w:val="bottom"/>
          </w:tcPr>
          <w:p w:rsidR="00000000" w:rsidP="00F63F06">
            <w:pPr>
              <w:pStyle w:val="BodyText"/>
              <w:rPr>
                <w:lang w:val="en-NZ"/>
              </w:rPr>
            </w:pPr>
            <w:r w:rsidRPr="00F63F06">
              <w:t>Solve problems in electromagnetic devices and related circuits</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UEENEEG102A</w:t>
            </w:r>
          </w:p>
        </w:tc>
        <w:tc>
          <w:tcPr>
            <w:tcW w:w="39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Solve problems in low voltage a.c. circuits</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F63F06">
            <w:pPr>
              <w:pStyle w:val="BodyText"/>
              <w:rPr>
                <w:lang w:val="en-NZ"/>
              </w:rPr>
            </w:pPr>
            <w:r w:rsidRPr="00F63F06">
              <w:t>UEENEEG106A</w:t>
            </w:r>
          </w:p>
        </w:tc>
        <w:tc>
          <w:tcPr>
            <w:tcW w:w="39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Terminate cables, cords and accessories for low voltage circuits</w:t>
            </w:r>
          </w:p>
        </w:tc>
      </w:tr>
      <w:tr w:rsidTr="00F63F06">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UEENEEG108A</w:t>
            </w:r>
          </w:p>
        </w:tc>
        <w:tc>
          <w:tcPr>
            <w:tcW w:w="396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t xml:space="preserve">Trouble-shoot and repair faults in low voltage electrical apparatus and circuits </w:t>
            </w:r>
          </w:p>
        </w:tc>
      </w:tr>
    </w:tbl>
    <w:p w:rsidR="00000000" w:rsidRPr="00F63F06" w:rsidP="00F63F0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F7AE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rPr>
                <w:rStyle w:val="SpecialBold"/>
              </w:rPr>
              <w:t xml:space="preserve">4.2) </w:t>
            </w:r>
          </w:p>
        </w:tc>
      </w:tr>
      <w:tr w:rsidTr="00FF7AE3">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Participants are best equipped to achieve competency in this unit if they have reading, writing and numeracy skills indicated by the following scales. Description of each scale is given in Volume 2, Part 3 ‘Literacy and Numeracy’</w:t>
            </w:r>
          </w:p>
        </w:tc>
      </w:tr>
      <w:tr w:rsidTr="00FF7A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Reading</w:t>
            </w:r>
          </w:p>
        </w:tc>
        <w:tc>
          <w:tcPr>
            <w:tcW w:w="81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4</w:t>
            </w:r>
          </w:p>
        </w:tc>
        <w:tc>
          <w:tcPr>
            <w:tcW w:w="99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Writing</w:t>
            </w: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4</w:t>
            </w:r>
          </w:p>
        </w:tc>
        <w:tc>
          <w:tcPr>
            <w:tcW w:w="12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Numeracy</w:t>
            </w:r>
          </w:p>
        </w:tc>
        <w:tc>
          <w:tcPr>
            <w:tcW w:w="72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t>4</w:t>
            </w:r>
          </w:p>
        </w:tc>
      </w:tr>
    </w:tbl>
    <w:p w:rsidR="00000000" w:rsidRPr="00F63F06" w:rsidP="00F63F06">
      <w:pPr>
        <w:pStyle w:val="BodyText"/>
      </w:pPr>
    </w:p>
    <w:p w:rsidR="00000000" w:rsidRPr="00F63F06" w:rsidP="00F63F06">
      <w:pPr>
        <w:pStyle w:val="AllowPageBreak"/>
      </w:pPr>
    </w:p>
    <w:p w:rsidR="00000000" w:rsidRPr="00F63F06" w:rsidP="00F63F06">
      <w:pPr>
        <w:pStyle w:val="Heading1"/>
      </w:pPr>
      <w:bookmarkStart w:id="6" w:name="O_534148"/>
      <w:bookmarkEnd w:id="6"/>
      <w:r w:rsidRPr="00F63F06">
        <w:t>Employability Skills Information</w:t>
      </w:r>
    </w:p>
    <w:tbl>
      <w:tblPr>
        <w:tblW w:w="0" w:type="auto"/>
        <w:tblLayout w:type="fixed"/>
        <w:tblCellMar>
          <w:left w:w="62" w:type="dxa"/>
          <w:right w:w="62" w:type="dxa"/>
        </w:tblCellMar>
        <w:tblLook w:val="0000"/>
      </w:tblPr>
      <w:tblGrid>
        <w:gridCol w:w="2700"/>
        <w:gridCol w:w="5760"/>
      </w:tblGrid>
      <w:tr w:rsidTr="00FF7A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rPr>
                <w:rStyle w:val="SpecialBold"/>
              </w:rPr>
              <w:t xml:space="preserve">5) </w:t>
            </w:r>
          </w:p>
        </w:tc>
      </w:tr>
      <w:tr w:rsidTr="00FF7A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t>The required outcomes described in this unit of competency contain applicable facets of Employability Skills. The Employability Skills Summary of the qualification i</w:t>
            </w:r>
            <w:r w:rsidRPr="00F63F06">
              <w:t>n which this unit of competency is packaged will assist in identifying Employability Skill requirements.</w:t>
            </w:r>
          </w:p>
        </w:tc>
      </w:tr>
    </w:tbl>
    <w:p w:rsidR="00000000" w:rsidRPr="00F63F06" w:rsidP="00F63F06">
      <w:pPr>
        <w:pStyle w:val="BodyText"/>
      </w:pPr>
    </w:p>
    <w:p w:rsidR="00000000" w:rsidRPr="00F63F06" w:rsidP="00F63F06">
      <w:pPr>
        <w:pStyle w:val="AllowPageBreak"/>
      </w:pPr>
    </w:p>
    <w:p w:rsidR="00000000" w:rsidRPr="00F63F06" w:rsidP="00F63F06">
      <w:pPr>
        <w:pStyle w:val="Heading1"/>
      </w:pPr>
      <w:bookmarkStart w:id="7" w:name="O_534147"/>
      <w:bookmarkEnd w:id="7"/>
      <w:r w:rsidRPr="00F63F06">
        <w:t>Elements and Performance Criteria Pre-Content</w:t>
      </w:r>
    </w:p>
    <w:tbl>
      <w:tblPr>
        <w:tblW w:w="0" w:type="auto"/>
        <w:tblLayout w:type="fixed"/>
        <w:tblCellMar>
          <w:left w:w="62" w:type="dxa"/>
          <w:right w:w="62" w:type="dxa"/>
        </w:tblCellMar>
        <w:tblLook w:val="0000"/>
      </w:tblPr>
      <w:tblGrid>
        <w:gridCol w:w="2700"/>
        <w:gridCol w:w="5760"/>
      </w:tblGrid>
      <w:tr w:rsidTr="00FF7A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rPr>
                <w:rStyle w:val="SpecialBold"/>
              </w:rPr>
              <w:t>6)</w:t>
            </w:r>
            <w:r w:rsidRPr="00F63F0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t>Performance Criteria describe the required performance needed to demonstrate achievement of the element. Assessment of performance is to be consistent with the Evidence Guide.</w:t>
            </w:r>
          </w:p>
        </w:tc>
      </w:tr>
    </w:tbl>
    <w:p w:rsidR="00000000" w:rsidRPr="00F63F06" w:rsidP="00F63F06">
      <w:pPr>
        <w:pStyle w:val="BodyText"/>
      </w:pPr>
    </w:p>
    <w:p w:rsidR="00000000" w:rsidRPr="00F63F06" w:rsidP="00F63F06">
      <w:pPr>
        <w:pStyle w:val="AllowPageBreak"/>
      </w:pPr>
    </w:p>
    <w:p w:rsidR="00000000" w:rsidRPr="00F63F06" w:rsidP="00F63F06">
      <w:pPr>
        <w:pStyle w:val="Heading1"/>
      </w:pPr>
      <w:bookmarkStart w:id="8" w:name="O_534146"/>
      <w:bookmarkEnd w:id="8"/>
      <w:r w:rsidRPr="00F63F0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F7AE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rPr>
                <w:rStyle w:val="SpecialBold"/>
              </w:rPr>
              <w:t>PERFORMANCE CRITER</w:t>
            </w:r>
            <w:r w:rsidRPr="00F63F06">
              <w:rPr>
                <w:rStyle w:val="SpecialBold"/>
              </w:rPr>
              <w:t>IA</w:t>
            </w:r>
          </w:p>
        </w:tc>
      </w:tr>
      <w:tr w:rsidTr="00FF7AE3">
        <w:tblPrEx>
          <w:tblW w:w="0" w:type="auto"/>
          <w:tblLayout w:type="fixed"/>
          <w:tblCellMar>
            <w:left w:w="62" w:type="dxa"/>
            <w:right w:w="62" w:type="dxa"/>
          </w:tblCellMar>
          <w:tblLook w:val="0000"/>
        </w:tblPrEx>
        <w:trPr>
          <w:trHeight w:val="686"/>
        </w:trPr>
        <w:tc>
          <w:tcPr>
            <w:tcW w:w="404"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1</w:t>
            </w:r>
          </w:p>
        </w:tc>
        <w:tc>
          <w:tcPr>
            <w:tcW w:w="2296" w:type="dxa"/>
            <w:vMerge w:val="restart"/>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1.1</w:t>
            </w:r>
          </w:p>
        </w:tc>
        <w:tc>
          <w:tcPr>
            <w:tcW w:w="48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OHS procedures for a given work area are obtained and understood.</w:t>
            </w:r>
          </w:p>
        </w:tc>
      </w:tr>
      <w:tr w:rsidTr="00FF7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1.2</w:t>
            </w:r>
          </w:p>
        </w:tc>
        <w:tc>
          <w:tcPr>
            <w:tcW w:w="48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Established OHS risk control measures and procedures are followed in preparation for the work.</w:t>
            </w:r>
          </w:p>
        </w:tc>
      </w:tr>
      <w:tr w:rsidTr="00FF7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1.3</w:t>
            </w:r>
          </w:p>
        </w:tc>
        <w:tc>
          <w:tcPr>
            <w:tcW w:w="48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Safety hazards that have not previously been identified are documented and risk control measures devised and implemented in consultation with appropriate personnel.</w:t>
            </w:r>
          </w:p>
        </w:tc>
      </w:tr>
      <w:tr w:rsidTr="00FF7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1.4</w:t>
            </w:r>
          </w:p>
        </w:tc>
        <w:tc>
          <w:tcPr>
            <w:tcW w:w="48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The extent of faults is determined from reports and other documentation and fro disc</w:t>
            </w:r>
            <w:r w:rsidRPr="00F63F06">
              <w:t>ussion with appropriate personnel.</w:t>
            </w:r>
          </w:p>
        </w:tc>
      </w:tr>
      <w:tr w:rsidTr="00FF7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1.5</w:t>
            </w:r>
          </w:p>
        </w:tc>
        <w:tc>
          <w:tcPr>
            <w:tcW w:w="48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Appropriate personnel are consulted to ensure the work is co-ordinated effectively with others involved on the work site.</w:t>
            </w:r>
          </w:p>
        </w:tc>
      </w:tr>
      <w:tr w:rsidTr="00FF7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1.6</w:t>
            </w:r>
          </w:p>
        </w:tc>
        <w:tc>
          <w:tcPr>
            <w:tcW w:w="48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Tools, equipment and testing devices needed to diagnose faults are obtained in accordance with established procedures and checked for correct operation and safety.</w:t>
            </w:r>
          </w:p>
        </w:tc>
      </w:tr>
      <w:tr w:rsidTr="00FF7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2</w:t>
            </w:r>
          </w:p>
        </w:tc>
        <w:tc>
          <w:tcPr>
            <w:tcW w:w="2296" w:type="dxa"/>
            <w:vMerge w:val="restart"/>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Diagnose and rectify faults.</w:t>
            </w: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2.1</w:t>
            </w:r>
          </w:p>
        </w:tc>
        <w:tc>
          <w:tcPr>
            <w:tcW w:w="48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OHS risk control measures and procedures for carrying ou</w:t>
            </w:r>
            <w:r w:rsidRPr="00F63F06">
              <w:t>t the work are followed.</w:t>
            </w:r>
          </w:p>
        </w:tc>
      </w:tr>
      <w:tr w:rsidTr="00FF7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2.2</w:t>
            </w:r>
          </w:p>
        </w:tc>
        <w:tc>
          <w:tcPr>
            <w:tcW w:w="48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The need to test or measure live is determined in strict accordance with OHS requirements and when necessary conducted within established safety procedures.</w:t>
            </w:r>
          </w:p>
        </w:tc>
      </w:tr>
      <w:tr w:rsidTr="00FF7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2.3</w:t>
            </w:r>
          </w:p>
        </w:tc>
        <w:tc>
          <w:tcPr>
            <w:tcW w:w="48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Circuits/machines/plant are checked as being isolated where necessary in strict accordance OHS requirements and procedures.</w:t>
            </w:r>
          </w:p>
        </w:tc>
      </w:tr>
      <w:tr w:rsidTr="00FF7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2.4</w:t>
            </w:r>
          </w:p>
        </w:tc>
        <w:tc>
          <w:tcPr>
            <w:tcW w:w="48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Logical diagnostic methods are applied to diagnose electronic control system apparatus faults employing measurements and esti</w:t>
            </w:r>
            <w:r w:rsidRPr="00F63F06">
              <w:t>mations of system operating parameters referenced to system operational requirements.</w:t>
            </w:r>
          </w:p>
        </w:tc>
      </w:tr>
      <w:tr w:rsidTr="00FF7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2.5</w:t>
            </w:r>
          </w:p>
        </w:tc>
        <w:tc>
          <w:tcPr>
            <w:tcW w:w="48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Suspected fault scenarios are tested as being the cause(s) of system fault.</w:t>
            </w:r>
          </w:p>
        </w:tc>
      </w:tr>
      <w:tr w:rsidTr="00FF7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2.6</w:t>
            </w:r>
          </w:p>
        </w:tc>
        <w:tc>
          <w:tcPr>
            <w:tcW w:w="48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Cause of the fault is identified and appropriately competent persons are engaged to rectify the fault where it is outside the scope of the digital subsystems.</w:t>
            </w:r>
          </w:p>
        </w:tc>
      </w:tr>
      <w:tr w:rsidTr="00FF7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2.7</w:t>
            </w:r>
          </w:p>
        </w:tc>
        <w:tc>
          <w:tcPr>
            <w:tcW w:w="48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Faults in the electronic components of the system are rectified to raise apparatus and sys</w:t>
            </w:r>
            <w:r w:rsidRPr="00F63F06">
              <w:t>tem to its operational standard.</w:t>
            </w:r>
          </w:p>
        </w:tc>
      </w:tr>
      <w:tr w:rsidTr="00FF7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2.8</w:t>
            </w:r>
          </w:p>
        </w:tc>
        <w:tc>
          <w:tcPr>
            <w:tcW w:w="48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System is tested to verify that the system operates as intended and to specified requirements</w:t>
            </w:r>
          </w:p>
        </w:tc>
      </w:tr>
      <w:tr w:rsidTr="00FF7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2.9</w:t>
            </w:r>
          </w:p>
        </w:tc>
        <w:tc>
          <w:tcPr>
            <w:tcW w:w="48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Decisions for dealing with unexpected situations are made from discussions with appropriate persons and job specifi</w:t>
            </w:r>
            <w:r w:rsidRPr="00F63F06">
              <w:t>cations and requirements.</w:t>
            </w:r>
          </w:p>
        </w:tc>
      </w:tr>
      <w:tr w:rsidTr="00FF7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2.10</w:t>
            </w:r>
          </w:p>
        </w:tc>
        <w:tc>
          <w:tcPr>
            <w:tcW w:w="48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Methods for dealing with unexpected situations are selected on the basis of safety and specified work outcomes.</w:t>
            </w:r>
          </w:p>
        </w:tc>
      </w:tr>
      <w:tr w:rsidTr="00FF7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2.11</w:t>
            </w:r>
          </w:p>
        </w:tc>
        <w:tc>
          <w:tcPr>
            <w:tcW w:w="48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Diagnosis and rectification activities are carried out efficiently without waste of materials or damage to apparatus and the surrounding environment or services and using sustainable energy practices.</w:t>
            </w:r>
          </w:p>
        </w:tc>
      </w:tr>
      <w:tr w:rsidTr="00FF7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3</w:t>
            </w:r>
          </w:p>
        </w:tc>
        <w:tc>
          <w:tcPr>
            <w:tcW w:w="2296"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Complete and report fault diagnosis and rectificatio</w:t>
            </w:r>
            <w:r w:rsidRPr="00F63F06">
              <w:t>n activities.</w:t>
            </w: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3.1</w:t>
            </w:r>
          </w:p>
        </w:tc>
        <w:tc>
          <w:tcPr>
            <w:tcW w:w="48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OHS work completion risk control measures and procedures are followed.</w:t>
            </w:r>
          </w:p>
        </w:tc>
      </w:tr>
      <w:tr w:rsidTr="00FF7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3.2</w:t>
            </w:r>
          </w:p>
        </w:tc>
        <w:tc>
          <w:tcPr>
            <w:tcW w:w="48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Work site is made safe in accordance with established safety procedures.</w:t>
            </w:r>
          </w:p>
        </w:tc>
      </w:tr>
      <w:tr w:rsidTr="00FF7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3.3</w:t>
            </w:r>
          </w:p>
        </w:tc>
        <w:tc>
          <w:tcPr>
            <w:tcW w:w="48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Rectification of faults is documented in accordance with established procedures.</w:t>
            </w:r>
          </w:p>
        </w:tc>
      </w:tr>
      <w:tr w:rsidTr="00FF7AE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3.4</w:t>
            </w:r>
          </w:p>
        </w:tc>
        <w:tc>
          <w:tcPr>
            <w:tcW w:w="486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t>Appropriate person or persons notified, in accordance with established procedures, that the system faults have been rectified.</w:t>
            </w:r>
          </w:p>
        </w:tc>
      </w:tr>
    </w:tbl>
    <w:p w:rsidR="00000000" w:rsidRPr="00F63F06" w:rsidP="00F63F06">
      <w:pPr>
        <w:pStyle w:val="BodyText"/>
      </w:pPr>
    </w:p>
    <w:p w:rsidR="00000000" w:rsidRPr="00F63F06" w:rsidP="00F63F06">
      <w:pPr>
        <w:pStyle w:val="AllowPageBreak"/>
      </w:pPr>
    </w:p>
    <w:p w:rsidR="00000000" w:rsidRPr="00F63F06" w:rsidP="00F63F06">
      <w:pPr>
        <w:pStyle w:val="Heading1"/>
      </w:pPr>
      <w:bookmarkStart w:id="9" w:name="O_534145"/>
      <w:bookmarkEnd w:id="9"/>
      <w:r w:rsidRPr="00F63F06">
        <w:t>Required Skills and Knowledge</w:t>
      </w:r>
    </w:p>
    <w:tbl>
      <w:tblPr>
        <w:tblW w:w="0" w:type="auto"/>
        <w:tblLayout w:type="fixed"/>
        <w:tblCellMar>
          <w:left w:w="62" w:type="dxa"/>
          <w:right w:w="62" w:type="dxa"/>
        </w:tblCellMar>
        <w:tblLook w:val="0000"/>
      </w:tblPr>
      <w:tblGrid>
        <w:gridCol w:w="8460"/>
      </w:tblGrid>
      <w:tr w:rsidTr="00FF7AE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rPr>
                <w:rStyle w:val="SpecialBold"/>
              </w:rPr>
              <w:t>REQUIRED SKILLS AND KNOWLEDGE</w:t>
            </w:r>
          </w:p>
        </w:tc>
      </w:tr>
      <w:tr w:rsidTr="00FF7AE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rPr>
                <w:rStyle w:val="SpecialBold"/>
              </w:rPr>
              <w:t>8)</w:t>
            </w:r>
            <w:r w:rsidRPr="00F63F06">
              <w:t xml:space="preserve"> This describes the required skills and knowledge and their level, required for this unit.</w:t>
            </w:r>
          </w:p>
          <w:p w:rsidR="00000000" w:rsidRPr="00F63F06" w:rsidP="00F63F06">
            <w:pPr>
              <w:pStyle w:val="BodyText"/>
            </w:pPr>
            <w:r w:rsidRPr="00F63F06">
              <w:t>Evidence shall show that knowledge has been acquired of safe working practices and diagnosing and rectifying faults in digital control systems.</w:t>
            </w:r>
          </w:p>
          <w:p w:rsidR="00000000" w:rsidRPr="00F63F06" w:rsidP="00F63F06">
            <w:pPr>
              <w:pStyle w:val="BodyText"/>
            </w:pPr>
            <w:r w:rsidRPr="00F63F06">
              <w:t>All knowledge and ski</w:t>
            </w:r>
            <w:r w:rsidRPr="00F63F06">
              <w:t>lls detailed in this unit should be contextualised to current industry practices and technologies.</w:t>
            </w:r>
          </w:p>
          <w:p w:rsidR="00000000" w:rsidRPr="00F63F06" w:rsidP="00F63F06">
            <w:pPr>
              <w:pStyle w:val="BodyText"/>
            </w:pPr>
            <w:r w:rsidRPr="00F63F06">
              <w:rPr>
                <w:rStyle w:val="SpecialBold"/>
              </w:rPr>
              <w:t>KS01-EI139A</w:t>
            </w:r>
            <w:r w:rsidRPr="00F63F06">
              <w:rPr>
                <w:rStyle w:val="SpecialBold"/>
              </w:rPr>
              <w:tab/>
              <w:t xml:space="preserve">Digital electronic control systems </w:t>
            </w:r>
          </w:p>
          <w:p w:rsidR="00000000" w:rsidRPr="00F63F06" w:rsidP="00F63F06">
            <w:pPr>
              <w:pStyle w:val="BodyText"/>
            </w:pPr>
            <w:r w:rsidRPr="00F63F06">
              <w:t>Evidence shall show an understanding of digital electronic control systems to an extent indicated by the following aspects:</w:t>
            </w:r>
          </w:p>
          <w:p w:rsidR="00000000" w:rsidRPr="00F63F06" w:rsidP="00F63F06">
            <w:pPr>
              <w:pStyle w:val="BodyText"/>
            </w:pPr>
            <w:r w:rsidRPr="00F63F06">
              <w:t>T1.   Digital control systems</w:t>
            </w:r>
          </w:p>
          <w:p w:rsidR="00000000" w:rsidRPr="00F63F06" w:rsidP="00F63F06">
            <w:pPr>
              <w:pStyle w:val="ListBullet"/>
            </w:pPr>
            <w:r w:rsidRPr="00F63F06">
              <w:t>Comparison between analogue and digital signals</w:t>
            </w:r>
          </w:p>
          <w:p w:rsidR="00000000" w:rsidRPr="00F63F06" w:rsidP="00F63F06">
            <w:pPr>
              <w:pStyle w:val="ListBullet"/>
            </w:pPr>
            <w:r w:rsidRPr="00F63F06">
              <w:t>Advantages of digital control systems</w:t>
            </w:r>
          </w:p>
          <w:p w:rsidR="00000000" w:rsidRPr="00F63F06" w:rsidP="00F63F06">
            <w:pPr>
              <w:pStyle w:val="ListBullet"/>
            </w:pPr>
            <w:r w:rsidRPr="00F63F06">
              <w:t xml:space="preserve">Digital/analog </w:t>
            </w:r>
            <w:r w:rsidRPr="00F63F06">
              <w:t>control system</w:t>
            </w:r>
          </w:p>
          <w:p w:rsidR="00000000" w:rsidRPr="00F63F06" w:rsidP="00F63F06">
            <w:pPr>
              <w:pStyle w:val="ListBullet"/>
            </w:pPr>
            <w:r w:rsidRPr="00F63F06">
              <w:t>Logic gates</w:t>
            </w:r>
          </w:p>
          <w:p w:rsidR="00000000" w:rsidRPr="00F63F06" w:rsidP="00F63F06">
            <w:pPr>
              <w:pStyle w:val="ListBullet"/>
            </w:pPr>
            <w:r w:rsidRPr="00F63F06">
              <w:t>Truth tables</w:t>
            </w:r>
          </w:p>
          <w:p w:rsidR="00000000" w:rsidRPr="00F63F06" w:rsidP="00F63F06">
            <w:pPr>
              <w:pStyle w:val="ListBullet"/>
            </w:pPr>
            <w:r w:rsidRPr="00F63F06">
              <w:t>Digital testing devices</w:t>
            </w:r>
          </w:p>
          <w:p w:rsidR="00000000" w:rsidRPr="00F63F06" w:rsidP="00F63F06">
            <w:pPr>
              <w:pStyle w:val="BodyText"/>
            </w:pPr>
            <w:r w:rsidRPr="00F63F06">
              <w:t>T2.   Numbering systems</w:t>
            </w:r>
          </w:p>
          <w:p w:rsidR="00000000" w:rsidRPr="00F63F06" w:rsidP="00F63F06">
            <w:pPr>
              <w:pStyle w:val="ListBullet"/>
            </w:pPr>
            <w:r w:rsidRPr="00F63F06">
              <w:t>The binary number system</w:t>
            </w:r>
          </w:p>
          <w:p w:rsidR="00000000" w:rsidRPr="00F63F06" w:rsidP="00F63F06">
            <w:pPr>
              <w:pStyle w:val="ListBullet"/>
            </w:pPr>
            <w:r w:rsidRPr="00F63F06">
              <w:t>The Octal number system</w:t>
            </w:r>
          </w:p>
          <w:p w:rsidR="00000000" w:rsidRPr="00F63F06" w:rsidP="00F63F06">
            <w:pPr>
              <w:pStyle w:val="ListBullet"/>
            </w:pPr>
            <w:r w:rsidRPr="00F63F06">
              <w:t>The hexadecimal number system</w:t>
            </w:r>
          </w:p>
          <w:p w:rsidR="00000000" w:rsidRPr="00F63F06" w:rsidP="00F63F06">
            <w:pPr>
              <w:pStyle w:val="ListBullet"/>
            </w:pPr>
            <w:r w:rsidRPr="00F63F06">
              <w:t>Binary addition and subtraction</w:t>
            </w:r>
          </w:p>
          <w:p w:rsidR="00000000" w:rsidRPr="00F63F06" w:rsidP="00F63F06">
            <w:pPr>
              <w:pStyle w:val="ListBullet"/>
            </w:pPr>
            <w:r w:rsidRPr="00F63F06">
              <w:t>Conversion between numbering systems</w:t>
            </w:r>
          </w:p>
          <w:p w:rsidR="00000000" w:rsidRPr="00F63F06" w:rsidP="00F63F06">
            <w:pPr>
              <w:pStyle w:val="ListBullet"/>
            </w:pPr>
            <w:r w:rsidRPr="00F63F06">
              <w:t>Binary Coded Decima</w:t>
            </w:r>
            <w:r w:rsidRPr="00F63F06">
              <w:t>l (BCD)</w:t>
            </w:r>
          </w:p>
          <w:p w:rsidR="00000000" w:rsidRPr="00F63F06" w:rsidP="00F63F06">
            <w:pPr>
              <w:pStyle w:val="ListBullet"/>
            </w:pPr>
            <w:r w:rsidRPr="00F63F06">
              <w:t>Gray code</w:t>
            </w:r>
          </w:p>
          <w:p w:rsidR="00000000" w:rsidRPr="00F63F06" w:rsidP="00F63F06">
            <w:pPr>
              <w:pStyle w:val="ListBullet"/>
            </w:pPr>
            <w:r w:rsidRPr="00F63F06">
              <w:t>The American Standard Code for Information Interchange (ASCII)</w:t>
            </w:r>
          </w:p>
          <w:p w:rsidR="00000000" w:rsidRPr="00F63F06" w:rsidP="00F63F06">
            <w:pPr>
              <w:pStyle w:val="BodyText"/>
            </w:pPr>
            <w:r w:rsidRPr="00F63F06">
              <w:t>T3.   Combinational Logic Networks</w:t>
            </w:r>
          </w:p>
          <w:p w:rsidR="00000000" w:rsidRPr="00F63F06" w:rsidP="00F63F06">
            <w:pPr>
              <w:pStyle w:val="ListBullet"/>
            </w:pPr>
            <w:r w:rsidRPr="00F63F06">
              <w:t>Precautions when handling electronic devices due to electrostatic discharge (ESD)</w:t>
            </w:r>
          </w:p>
          <w:p w:rsidR="00000000" w:rsidRPr="00F63F06" w:rsidP="00F63F06">
            <w:pPr>
              <w:pStyle w:val="ListBullet"/>
            </w:pPr>
            <w:r w:rsidRPr="00F63F06">
              <w:t>Truth tables</w:t>
            </w:r>
          </w:p>
          <w:p w:rsidR="00000000" w:rsidRPr="00F63F06" w:rsidP="00F63F06">
            <w:pPr>
              <w:pStyle w:val="ListBullet"/>
            </w:pPr>
            <w:r w:rsidRPr="00F63F06">
              <w:t>Basic operation and characteristics of logic devices</w:t>
            </w:r>
          </w:p>
          <w:p w:rsidR="00000000" w:rsidRPr="00F63F06" w:rsidP="00F63F06">
            <w:pPr>
              <w:pStyle w:val="ListBullet"/>
            </w:pPr>
            <w:r w:rsidRPr="00F63F06">
              <w:t>Logic probes</w:t>
            </w:r>
          </w:p>
          <w:p w:rsidR="00000000" w:rsidRPr="00F63F06" w:rsidP="00F63F06">
            <w:pPr>
              <w:pStyle w:val="ListBullet"/>
            </w:pPr>
            <w:r w:rsidRPr="00F63F06">
              <w:t>Verification of operation of logic circuits</w:t>
            </w:r>
          </w:p>
          <w:p w:rsidR="00000000" w:rsidRPr="00F63F06" w:rsidP="00F63F06">
            <w:pPr>
              <w:pStyle w:val="BodyText"/>
            </w:pPr>
            <w:r w:rsidRPr="00F63F06">
              <w:t>T4.   Logic families and specifications</w:t>
            </w:r>
          </w:p>
          <w:p w:rsidR="00000000" w:rsidRPr="00F63F06" w:rsidP="00F63F06">
            <w:pPr>
              <w:pStyle w:val="ListBullet"/>
            </w:pPr>
            <w:r w:rsidRPr="00F63F06">
              <w:t xml:space="preserve">Transistor-Transistor Logic (TTL) </w:t>
            </w:r>
          </w:p>
          <w:p w:rsidR="00000000" w:rsidRPr="00F63F06" w:rsidP="00F63F06">
            <w:pPr>
              <w:pStyle w:val="ListBullet"/>
            </w:pPr>
            <w:r w:rsidRPr="00F63F06">
              <w:t xml:space="preserve">Complementary Metal Oxide Silicone (CMOS) logic families </w:t>
            </w:r>
          </w:p>
          <w:p w:rsidR="00000000" w:rsidRPr="00F63F06" w:rsidP="00F63F06">
            <w:pPr>
              <w:pStyle w:val="ListBullet"/>
            </w:pPr>
            <w:r w:rsidRPr="00F63F06">
              <w:t>the ‘unit lo</w:t>
            </w:r>
            <w:r w:rsidRPr="00F63F06">
              <w:t>ad’ concept</w:t>
            </w:r>
          </w:p>
          <w:p w:rsidR="00000000" w:rsidRPr="00F63F06" w:rsidP="00F63F06">
            <w:pPr>
              <w:pStyle w:val="ListBullet"/>
            </w:pPr>
            <w:r w:rsidRPr="00F63F06">
              <w:t xml:space="preserve">specifications and features of TTL, TTL low power Schottky (LS) and CMOS logic families. </w:t>
            </w:r>
          </w:p>
          <w:p w:rsidR="00000000" w:rsidRPr="00F63F06" w:rsidP="00F63F06">
            <w:pPr>
              <w:pStyle w:val="ListBullet"/>
            </w:pPr>
            <w:r w:rsidRPr="00F63F06">
              <w:t>three state and open collector logic</w:t>
            </w:r>
          </w:p>
          <w:p w:rsidR="00000000" w:rsidRPr="00F63F06" w:rsidP="00F63F06">
            <w:pPr>
              <w:pStyle w:val="ListBullet"/>
            </w:pPr>
            <w:r w:rsidRPr="00F63F06">
              <w:t>input and output voltage characteristics for CMOS and TTL</w:t>
            </w:r>
          </w:p>
          <w:p w:rsidR="00000000" w:rsidRPr="00F63F06" w:rsidP="00F63F06">
            <w:pPr>
              <w:pStyle w:val="ListBullet"/>
            </w:pPr>
            <w:r w:rsidRPr="00F63F06">
              <w:t>comparison of TTL with CMOS logic families</w:t>
            </w:r>
          </w:p>
          <w:p w:rsidR="00000000" w:rsidRPr="00F63F06" w:rsidP="00F63F06">
            <w:pPr>
              <w:pStyle w:val="ListBullet"/>
            </w:pPr>
            <w:r w:rsidRPr="00F63F06">
              <w:t>Unit load</w:t>
            </w:r>
          </w:p>
          <w:p w:rsidR="00000000" w:rsidRPr="00F63F06" w:rsidP="00F63F06">
            <w:pPr>
              <w:pStyle w:val="ListBullet"/>
            </w:pPr>
            <w:r w:rsidRPr="00F63F06">
              <w:t xml:space="preserve">noise </w:t>
            </w:r>
            <w:r w:rsidRPr="00F63F06">
              <w:t>margin</w:t>
            </w:r>
          </w:p>
          <w:p w:rsidR="00000000" w:rsidRPr="00F63F06" w:rsidP="00F63F06">
            <w:pPr>
              <w:pStyle w:val="ListBullet"/>
            </w:pPr>
            <w:r w:rsidRPr="00F63F06">
              <w:t>interfacing different logic families</w:t>
            </w:r>
          </w:p>
          <w:p w:rsidR="00000000" w:rsidRPr="00F63F06" w:rsidP="00F63F06">
            <w:pPr>
              <w:pStyle w:val="ListBullet"/>
            </w:pPr>
            <w:r w:rsidRPr="00F63F06">
              <w:t>Tri-state logic devices</w:t>
            </w:r>
          </w:p>
          <w:p w:rsidR="00000000" w:rsidRPr="00F63F06" w:rsidP="00F63F06">
            <w:pPr>
              <w:pStyle w:val="BodyText"/>
            </w:pPr>
            <w:r w:rsidRPr="00F63F06">
              <w:t>T5.   Encoders and Decoders</w:t>
            </w:r>
          </w:p>
          <w:p w:rsidR="00000000" w:rsidRPr="00F63F06" w:rsidP="00F63F06">
            <w:pPr>
              <w:pStyle w:val="ListBullet"/>
            </w:pPr>
            <w:r w:rsidRPr="00F63F06">
              <w:t>weighted and unweighted codes.</w:t>
            </w:r>
          </w:p>
          <w:p w:rsidR="00000000" w:rsidRPr="00F63F06" w:rsidP="00F63F06">
            <w:pPr>
              <w:pStyle w:val="ListBullet"/>
            </w:pPr>
            <w:r w:rsidRPr="00F63F06">
              <w:t>Gray</w:t>
            </w:r>
          </w:p>
          <w:p w:rsidR="00000000" w:rsidRPr="00F63F06" w:rsidP="00F63F06">
            <w:pPr>
              <w:pStyle w:val="ListBullet"/>
            </w:pPr>
            <w:r w:rsidRPr="00F63F06">
              <w:t>BCD</w:t>
            </w:r>
          </w:p>
          <w:p w:rsidR="00000000" w:rsidRPr="00F63F06" w:rsidP="00F63F06">
            <w:pPr>
              <w:pStyle w:val="ListBullet"/>
            </w:pPr>
            <w:r w:rsidRPr="00F63F06">
              <w:t xml:space="preserve">ASCII </w:t>
            </w:r>
          </w:p>
          <w:p w:rsidR="00000000" w:rsidRPr="00F63F06" w:rsidP="00F63F06">
            <w:pPr>
              <w:pStyle w:val="ListBullet"/>
            </w:pPr>
            <w:r w:rsidRPr="00F63F06">
              <w:t>Half and full adder</w:t>
            </w:r>
          </w:p>
          <w:p w:rsidR="00000000" w:rsidRPr="00F63F06" w:rsidP="00F63F06">
            <w:pPr>
              <w:pStyle w:val="ListBullet"/>
            </w:pPr>
            <w:r w:rsidRPr="00F63F06">
              <w:t>Encoders, decoders</w:t>
            </w:r>
          </w:p>
          <w:p w:rsidR="00000000" w:rsidRPr="00F63F06" w:rsidP="00F63F06">
            <w:pPr>
              <w:pStyle w:val="ListBullet"/>
            </w:pPr>
            <w:r w:rsidRPr="00F63F06">
              <w:t xml:space="preserve">error detection. </w:t>
            </w:r>
          </w:p>
          <w:p w:rsidR="00000000" w:rsidRPr="00F63F06" w:rsidP="00F63F06">
            <w:pPr>
              <w:pStyle w:val="ListBullet"/>
            </w:pPr>
            <w:r w:rsidRPr="00F63F06">
              <w:t xml:space="preserve">decoder and encoder ICs. </w:t>
            </w:r>
          </w:p>
          <w:p w:rsidR="00000000" w:rsidRPr="00F63F06" w:rsidP="00F63F06">
            <w:pPr>
              <w:pStyle w:val="ListBullet"/>
            </w:pPr>
            <w:r w:rsidRPr="00F63F06">
              <w:t>multiplexer and demultiplexer ICs.</w:t>
            </w:r>
          </w:p>
          <w:p w:rsidR="00000000" w:rsidRPr="00F63F06" w:rsidP="00F63F06">
            <w:pPr>
              <w:pStyle w:val="BodyText"/>
            </w:pPr>
            <w:r w:rsidRPr="00F63F06">
              <w:t>T6.   Flipflops</w:t>
            </w:r>
          </w:p>
          <w:p w:rsidR="00000000" w:rsidRPr="00F63F06" w:rsidP="00F63F06">
            <w:pPr>
              <w:pStyle w:val="ListBullet"/>
            </w:pPr>
            <w:r w:rsidRPr="00F63F06">
              <w:t>RS flipflops</w:t>
            </w:r>
          </w:p>
          <w:p w:rsidR="00000000" w:rsidRPr="00F63F06" w:rsidP="00F63F06">
            <w:pPr>
              <w:pStyle w:val="ListBullet"/>
            </w:pPr>
            <w:r w:rsidRPr="00F63F06">
              <w:t>D  flipflops</w:t>
            </w:r>
          </w:p>
          <w:p w:rsidR="00000000" w:rsidRPr="00F63F06" w:rsidP="00F63F06">
            <w:pPr>
              <w:pStyle w:val="ListBullet"/>
            </w:pPr>
            <w:r w:rsidRPr="00F63F06">
              <w:t xml:space="preserve">JK flipflops </w:t>
            </w:r>
          </w:p>
          <w:p w:rsidR="00000000" w:rsidRPr="00F63F06" w:rsidP="00F63F06">
            <w:pPr>
              <w:pStyle w:val="ListBullet"/>
            </w:pPr>
            <w:r w:rsidRPr="00F63F06">
              <w:t xml:space="preserve">truth tables and operation </w:t>
            </w:r>
          </w:p>
          <w:p w:rsidR="00000000" w:rsidRPr="00F63F06" w:rsidP="00F63F06">
            <w:pPr>
              <w:pStyle w:val="ListBullet"/>
            </w:pPr>
            <w:r w:rsidRPr="00F63F06">
              <w:t>debouncing a switch</w:t>
            </w:r>
          </w:p>
          <w:p w:rsidR="00000000" w:rsidRPr="00F63F06" w:rsidP="00F63F06">
            <w:pPr>
              <w:pStyle w:val="ListBullet"/>
            </w:pPr>
            <w:r w:rsidRPr="00F63F06">
              <w:t>timing diagrams</w:t>
            </w:r>
          </w:p>
          <w:p w:rsidR="00000000" w:rsidRPr="00F63F06" w:rsidP="00F63F06">
            <w:pPr>
              <w:pStyle w:val="ListBullet"/>
            </w:pPr>
            <w:r w:rsidRPr="00F63F06">
              <w:t>Sequential logic</w:t>
            </w:r>
          </w:p>
          <w:p w:rsidR="00000000" w:rsidRPr="00F63F06" w:rsidP="00F63F06">
            <w:pPr>
              <w:pStyle w:val="ListBullet"/>
            </w:pPr>
            <w:r w:rsidRPr="00F63F06">
              <w:t>State tables and timing diagrams</w:t>
            </w:r>
          </w:p>
          <w:p w:rsidR="00000000" w:rsidRPr="00F63F06" w:rsidP="00F63F06">
            <w:pPr>
              <w:pStyle w:val="BodyText"/>
            </w:pPr>
            <w:r w:rsidRPr="00F63F06">
              <w:t>T7.   Registers</w:t>
            </w:r>
          </w:p>
          <w:p w:rsidR="00000000" w:rsidRPr="00F63F06" w:rsidP="00F63F06">
            <w:pPr>
              <w:pStyle w:val="ListBullet"/>
            </w:pPr>
            <w:r w:rsidRPr="00F63F06">
              <w:t xml:space="preserve">shift registers </w:t>
            </w:r>
          </w:p>
          <w:p w:rsidR="00000000" w:rsidRPr="00F63F06" w:rsidP="00F63F06">
            <w:pPr>
              <w:pStyle w:val="ListBullet"/>
            </w:pPr>
            <w:r w:rsidRPr="00F63F06">
              <w:t>data latches</w:t>
            </w:r>
          </w:p>
          <w:p w:rsidR="00000000" w:rsidRPr="00F63F06" w:rsidP="00F63F06">
            <w:pPr>
              <w:pStyle w:val="BodyText"/>
            </w:pPr>
            <w:r w:rsidRPr="00F63F06">
              <w:t>T8.</w:t>
            </w:r>
            <w:r w:rsidRPr="00F63F06">
              <w:t xml:space="preserve">  Counters</w:t>
            </w:r>
          </w:p>
          <w:p w:rsidR="00000000" w:rsidRPr="00F63F06" w:rsidP="00F63F06">
            <w:pPr>
              <w:pStyle w:val="ListBullet"/>
            </w:pPr>
            <w:r w:rsidRPr="00F63F06">
              <w:t>ripple counters using JK flipflops</w:t>
            </w:r>
          </w:p>
          <w:p w:rsidR="00000000" w:rsidRPr="00F63F06" w:rsidP="00F63F06">
            <w:pPr>
              <w:pStyle w:val="ListBullet"/>
            </w:pPr>
            <w:r w:rsidRPr="00F63F06">
              <w:t>typical IC types</w:t>
            </w:r>
          </w:p>
          <w:p w:rsidR="00000000" w:rsidRPr="00F63F06" w:rsidP="00F63F06">
            <w:pPr>
              <w:pStyle w:val="ListBullet"/>
            </w:pPr>
            <w:r w:rsidRPr="00F63F06">
              <w:t>characteristics and operation.</w:t>
            </w:r>
          </w:p>
          <w:p w:rsidR="00000000" w:rsidRPr="00F63F06" w:rsidP="00F63F06">
            <w:pPr>
              <w:pStyle w:val="ListBullet"/>
            </w:pPr>
            <w:r w:rsidRPr="00F63F06">
              <w:t>Ripple counters</w:t>
            </w:r>
          </w:p>
          <w:p w:rsidR="00000000" w:rsidRPr="00F63F06" w:rsidP="00F63F06">
            <w:pPr>
              <w:pStyle w:val="ListBullet"/>
            </w:pPr>
            <w:r w:rsidRPr="00F63F06">
              <w:t>Use of feedback to modify count</w:t>
            </w:r>
          </w:p>
          <w:p w:rsidR="00000000" w:rsidRPr="00F63F06" w:rsidP="00F63F06">
            <w:pPr>
              <w:pStyle w:val="ListBullet"/>
            </w:pPr>
            <w:r w:rsidRPr="00F63F06">
              <w:t>Circuit verification of a ripple counter</w:t>
            </w:r>
          </w:p>
          <w:p w:rsidR="00000000" w:rsidRPr="00F63F06" w:rsidP="00F63F06">
            <w:pPr>
              <w:pStyle w:val="ListBullet"/>
            </w:pPr>
            <w:r w:rsidRPr="00F63F06">
              <w:t>Synchronous counters</w:t>
            </w:r>
          </w:p>
          <w:p w:rsidR="00000000" w:rsidRPr="00F63F06" w:rsidP="00F63F06">
            <w:pPr>
              <w:pStyle w:val="ListBullet"/>
            </w:pPr>
            <w:r w:rsidRPr="00F63F06">
              <w:t>Series and parallel data transfer</w:t>
            </w:r>
          </w:p>
          <w:p w:rsidR="00000000" w:rsidRPr="00F63F06" w:rsidP="00F63F06">
            <w:pPr>
              <w:pStyle w:val="ListBullet"/>
            </w:pPr>
            <w:r w:rsidRPr="00F63F06">
              <w:t>Multivibrators</w:t>
            </w:r>
          </w:p>
          <w:p w:rsidR="00000000" w:rsidRPr="00F63F06" w:rsidP="00F63F06">
            <w:pPr>
              <w:pStyle w:val="ListBullet"/>
            </w:pPr>
            <w:r w:rsidRPr="00F63F06">
              <w:t>Interconnecting digital circuits to perform an application</w:t>
            </w:r>
          </w:p>
          <w:p w:rsidR="00000000" w:rsidRPr="00F63F06" w:rsidP="00F63F06">
            <w:pPr>
              <w:pStyle w:val="BodyText"/>
            </w:pPr>
            <w:r w:rsidRPr="00F63F06">
              <w:t>T9.   Digital to analog conversion</w:t>
            </w:r>
          </w:p>
          <w:p w:rsidR="00000000" w:rsidRPr="00F63F06" w:rsidP="00F63F06">
            <w:pPr>
              <w:pStyle w:val="ListBullet"/>
            </w:pPr>
            <w:r w:rsidRPr="00F63F06">
              <w:t>Industrial applications of D/A converters</w:t>
            </w:r>
          </w:p>
          <w:p w:rsidR="00000000" w:rsidRPr="00F63F06" w:rsidP="00F63F06">
            <w:pPr>
              <w:pStyle w:val="ListBullet"/>
            </w:pPr>
            <w:r w:rsidRPr="00F63F06">
              <w:t>Summing D/A converters</w:t>
            </w:r>
          </w:p>
          <w:p w:rsidR="00000000" w:rsidRPr="00F63F06" w:rsidP="00F63F06">
            <w:pPr>
              <w:pStyle w:val="ListBullet"/>
            </w:pPr>
            <w:r w:rsidRPr="00F63F06">
              <w:t>R-2R D/A converters</w:t>
            </w:r>
          </w:p>
          <w:p w:rsidR="00000000" w:rsidRPr="00F63F06" w:rsidP="00F63F06">
            <w:pPr>
              <w:pStyle w:val="ListBullet"/>
            </w:pPr>
            <w:r w:rsidRPr="00F63F06">
              <w:t>Verification of circuit operation of an IC D/A converter</w:t>
            </w:r>
          </w:p>
          <w:p w:rsidR="00000000" w:rsidRPr="00F63F06" w:rsidP="00F63F06">
            <w:pPr>
              <w:pStyle w:val="BodyText"/>
            </w:pPr>
            <w:r w:rsidRPr="00F63F06">
              <w:t>T10.  Analog to dig</w:t>
            </w:r>
            <w:r w:rsidRPr="00F63F06">
              <w:t>ital conversion</w:t>
            </w:r>
          </w:p>
          <w:p w:rsidR="00000000" w:rsidRPr="00F63F06" w:rsidP="00F63F06">
            <w:pPr>
              <w:pStyle w:val="ListBullet"/>
            </w:pPr>
            <w:r w:rsidRPr="00F63F06">
              <w:t>Industrial applications of A/D converters</w:t>
            </w:r>
          </w:p>
          <w:p w:rsidR="00000000" w:rsidRPr="00F63F06" w:rsidP="00F63F06">
            <w:pPr>
              <w:pStyle w:val="ListBullet"/>
            </w:pPr>
            <w:r w:rsidRPr="00F63F06">
              <w:t>Digital ramp, dual slope, successive approximation and simultaneous (flash) A/D converters.</w:t>
            </w:r>
          </w:p>
          <w:p w:rsidR="00000000" w:rsidRPr="00F63F06" w:rsidP="00F63F06">
            <w:pPr>
              <w:pStyle w:val="ListBullet"/>
            </w:pPr>
            <w:r w:rsidRPr="00F63F06">
              <w:t>Verification of circuit operation of an IC A/D converters</w:t>
            </w:r>
          </w:p>
          <w:p w:rsidR="00000000" w:rsidRPr="00F63F06" w:rsidP="00F63F06">
            <w:pPr>
              <w:pStyle w:val="BodyText"/>
            </w:pPr>
            <w:r w:rsidRPr="00F63F06">
              <w:t>T11.  Display devices</w:t>
            </w:r>
          </w:p>
          <w:p w:rsidR="00000000" w:rsidRPr="00F63F06" w:rsidP="00F63F06">
            <w:pPr>
              <w:pStyle w:val="ListBullet"/>
            </w:pPr>
            <w:r w:rsidRPr="00F63F06">
              <w:t>Liquid Crystal Display (</w:t>
            </w:r>
            <w:r w:rsidRPr="00F63F06">
              <w:t xml:space="preserve">LCD) devices </w:t>
            </w:r>
          </w:p>
          <w:p w:rsidR="00000000" w:rsidRPr="00F63F06" w:rsidP="00F63F06">
            <w:pPr>
              <w:pStyle w:val="ListBullet"/>
            </w:pPr>
            <w:r w:rsidRPr="00F63F06">
              <w:t xml:space="preserve">Light Emitting Diode (LED) devices. </w:t>
            </w:r>
          </w:p>
          <w:p w:rsidR="00000000" w:rsidRPr="00F63F06" w:rsidP="00F63F06">
            <w:pPr>
              <w:pStyle w:val="ListBullet"/>
            </w:pPr>
            <w:r w:rsidRPr="00F63F06">
              <w:t xml:space="preserve">Operation and Characteristics. </w:t>
            </w:r>
          </w:p>
          <w:p w:rsidR="00000000" w:rsidRPr="00F63F06" w:rsidP="00F63F06">
            <w:pPr>
              <w:pStyle w:val="ListBullet"/>
            </w:pPr>
            <w:r w:rsidRPr="00F63F06">
              <w:t>Seven segment LED displays</w:t>
            </w:r>
          </w:p>
          <w:p w:rsidR="00000000" w:rsidRPr="00F63F06" w:rsidP="00F63F06">
            <w:pPr>
              <w:pStyle w:val="ListBullet"/>
            </w:pPr>
            <w:r w:rsidRPr="00F63F06">
              <w:t>Drive requirements</w:t>
            </w:r>
          </w:p>
          <w:p w:rsidR="00000000" w:rsidRPr="00F63F06" w:rsidP="00F63F06">
            <w:pPr>
              <w:pStyle w:val="ListBullet"/>
            </w:pPr>
            <w:r w:rsidRPr="00F63F06">
              <w:t>Current limiting</w:t>
            </w:r>
          </w:p>
          <w:p w:rsidR="00000000" w:rsidRPr="00F63F06" w:rsidP="00F63F06">
            <w:pPr>
              <w:pStyle w:val="ListBullet"/>
            </w:pPr>
            <w:r w:rsidRPr="00F63F06">
              <w:t>Multiplexed displays</w:t>
            </w:r>
          </w:p>
          <w:p w:rsidR="00000000" w:rsidRPr="00F63F06" w:rsidP="00F63F06">
            <w:pPr>
              <w:pStyle w:val="ListBullet"/>
            </w:pPr>
            <w:r w:rsidRPr="00F63F06">
              <w:t>Seven segment encoding chips</w:t>
            </w:r>
          </w:p>
          <w:p w:rsidR="00000000" w:rsidRPr="00F63F06" w:rsidP="00F63F06">
            <w:pPr>
              <w:pStyle w:val="ListBullet"/>
            </w:pPr>
            <w:r w:rsidRPr="00F63F06">
              <w:t>Emerging display technologies</w:t>
            </w:r>
          </w:p>
          <w:p w:rsidR="00000000" w:rsidRPr="00F63F06" w:rsidP="00F63F06">
            <w:pPr>
              <w:pStyle w:val="BodyText"/>
            </w:pPr>
            <w:r w:rsidRPr="00F63F06">
              <w:t>T12.  Digital fault finding</w:t>
            </w:r>
          </w:p>
          <w:p w:rsidR="00000000" w:rsidRPr="00F63F06" w:rsidP="00F63F06">
            <w:pPr>
              <w:pStyle w:val="ListBullet"/>
            </w:pPr>
            <w:r w:rsidRPr="00F63F06">
              <w:t>General fault finding principles</w:t>
            </w:r>
          </w:p>
          <w:p w:rsidR="00000000" w:rsidRPr="00F63F06" w:rsidP="00F63F06">
            <w:pPr>
              <w:pStyle w:val="ListBullet"/>
            </w:pPr>
            <w:r w:rsidRPr="00F63F06">
              <w:t>Common digital faults</w:t>
            </w:r>
          </w:p>
          <w:p w:rsidR="00000000" w:rsidRPr="00F63F06" w:rsidP="00F63F06">
            <w:pPr>
              <w:pStyle w:val="ListBullet"/>
            </w:pPr>
            <w:r w:rsidRPr="00F63F06">
              <w:t>Digital test equipment</w:t>
            </w:r>
          </w:p>
          <w:p w:rsidR="00000000" w:rsidRPr="00F63F06" w:rsidP="00F63F06">
            <w:pPr>
              <w:pStyle w:val="ListBullet"/>
            </w:pPr>
            <w:r w:rsidRPr="00F63F06">
              <w:t>Locating a fault</w:t>
            </w:r>
          </w:p>
          <w:p w:rsidR="00000000" w:rsidRPr="00F63F06" w:rsidP="00F63F06">
            <w:pPr>
              <w:pStyle w:val="BodyText"/>
            </w:pPr>
            <w:r w:rsidRPr="00F63F06">
              <w:t>T13.  Interfacing logic devices to external loads</w:t>
            </w:r>
          </w:p>
          <w:p w:rsidR="00000000" w:rsidRPr="00F63F06" w:rsidP="00F63F06">
            <w:pPr>
              <w:pStyle w:val="ListBullet"/>
            </w:pPr>
            <w:r w:rsidRPr="00F63F06">
              <w:t>Interfacing with a transistor</w:t>
            </w:r>
          </w:p>
          <w:p w:rsidR="00000000" w:rsidRPr="00F63F06" w:rsidP="00F63F06">
            <w:pPr>
              <w:pStyle w:val="ListBullet"/>
            </w:pPr>
            <w:r w:rsidRPr="00F63F06">
              <w:t>Interfacing with a relay</w:t>
            </w:r>
          </w:p>
          <w:p w:rsidR="00000000" w:rsidRPr="00F63F06" w:rsidP="00F63F06">
            <w:pPr>
              <w:pStyle w:val="ListBullet"/>
            </w:pPr>
            <w:r w:rsidRPr="00F63F06">
              <w:t>Solid state switches</w:t>
            </w:r>
          </w:p>
          <w:p w:rsidR="00000000" w:rsidRPr="00F63F06" w:rsidP="00F63F06">
            <w:pPr>
              <w:pStyle w:val="ListBullet"/>
            </w:pPr>
            <w:r w:rsidRPr="00F63F06">
              <w:t>Opto-isolator</w:t>
            </w:r>
          </w:p>
          <w:p w:rsidR="00000000" w:rsidRPr="00F63F06" w:rsidP="00F63F06">
            <w:pPr>
              <w:pStyle w:val="ListBullet"/>
            </w:pPr>
            <w:r w:rsidRPr="00F63F06">
              <w:t>Verification of circ</w:t>
            </w:r>
            <w:r w:rsidRPr="00F63F06">
              <w:t>uit operation of an opto-coupler.</w:t>
            </w:r>
          </w:p>
          <w:p w:rsidR="00000000" w:rsidRPr="00F63F06" w:rsidP="00F63F06">
            <w:pPr>
              <w:pStyle w:val="BodyText"/>
            </w:pPr>
            <w:r w:rsidRPr="00F63F06">
              <w:t>T14.  Programmable logic devices</w:t>
            </w:r>
          </w:p>
          <w:p w:rsidR="00000000" w:rsidRPr="00F63F06" w:rsidP="00F63F06">
            <w:pPr>
              <w:pStyle w:val="ListBullet"/>
            </w:pPr>
            <w:r w:rsidRPr="00F63F06">
              <w:t>Applications of programmable logic devices</w:t>
            </w:r>
          </w:p>
          <w:p w:rsidR="00000000" w:rsidRPr="00F63F06" w:rsidP="00F63F06">
            <w:pPr>
              <w:pStyle w:val="ListBullet"/>
            </w:pPr>
            <w:r w:rsidRPr="00F63F06">
              <w:t>Types of programmable logic devices</w:t>
            </w:r>
          </w:p>
          <w:p w:rsidR="00000000" w:rsidRPr="00F63F06" w:rsidP="00F63F06">
            <w:pPr>
              <w:pStyle w:val="ListBullet"/>
            </w:pPr>
            <w:r w:rsidRPr="00F63F06">
              <w:t>Comparison between different programmable logic devices</w:t>
            </w:r>
          </w:p>
          <w:p w:rsidR="00000000" w:rsidRPr="00F63F06" w:rsidP="00F63F06">
            <w:pPr>
              <w:pStyle w:val="ListBullet"/>
            </w:pPr>
            <w:r w:rsidRPr="00F63F06">
              <w:t>Programmable Array Logic (PAL)</w:t>
            </w:r>
          </w:p>
          <w:p w:rsidR="00000000" w:rsidRPr="00F63F06" w:rsidP="00F63F06">
            <w:pPr>
              <w:pStyle w:val="ListBullet"/>
            </w:pPr>
            <w:r w:rsidRPr="00F63F06">
              <w:t>Programmable Logic  Devices (PLD)</w:t>
            </w:r>
          </w:p>
          <w:p w:rsidR="00000000" w:rsidRPr="00F63F06" w:rsidP="00F63F06">
            <w:pPr>
              <w:pStyle w:val="ListBullet"/>
            </w:pPr>
            <w:r w:rsidRPr="00F63F06">
              <w:t>Field Programmable Gate Arrays (FPGA)</w:t>
            </w:r>
          </w:p>
          <w:p w:rsidR="00000000" w:rsidRPr="00F63F06" w:rsidP="00F63F06">
            <w:pPr>
              <w:pStyle w:val="ListBullet"/>
            </w:pPr>
            <w:r w:rsidRPr="00F63F06">
              <w:t>Programming and verifying correct operation of a programmable array logic device</w:t>
            </w:r>
          </w:p>
        </w:tc>
      </w:tr>
    </w:tbl>
    <w:p w:rsidR="00000000" w:rsidRPr="00F63F06" w:rsidP="00F63F06">
      <w:pPr>
        <w:pStyle w:val="BodyText"/>
      </w:pPr>
    </w:p>
    <w:p w:rsidR="00000000" w:rsidRPr="00F63F06" w:rsidP="00F63F06">
      <w:pPr>
        <w:pStyle w:val="AllowPageBreak"/>
      </w:pPr>
    </w:p>
    <w:p w:rsidR="00000000" w:rsidRPr="00F63F06" w:rsidP="00F63F06">
      <w:pPr>
        <w:pStyle w:val="Heading1"/>
      </w:pPr>
      <w:bookmarkStart w:id="10" w:name="O_534144"/>
      <w:bookmarkEnd w:id="10"/>
      <w:r w:rsidRPr="00F63F06">
        <w:t>Evidence Guide</w:t>
      </w:r>
    </w:p>
    <w:tbl>
      <w:tblPr>
        <w:tblW w:w="0" w:type="auto"/>
        <w:tblLayout w:type="fixed"/>
        <w:tblCellMar>
          <w:left w:w="62" w:type="dxa"/>
          <w:right w:w="62" w:type="dxa"/>
        </w:tblCellMar>
        <w:tblLook w:val="0000"/>
      </w:tblPr>
      <w:tblGrid>
        <w:gridCol w:w="8460"/>
      </w:tblGrid>
      <w:tr w:rsidTr="00FF7AE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rPr>
                <w:rStyle w:val="SpecialBold"/>
              </w:rPr>
              <w:t>EVIDENCE GUIDE</w:t>
            </w:r>
          </w:p>
        </w:tc>
      </w:tr>
      <w:tr w:rsidTr="00FF7AE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rPr>
                <w:rStyle w:val="SpecialBold"/>
              </w:rPr>
              <w:t>9)</w:t>
            </w:r>
            <w:r w:rsidRPr="00F63F06">
              <w:t xml:space="preserve"> This provides essential advice for assessment of the unit and must be read in conjunction with the performance criteria and the range statement of the unit and the Training Package Assessment Guidelines.</w:t>
            </w:r>
          </w:p>
          <w:p w:rsidR="00000000" w:rsidRPr="00F63F06" w:rsidP="00F63F06">
            <w:pPr>
              <w:pStyle w:val="BodyText"/>
            </w:pPr>
            <w:r w:rsidRPr="00F63F06">
              <w:t>The Evidence Guide forms an integral part of this u</w:t>
            </w:r>
            <w:r w:rsidRPr="00F63F06">
              <w:t>nit. It must be used in conjunction with all parts of the unit and performed in accordance with the Assessment Guidelines of this Training Package.</w:t>
            </w:r>
          </w:p>
        </w:tc>
      </w:tr>
    </w:tbl>
    <w:p w:rsidR="00000000" w:rsidRPr="00F63F06" w:rsidP="00F63F06">
      <w:pPr>
        <w:pStyle w:val="BodyText"/>
      </w:pPr>
    </w:p>
    <w:tbl>
      <w:tblPr>
        <w:tblW w:w="0" w:type="auto"/>
        <w:tblLayout w:type="fixed"/>
        <w:tblCellMar>
          <w:left w:w="62" w:type="dxa"/>
          <w:right w:w="62" w:type="dxa"/>
        </w:tblCellMar>
        <w:tblLook w:val="0000"/>
      </w:tblPr>
      <w:tblGrid>
        <w:gridCol w:w="1890"/>
        <w:gridCol w:w="6570"/>
      </w:tblGrid>
      <w:tr w:rsidTr="00FF7A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rPr>
                <w:rStyle w:val="SpecialBold"/>
              </w:rPr>
              <w:t>9.1)</w:t>
            </w:r>
          </w:p>
        </w:tc>
      </w:tr>
      <w:tr w:rsidTr="00FF7A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t>Longitudinal competency development approaches to assessment, such as Profil</w:t>
            </w:r>
            <w:r w:rsidRPr="00F63F06">
              <w:t>ing, require data to be reliably gathered in a form that can be consistently interpreted over time. This approach is best utilised in Apprenticeship programs and reduces assessment intervention. It is the Industry-preferred model for apprenticeships. Howev</w:t>
            </w:r>
            <w:r w:rsidRPr="00F63F06">
              <w:t xml:space="preserve">er, where summative (or final) assessment is used it must include the application of the competency in the normal work environment or, at a minimum, the application of the competency in a realistically simulated work environment. It is recognised that, in </w:t>
            </w:r>
            <w:r w:rsidRPr="00F63F06">
              <w:t>some circumstances, assessment in part or full can occur outside the workplace. However, it must be in accord with industry and regulatory policy.</w:t>
            </w:r>
          </w:p>
          <w:p w:rsidR="00000000" w:rsidRPr="00F63F06" w:rsidP="00F63F06">
            <w:pPr>
              <w:pStyle w:val="BodyText"/>
            </w:pPr>
            <w:r w:rsidRPr="00F63F06">
              <w:t>Methods chosen for a particular assessment will be influenced by various factors. These include the extent of</w:t>
            </w:r>
            <w:r w:rsidRPr="00F63F06">
              <w:t xml:space="preserve"> the assessment, the most effective locations for the assessment activities to take place, access to physical resources, additional safety measures that may be required and the critical nature of the competencies being assessed.</w:t>
            </w:r>
          </w:p>
          <w:p w:rsidR="00000000" w:rsidRPr="00F63F06" w:rsidP="00F63F06">
            <w:pPr>
              <w:pStyle w:val="BodyText"/>
            </w:pPr>
            <w:r w:rsidRPr="00F63F06">
              <w:t xml:space="preserve">The critical safety nature </w:t>
            </w:r>
            <w:r w:rsidRPr="00F63F06">
              <w:t>of working with electricity, electrical equipment, gas or any other hazardous substance/material carries risk in deeming a person competent. Sources of evidence need to be ‘rich’ in nature to minimise error in judgment.</w:t>
            </w:r>
          </w:p>
          <w:p w:rsidR="00000000" w:rsidRPr="00F63F06" w:rsidP="00F63F06">
            <w:pPr>
              <w:pStyle w:val="BodyText"/>
            </w:pPr>
            <w:r w:rsidRPr="00F63F06">
              <w:t>Activities associated with normal everyday work influence decisions about how/how much the data gathered will contribute to its ‘richness’. Some skills are more critical to safety and operational requirements while the same skills may be more or less frequ</w:t>
            </w:r>
            <w:r w:rsidRPr="00F63F06">
              <w:t>ently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F63F06" w:rsidP="00F63F06">
      <w:pPr>
        <w:pStyle w:val="BodyText"/>
      </w:pPr>
    </w:p>
    <w:tbl>
      <w:tblPr>
        <w:tblW w:w="0" w:type="auto"/>
        <w:tblLayout w:type="fixed"/>
        <w:tblCellMar>
          <w:left w:w="62" w:type="dxa"/>
          <w:right w:w="62" w:type="dxa"/>
        </w:tblCellMar>
        <w:tblLook w:val="0000"/>
      </w:tblPr>
      <w:tblGrid>
        <w:gridCol w:w="1876"/>
        <w:gridCol w:w="14"/>
        <w:gridCol w:w="1080"/>
        <w:gridCol w:w="5490"/>
      </w:tblGrid>
      <w:tr w:rsidTr="00FF7AE3">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rPr>
                <w:rStyle w:val="SpecialBold"/>
              </w:rPr>
              <w:t>9.2)</w:t>
            </w:r>
          </w:p>
        </w:tc>
      </w:tr>
      <w:tr w:rsidTr="00FF7AE3">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t>Before the critical aspects of evidence are considered all prerequisites shall be met.</w:t>
            </w:r>
          </w:p>
          <w:p w:rsidR="00000000" w:rsidRPr="00F63F06" w:rsidP="00F63F06">
            <w:pPr>
              <w:pStyle w:val="BodyText"/>
            </w:pPr>
            <w:r w:rsidRPr="00F63F06">
              <w:t>Evidence for competence in this unit shall be considered holistically.  Each Elem</w:t>
            </w:r>
            <w:r w:rsidRPr="00F63F06">
              <w:t>ent and associated performance criteria shall be demonstrated on at least two occasions in accordance with the ‘Assessment Guidelines – UEE11’.  Evidence shall also comprise:</w:t>
            </w:r>
          </w:p>
          <w:p w:rsidR="00000000" w:rsidRPr="00F63F06" w:rsidP="00F63F06">
            <w:pPr>
              <w:pStyle w:val="ListBullet"/>
            </w:pPr>
            <w:r w:rsidRPr="00F63F06">
              <w:t>A representative body of work performance demonstrated within the timeframes typ</w:t>
            </w:r>
            <w:r w:rsidRPr="00F63F06">
              <w:t>ically expected of the discipline, work function and industrial environment. In particular this shall incorporate evidence that shows a candidate is able to:</w:t>
            </w:r>
          </w:p>
          <w:p w:rsidR="00000000" w:rsidRPr="00F63F06" w:rsidP="00F63F06">
            <w:pPr>
              <w:pStyle w:val="ListBullet2"/>
            </w:pPr>
            <w:r w:rsidRPr="00F63F06">
              <w:t xml:space="preserve">Implement Occupational Health and Safety workplace procedures and practices, including </w:t>
            </w:r>
            <w:r w:rsidRPr="00F63F06">
              <w:t>the use of risk control measures as specified in the performance criteria and range statement</w:t>
            </w:r>
          </w:p>
          <w:p w:rsidR="00000000" w:rsidRPr="00F63F06" w:rsidP="00F63F06">
            <w:pPr>
              <w:pStyle w:val="ListBullet2"/>
            </w:pPr>
            <w:r w:rsidRPr="00F63F06">
              <w:t>Apply sustainable energy principles and practices as specified in the performance criteria and range statement</w:t>
            </w:r>
          </w:p>
          <w:p w:rsidR="00000000" w:rsidRPr="00F63F06" w:rsidP="00F63F06">
            <w:pPr>
              <w:pStyle w:val="ListBullet2"/>
            </w:pPr>
            <w:r w:rsidRPr="00F63F06">
              <w:t>Demonstrate an understanding of the required skills</w:t>
            </w:r>
            <w:r w:rsidRPr="00F63F06">
              <w:t xml:space="preserve"> and knowledge as described in this unit. It may be required by some jurisdictions that RTOs provide a percentile graded result for the purpose of regulatory or licensing requirements.</w:t>
            </w:r>
          </w:p>
          <w:p w:rsidR="00000000" w:rsidRPr="00F63F06" w:rsidP="00F63F06">
            <w:pPr>
              <w:pStyle w:val="ListBullet2"/>
            </w:pPr>
            <w:r w:rsidRPr="00F63F06">
              <w:t>Demonstrate an appropriate level of skills enabling employment</w:t>
            </w:r>
          </w:p>
          <w:p w:rsidR="00000000" w:rsidRPr="00F63F06" w:rsidP="00F63F06">
            <w:pPr>
              <w:pStyle w:val="ListBullet2"/>
            </w:pPr>
            <w:r w:rsidRPr="00F63F06">
              <w:t xml:space="preserve">Conduct </w:t>
            </w:r>
            <w:r w:rsidRPr="00F63F06">
              <w:t>work observing the relevant Anti Discrimination legislation, regulations, polices and workplace procedures</w:t>
            </w:r>
          </w:p>
          <w:p w:rsidR="00000000" w:rsidRPr="00F63F06" w:rsidP="00F63F06">
            <w:pPr>
              <w:pStyle w:val="ListBullet"/>
            </w:pPr>
            <w:r w:rsidRPr="00F63F06">
              <w:t>Demonstrated consistent performance across a representative range of contexts from the prescribed items below:</w:t>
            </w:r>
          </w:p>
          <w:p w:rsidR="00000000" w:rsidP="00F63F06">
            <w:pPr>
              <w:pStyle w:val="ListBullet2"/>
              <w:rPr>
                <w:lang w:val="en-NZ"/>
              </w:rPr>
            </w:pPr>
            <w:r w:rsidRPr="00F63F06">
              <w:t>Diagnose and rectify faults in digit</w:t>
            </w:r>
            <w:r w:rsidRPr="00F63F06">
              <w:t>al subsystems of electronic controls as described in 8) and including:</w:t>
            </w:r>
          </w:p>
        </w:tc>
      </w:tr>
      <w:tr w:rsidTr="00FF7AE3">
        <w:tblPrEx>
          <w:tblW w:w="0" w:type="auto"/>
          <w:tblLayout w:type="fixed"/>
          <w:tblCellMar>
            <w:left w:w="62" w:type="dxa"/>
            <w:right w:w="62" w:type="dxa"/>
          </w:tblCellMar>
          <w:tblLook w:val="0000"/>
        </w:tblPrEx>
        <w:tc>
          <w:tcPr>
            <w:tcW w:w="18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4" w:type="dxa"/>
            <w:gridSpan w:val="2"/>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A</w:t>
            </w:r>
          </w:p>
        </w:tc>
        <w:tc>
          <w:tcPr>
            <w:tcW w:w="549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Applying logical diagnostic methods.</w:t>
            </w:r>
          </w:p>
        </w:tc>
      </w:tr>
      <w:tr w:rsidTr="00FF7AE3">
        <w:tblPrEx>
          <w:tblW w:w="0" w:type="auto"/>
          <w:tblLayout w:type="fixed"/>
          <w:tblCellMar>
            <w:left w:w="62" w:type="dxa"/>
            <w:right w:w="62" w:type="dxa"/>
          </w:tblCellMar>
          <w:tblLook w:val="0000"/>
        </w:tblPrEx>
        <w:tc>
          <w:tcPr>
            <w:tcW w:w="18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4" w:type="dxa"/>
            <w:gridSpan w:val="2"/>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B</w:t>
            </w:r>
          </w:p>
        </w:tc>
        <w:tc>
          <w:tcPr>
            <w:tcW w:w="549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Using fault scenarios to test the cause(s) of system faults.</w:t>
            </w:r>
          </w:p>
        </w:tc>
      </w:tr>
      <w:tr w:rsidTr="00FF7AE3">
        <w:tblPrEx>
          <w:tblW w:w="0" w:type="auto"/>
          <w:tblLayout w:type="fixed"/>
          <w:tblCellMar>
            <w:left w:w="62" w:type="dxa"/>
            <w:right w:w="62" w:type="dxa"/>
          </w:tblCellMar>
          <w:tblLook w:val="0000"/>
        </w:tblPrEx>
        <w:tc>
          <w:tcPr>
            <w:tcW w:w="18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4" w:type="dxa"/>
            <w:gridSpan w:val="2"/>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C</w:t>
            </w:r>
          </w:p>
        </w:tc>
        <w:tc>
          <w:tcPr>
            <w:tcW w:w="549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Identifying faults and their cause and competency needed to rectify them.</w:t>
            </w:r>
          </w:p>
        </w:tc>
      </w:tr>
      <w:tr w:rsidTr="00FF7AE3">
        <w:tblPrEx>
          <w:tblW w:w="0" w:type="auto"/>
          <w:tblLayout w:type="fixed"/>
          <w:tblCellMar>
            <w:left w:w="62" w:type="dxa"/>
            <w:right w:w="62" w:type="dxa"/>
          </w:tblCellMar>
          <w:tblLook w:val="0000"/>
        </w:tblPrEx>
        <w:tc>
          <w:tcPr>
            <w:tcW w:w="18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4" w:type="dxa"/>
            <w:gridSpan w:val="2"/>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D</w:t>
            </w:r>
          </w:p>
        </w:tc>
        <w:tc>
          <w:tcPr>
            <w:tcW w:w="549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Rectifying faults in system digital subsystems.</w:t>
            </w:r>
          </w:p>
        </w:tc>
      </w:tr>
      <w:tr w:rsidTr="00FF7AE3">
        <w:tblPrEx>
          <w:tblW w:w="0" w:type="auto"/>
          <w:tblLayout w:type="fixed"/>
          <w:tblCellMar>
            <w:left w:w="62" w:type="dxa"/>
            <w:right w:w="62" w:type="dxa"/>
          </w:tblCellMar>
          <w:tblLook w:val="0000"/>
        </w:tblPrEx>
        <w:tc>
          <w:tcPr>
            <w:tcW w:w="18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4" w:type="dxa"/>
            <w:gridSpan w:val="2"/>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E</w:t>
            </w:r>
          </w:p>
        </w:tc>
        <w:tc>
          <w:tcPr>
            <w:tcW w:w="549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Verifying that the system operates correctly.</w:t>
            </w:r>
          </w:p>
        </w:tc>
      </w:tr>
      <w:tr w:rsidTr="00FF7AE3">
        <w:tblPrEx>
          <w:tblW w:w="0" w:type="auto"/>
          <w:tblLayout w:type="fixed"/>
          <w:tblCellMar>
            <w:left w:w="62" w:type="dxa"/>
            <w:right w:w="62" w:type="dxa"/>
          </w:tblCellMar>
          <w:tblLook w:val="0000"/>
        </w:tblPrEx>
        <w:tc>
          <w:tcPr>
            <w:tcW w:w="18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4" w:type="dxa"/>
            <w:gridSpan w:val="2"/>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F</w:t>
            </w:r>
          </w:p>
        </w:tc>
        <w:tc>
          <w:tcPr>
            <w:tcW w:w="549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Documenting fault rectification.</w:t>
            </w:r>
          </w:p>
        </w:tc>
      </w:tr>
      <w:tr w:rsidTr="00FF7AE3">
        <w:tblPrEx>
          <w:tblW w:w="0" w:type="auto"/>
          <w:tblLayout w:type="fixed"/>
          <w:tblCellMar>
            <w:left w:w="62" w:type="dxa"/>
            <w:right w:w="62" w:type="dxa"/>
          </w:tblCellMar>
          <w:tblLook w:val="0000"/>
        </w:tblPrEx>
        <w:tc>
          <w:tcPr>
            <w:tcW w:w="18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4" w:type="dxa"/>
            <w:gridSpan w:val="2"/>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G</w:t>
            </w:r>
          </w:p>
        </w:tc>
        <w:tc>
          <w:tcPr>
            <w:tcW w:w="549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 xml:space="preserve">Dealing with unplanned events by drawing on required skills and knowledge to provide appropriate solutions </w:t>
            </w:r>
            <w:r w:rsidRPr="00F63F06">
              <w:t>incorporated in a holistic assessment with the above listed items.</w:t>
            </w:r>
          </w:p>
        </w:tc>
      </w:tr>
      <w:tr w:rsidTr="00FF7AE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t xml:space="preserve">Note: </w:t>
            </w:r>
          </w:p>
          <w:p w:rsidR="00000000" w:rsidRPr="00F63F06" w:rsidP="00F63F06">
            <w:pPr>
              <w:pStyle w:val="BodyText"/>
            </w:pPr>
            <w:r w:rsidRPr="00F63F06">
              <w:t>Successful completion of relevant vendor training may be used to contribut</w:t>
            </w:r>
            <w:r w:rsidRPr="00F63F06">
              <w:t>e to evidence on which competency is deemed. In these cases the alignment of outcomes of vendor training with performance criteria and critical aspects of evidence shall be clearly identified.</w:t>
            </w:r>
          </w:p>
        </w:tc>
      </w:tr>
    </w:tbl>
    <w:p w:rsidR="00000000" w:rsidRPr="00F63F06" w:rsidP="00F63F06">
      <w:pPr>
        <w:pStyle w:val="BodyText"/>
      </w:pPr>
    </w:p>
    <w:tbl>
      <w:tblPr>
        <w:tblW w:w="0" w:type="auto"/>
        <w:tblLayout w:type="fixed"/>
        <w:tblCellMar>
          <w:left w:w="62" w:type="dxa"/>
          <w:right w:w="62" w:type="dxa"/>
        </w:tblCellMar>
        <w:tblLook w:val="0000"/>
      </w:tblPr>
      <w:tblGrid>
        <w:gridCol w:w="1890"/>
        <w:gridCol w:w="6570"/>
      </w:tblGrid>
      <w:tr w:rsidTr="00FF7AE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rPr>
                <w:rStyle w:val="SpecialBold"/>
              </w:rPr>
              <w:t>9.3)</w:t>
            </w:r>
          </w:p>
        </w:tc>
      </w:tr>
      <w:tr w:rsidTr="00FF7AE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t>This unit should be assessed as it relates to normal work practice using procedures, information and resources typical of a workplace. This should include:</w:t>
            </w:r>
          </w:p>
          <w:p w:rsidR="00000000" w:rsidRPr="00F63F06" w:rsidP="00F63F06">
            <w:pPr>
              <w:pStyle w:val="ListBullet"/>
            </w:pPr>
            <w:r w:rsidRPr="00F63F06">
              <w:t>OHS policy and work procedures and instructions.</w:t>
            </w:r>
          </w:p>
          <w:p w:rsidR="00000000" w:rsidRPr="00F63F06" w:rsidP="00F63F06">
            <w:pPr>
              <w:pStyle w:val="ListBullet"/>
            </w:pPr>
            <w:r w:rsidRPr="00F63F06">
              <w:t>Suitable work environment, facilities, equipment a</w:t>
            </w:r>
            <w:r w:rsidRPr="00F63F06">
              <w:t>nd materials to undertake actual work as prescribed by this unit.</w:t>
            </w:r>
          </w:p>
          <w:p w:rsidR="00000000" w:rsidRPr="00F63F06" w:rsidP="00F63F06">
            <w:pPr>
              <w:pStyle w:val="BodyText"/>
            </w:pPr>
            <w:r w:rsidRPr="00F63F06">
              <w:t>These should be part of the formal learning/assessment environment.</w:t>
            </w:r>
          </w:p>
          <w:p w:rsidR="00000000" w:rsidRPr="00F63F06" w:rsidP="00F63F06">
            <w:pPr>
              <w:pStyle w:val="BodyText"/>
            </w:pPr>
            <w:r w:rsidRPr="00F63F06">
              <w:t>Note:</w:t>
            </w:r>
          </w:p>
          <w:p w:rsidR="00000000" w:rsidRPr="00F63F06" w:rsidP="00F63F06">
            <w:pPr>
              <w:pStyle w:val="BodyText"/>
            </w:pPr>
            <w:r w:rsidRPr="00F63F06">
              <w:t>Where simulation is considered a suitable strategy for assessment, conditions must be authentic and as far as possible reproduce and replicate the workplace and be consistent with the approved industry simulation policy.</w:t>
            </w:r>
          </w:p>
          <w:p w:rsidR="00000000" w:rsidRPr="00F63F06" w:rsidP="00F63F06">
            <w:pPr>
              <w:pStyle w:val="BodyText"/>
            </w:pPr>
            <w:r w:rsidRPr="00F63F06">
              <w:t>The resources used for assessment s</w:t>
            </w:r>
            <w:r w:rsidRPr="00F63F06">
              <w:t>hould reflect current industry practices in relation to diagnosing and rectifying faults in digital systems of electronic controls.</w:t>
            </w:r>
          </w:p>
        </w:tc>
      </w:tr>
    </w:tbl>
    <w:p w:rsidR="00000000" w:rsidRPr="00F63F06" w:rsidP="00F63F06">
      <w:pPr>
        <w:pStyle w:val="BodyText"/>
      </w:pPr>
    </w:p>
    <w:tbl>
      <w:tblPr>
        <w:tblW w:w="0" w:type="auto"/>
        <w:tblLayout w:type="fixed"/>
        <w:tblCellMar>
          <w:left w:w="62" w:type="dxa"/>
          <w:right w:w="62" w:type="dxa"/>
        </w:tblCellMar>
        <w:tblLook w:val="0000"/>
      </w:tblPr>
      <w:tblGrid>
        <w:gridCol w:w="1890"/>
        <w:gridCol w:w="6570"/>
      </w:tblGrid>
      <w:tr w:rsidTr="00FF7A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rPr>
                <w:rStyle w:val="SpecialBold"/>
              </w:rPr>
              <w:t>9.4)</w:t>
            </w:r>
          </w:p>
        </w:tc>
      </w:tr>
      <w:tr w:rsidTr="00FF7A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t>This unit shall be assessed by methods given in Volume 1, Part 3 ‘Assessment Guidelines’.</w:t>
            </w:r>
          </w:p>
          <w:p w:rsidR="00000000" w:rsidRPr="00F63F06" w:rsidP="00F63F06">
            <w:pPr>
              <w:pStyle w:val="BodyText"/>
            </w:pPr>
            <w:r w:rsidRPr="00F63F06">
              <w:t xml:space="preserve">Note: </w:t>
            </w:r>
          </w:p>
          <w:p w:rsidR="00000000" w:rsidRPr="00F63F06" w:rsidP="00F63F06">
            <w:pPr>
              <w:pStyle w:val="BodyText"/>
            </w:pPr>
            <w:r w:rsidRPr="00F63F06">
              <w:t>Competent performance with inherent safe working practices is expected in the industry to which this unit applies. This requires that the specified required skills and knowledge are assessed in a structured environment which is primarily intended fo</w:t>
            </w:r>
            <w:r w:rsidRPr="00F63F06">
              <w:t>r learning/assessment and incorporates all necessary equipment and facilities for learners to develop and demonstrate the required skills and knowledge described in this unit.</w:t>
            </w:r>
          </w:p>
        </w:tc>
      </w:tr>
    </w:tbl>
    <w:p w:rsidR="00000000" w:rsidRPr="00F63F06" w:rsidP="00F63F06">
      <w:pPr>
        <w:pStyle w:val="BodyText"/>
      </w:pPr>
    </w:p>
    <w:tbl>
      <w:tblPr>
        <w:tblW w:w="0" w:type="auto"/>
        <w:tblLayout w:type="fixed"/>
        <w:tblCellMar>
          <w:left w:w="62" w:type="dxa"/>
          <w:right w:w="62" w:type="dxa"/>
        </w:tblCellMar>
        <w:tblLook w:val="0000"/>
      </w:tblPr>
      <w:tblGrid>
        <w:gridCol w:w="1890"/>
        <w:gridCol w:w="6570"/>
      </w:tblGrid>
      <w:tr w:rsidTr="00FF7A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rPr>
                <w:rStyle w:val="SpecialBold"/>
              </w:rPr>
              <w:t>9.5)</w:t>
            </w:r>
          </w:p>
        </w:tc>
      </w:tr>
      <w:tr w:rsidTr="00FF7A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t>For optimisatio</w:t>
            </w:r>
            <w:r w:rsidRPr="00F63F06">
              <w:t>n of training and assessment effort, competency development in this unit may be arranged concurrently with unit:</w:t>
            </w:r>
          </w:p>
        </w:tc>
      </w:tr>
      <w:tr w:rsidTr="00FF7AE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t>The critical aspects of occupational health and safety covered in unit UEENEEE101A and other discipline specific occupational health and safe</w:t>
            </w:r>
            <w:r w:rsidRPr="00F63F06">
              <w:t>ty units shall be incorporated in relation to this unit.</w:t>
            </w:r>
          </w:p>
        </w:tc>
      </w:tr>
    </w:tbl>
    <w:p w:rsidR="00000000" w:rsidRPr="00F63F06" w:rsidP="00F63F06">
      <w:pPr>
        <w:pStyle w:val="BodyText"/>
      </w:pPr>
    </w:p>
    <w:p w:rsidR="00000000" w:rsidRPr="00F63F06" w:rsidP="00F63F06">
      <w:pPr>
        <w:pStyle w:val="AllowPageBreak"/>
      </w:pPr>
    </w:p>
    <w:p w:rsidR="00000000" w:rsidRPr="00F63F06" w:rsidP="00F63F06">
      <w:pPr>
        <w:pStyle w:val="Heading1"/>
      </w:pPr>
      <w:bookmarkStart w:id="11" w:name="O_534143"/>
      <w:bookmarkEnd w:id="11"/>
      <w:r w:rsidRPr="00F63F06">
        <w:t>Range Statement</w:t>
      </w:r>
    </w:p>
    <w:tbl>
      <w:tblPr>
        <w:tblW w:w="0" w:type="auto"/>
        <w:tblLayout w:type="fixed"/>
        <w:tblCellMar>
          <w:left w:w="62" w:type="dxa"/>
          <w:right w:w="62" w:type="dxa"/>
        </w:tblCellMar>
        <w:tblLook w:val="0000"/>
      </w:tblPr>
      <w:tblGrid>
        <w:gridCol w:w="8460"/>
      </w:tblGrid>
      <w:tr w:rsidTr="00FF7AE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rPr>
                <w:rStyle w:val="SpecialBold"/>
              </w:rPr>
              <w:t>RANGE STATEMENT</w:t>
            </w:r>
          </w:p>
        </w:tc>
      </w:tr>
      <w:tr w:rsidTr="00FF7AE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rPr>
                <w:rStyle w:val="SpecialBold"/>
              </w:rPr>
              <w:t>10)</w:t>
            </w:r>
            <w:r w:rsidRPr="00F63F06">
              <w:t xml:space="preserve"> This relates to the unit as a whole providing the range of contexts and conditions to which the </w:t>
            </w:r>
            <w:r w:rsidRPr="00F63F06">
              <w:t>performance criteria apply. It allows for different work environments and situations that will affect performance.</w:t>
            </w:r>
          </w:p>
          <w:p w:rsidR="00000000" w:rsidRPr="00F63F06" w:rsidP="00F63F06">
            <w:pPr>
              <w:pStyle w:val="BodyText"/>
            </w:pPr>
            <w:r w:rsidRPr="00F63F06">
              <w:t>This unit shall be demonstrated by diagnosing and rectifying at least four of the following faults in digital control systems.</w:t>
            </w:r>
          </w:p>
          <w:p w:rsidR="00000000" w:rsidRPr="00F63F06" w:rsidP="00F63F06">
            <w:pPr>
              <w:pStyle w:val="ListBullet3"/>
            </w:pPr>
            <w:r w:rsidRPr="00F63F06">
              <w:t xml:space="preserve">Open-circuit </w:t>
            </w:r>
          </w:p>
          <w:p w:rsidR="00000000" w:rsidRPr="00F63F06" w:rsidP="00F63F06">
            <w:pPr>
              <w:pStyle w:val="ListBullet3"/>
            </w:pPr>
            <w:r w:rsidRPr="00F63F06">
              <w:t xml:space="preserve">Short-circuit </w:t>
            </w:r>
          </w:p>
          <w:p w:rsidR="00000000" w:rsidRPr="00F63F06" w:rsidP="00F63F06">
            <w:pPr>
              <w:pStyle w:val="ListBullet3"/>
            </w:pPr>
            <w:r w:rsidRPr="00F63F06">
              <w:t>Incorrect or failed connections</w:t>
            </w:r>
          </w:p>
          <w:p w:rsidR="00000000" w:rsidRPr="00F63F06" w:rsidP="00F63F06">
            <w:pPr>
              <w:pStyle w:val="ListBullet3"/>
            </w:pPr>
            <w:r w:rsidRPr="00F63F06">
              <w:t>Insulation failure</w:t>
            </w:r>
          </w:p>
          <w:p w:rsidR="00000000" w:rsidRPr="00F63F06" w:rsidP="00F63F06">
            <w:pPr>
              <w:pStyle w:val="ListBullet3"/>
            </w:pPr>
            <w:r w:rsidRPr="00F63F06">
              <w:t>Unsafe condition</w:t>
            </w:r>
          </w:p>
          <w:p w:rsidR="00000000" w:rsidRPr="00F63F06" w:rsidP="00F63F06">
            <w:pPr>
              <w:pStyle w:val="ListBullet3"/>
            </w:pPr>
            <w:r w:rsidRPr="00F63F06">
              <w:t>Apparatus/component failure</w:t>
            </w:r>
          </w:p>
          <w:p w:rsidR="00000000" w:rsidRPr="00F63F06" w:rsidP="00F63F06">
            <w:pPr>
              <w:pStyle w:val="ListBullet3"/>
            </w:pPr>
            <w:r w:rsidRPr="00F63F06">
              <w:t>Related mechanical failure</w:t>
            </w:r>
          </w:p>
          <w:p w:rsidR="00000000" w:rsidRPr="00F63F06" w:rsidP="00F63F06">
            <w:pPr>
              <w:pStyle w:val="BodyText"/>
            </w:pPr>
            <w:r w:rsidRPr="00F63F06">
              <w:t>Generic terms used throughout this Vocational Standard shall be regarded as part of the Range Statement in which comp</w:t>
            </w:r>
            <w:r w:rsidRPr="00F63F06">
              <w:t>etency is demonstrated. The definition of these and other terms that apply are given in Volume 2, Part 2.1.</w:t>
            </w:r>
          </w:p>
        </w:tc>
      </w:tr>
    </w:tbl>
    <w:p w:rsidR="00000000" w:rsidRPr="00F63F06" w:rsidP="00F63F06">
      <w:pPr>
        <w:pStyle w:val="BodyText"/>
      </w:pPr>
    </w:p>
    <w:p w:rsidR="00000000" w:rsidRPr="00F63F06" w:rsidP="00F63F06">
      <w:pPr>
        <w:pStyle w:val="AllowPageBreak"/>
      </w:pPr>
    </w:p>
    <w:p w:rsidR="00000000" w:rsidRPr="00F63F06" w:rsidP="00F63F06">
      <w:pPr>
        <w:pStyle w:val="Heading1"/>
      </w:pPr>
      <w:bookmarkStart w:id="12" w:name="O_534142"/>
      <w:bookmarkEnd w:id="12"/>
      <w:r w:rsidRPr="00F63F06">
        <w:t>Unit Sector(s)</w:t>
      </w:r>
    </w:p>
    <w:p w:rsidR="00000000" w:rsidRPr="00F63F06" w:rsidP="00F63F06">
      <w:pPr>
        <w:pStyle w:val="BodyText"/>
      </w:pPr>
      <w:r w:rsidRPr="00F63F06">
        <w:t>Not applicable.</w:t>
      </w:r>
    </w:p>
    <w:p w:rsidR="00000000" w:rsidRPr="00F63F06" w:rsidP="00F63F06">
      <w:pPr>
        <w:pStyle w:val="AllowPageBreak"/>
      </w:pPr>
    </w:p>
    <w:p w:rsidR="00000000" w:rsidRPr="00F63F06" w:rsidP="00F63F06">
      <w:pPr>
        <w:pStyle w:val="Heading1"/>
      </w:pPr>
      <w:bookmarkStart w:id="13" w:name="O_534141"/>
      <w:bookmarkEnd w:id="13"/>
      <w:r w:rsidRPr="00F63F06">
        <w:t>Competency Field</w:t>
      </w:r>
    </w:p>
    <w:tbl>
      <w:tblPr>
        <w:tblW w:w="0" w:type="auto"/>
        <w:tblLayout w:type="fixed"/>
        <w:tblCellMar>
          <w:left w:w="62" w:type="dxa"/>
          <w:right w:w="62" w:type="dxa"/>
        </w:tblCellMar>
        <w:tblLook w:val="0000"/>
      </w:tblPr>
      <w:tblGrid>
        <w:gridCol w:w="2700"/>
        <w:gridCol w:w="5760"/>
      </w:tblGrid>
      <w:tr w:rsidTr="00FF7AE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63F06">
            <w:pPr>
              <w:pStyle w:val="BodyText"/>
              <w:rPr>
                <w:lang w:val="en-NZ"/>
              </w:rPr>
            </w:pPr>
            <w:r w:rsidRPr="00F63F06">
              <w:rPr>
                <w:rStyle w:val="SpecialBold"/>
              </w:rPr>
              <w:t xml:space="preserve">11) </w:t>
            </w:r>
          </w:p>
        </w:tc>
      </w:tr>
      <w:tr w:rsidTr="00FF7AE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3F06" w:rsidP="00F63F06">
            <w:pPr>
              <w:pStyle w:val="BodyText"/>
            </w:pPr>
            <w:r w:rsidRPr="00F63F06">
              <w:t>Instrumentation and Control</w:t>
            </w:r>
          </w:p>
        </w:tc>
      </w:tr>
    </w:tbl>
    <w:p w:rsidR="00000000" w:rsidRPr="00F63F06" w:rsidP="00F63F06">
      <w:pPr>
        <w:pStyle w:val="BodyText"/>
      </w:pPr>
    </w:p>
    <w:p w:rsidR="00000000" w:rsidRPr="00F63F06" w:rsidP="00F63F06"/>
    <w:sectPr w:rsidSect="00F63F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06" w:rsidRPr="00FF7AE3" w:rsidP="00FF7AE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E3" w:rsidP="00F63F0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F7AE3" w:rsidP="00F63F0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FF7AE3" w:rsidP="00F63F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06" w:rsidRPr="00FF7AE3" w:rsidP="00FF7A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F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E3" w:rsidRPr="002D2AF8" w:rsidP="00F63F06">
    <w:pPr>
      <w:pStyle w:val="Header"/>
      <w:framePr w:wrap="around"/>
    </w:pPr>
    <w:r>
      <w:fldChar w:fldCharType="begin"/>
    </w:r>
    <w:r>
      <w:instrText xml:space="preserve"> TITLE   \* MERGEFORMAT </w:instrText>
    </w:r>
    <w:r>
      <w:fldChar w:fldCharType="separate"/>
    </w:r>
    <w:r>
      <w:t>UEENEEI139A Diagnose and rectify faults in digital controls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FF7AE3" w:rsidP="00F63F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AAA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7810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80EB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F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F06"/>
    <w:pPr>
      <w:spacing w:before="360" w:after="60"/>
      <w:outlineLvl w:val="0"/>
    </w:pPr>
    <w:rPr>
      <w:sz w:val="32"/>
    </w:rPr>
  </w:style>
  <w:style w:type="paragraph" w:styleId="Heading2">
    <w:name w:val="heading 2"/>
    <w:basedOn w:val="HeadingBase"/>
    <w:next w:val="BodyText"/>
    <w:link w:val="Heading2Char"/>
    <w:qFormat/>
    <w:rsid w:val="00F63F06"/>
    <w:pPr>
      <w:keepLines/>
      <w:spacing w:before="240" w:after="120"/>
      <w:outlineLvl w:val="1"/>
    </w:pPr>
    <w:rPr>
      <w:sz w:val="28"/>
      <w:szCs w:val="40"/>
    </w:rPr>
  </w:style>
  <w:style w:type="paragraph" w:styleId="Heading3">
    <w:name w:val="heading 3"/>
    <w:basedOn w:val="HeadingBase"/>
    <w:next w:val="BodyText"/>
    <w:link w:val="Heading3Char"/>
    <w:qFormat/>
    <w:rsid w:val="00F63F06"/>
    <w:pPr>
      <w:spacing w:before="180" w:after="120"/>
      <w:outlineLvl w:val="2"/>
    </w:pPr>
    <w:rPr>
      <w:spacing w:val="-10"/>
      <w:kern w:val="32"/>
    </w:rPr>
  </w:style>
  <w:style w:type="paragraph" w:styleId="Heading4">
    <w:name w:val="heading 4"/>
    <w:basedOn w:val="HeadingBase"/>
    <w:next w:val="BodyText"/>
    <w:link w:val="Heading4Char"/>
    <w:qFormat/>
    <w:rsid w:val="00F63F06"/>
    <w:pPr>
      <w:spacing w:before="160" w:after="120"/>
      <w:outlineLvl w:val="3"/>
    </w:pPr>
    <w:rPr>
      <w:sz w:val="22"/>
    </w:rPr>
  </w:style>
  <w:style w:type="paragraph" w:styleId="Heading5">
    <w:name w:val="heading 5"/>
    <w:basedOn w:val="HeadingBase"/>
    <w:next w:val="Normal"/>
    <w:link w:val="Heading5Char"/>
    <w:qFormat/>
    <w:rsid w:val="00F63F06"/>
    <w:pPr>
      <w:spacing w:before="80"/>
      <w:outlineLvl w:val="4"/>
    </w:pPr>
    <w:rPr>
      <w:color w:val="918585"/>
      <w:sz w:val="20"/>
    </w:rPr>
  </w:style>
  <w:style w:type="paragraph" w:styleId="Heading6">
    <w:name w:val="heading 6"/>
    <w:basedOn w:val="HeadingBase"/>
    <w:next w:val="Normal"/>
    <w:link w:val="Heading6Char"/>
    <w:qFormat/>
    <w:rsid w:val="00F63F06"/>
    <w:pPr>
      <w:spacing w:before="60"/>
      <w:outlineLvl w:val="5"/>
    </w:pPr>
    <w:rPr>
      <w:color w:val="918585"/>
      <w:sz w:val="20"/>
    </w:rPr>
  </w:style>
  <w:style w:type="paragraph" w:styleId="Heading7">
    <w:name w:val="heading 7"/>
    <w:basedOn w:val="Normal"/>
    <w:next w:val="Normal"/>
    <w:link w:val="Heading7Char"/>
    <w:qFormat/>
    <w:rsid w:val="00F63F06"/>
    <w:pPr>
      <w:ind w:left="720"/>
      <w:outlineLvl w:val="6"/>
    </w:pPr>
    <w:rPr>
      <w:i/>
    </w:rPr>
  </w:style>
  <w:style w:type="paragraph" w:styleId="Heading8">
    <w:name w:val="heading 8"/>
    <w:basedOn w:val="Normal"/>
    <w:next w:val="Normal"/>
    <w:link w:val="Heading8Char"/>
    <w:qFormat/>
    <w:rsid w:val="00F63F06"/>
    <w:pPr>
      <w:ind w:left="720"/>
      <w:outlineLvl w:val="7"/>
    </w:pPr>
    <w:rPr>
      <w:i/>
    </w:rPr>
  </w:style>
  <w:style w:type="paragraph" w:styleId="Heading9">
    <w:name w:val="heading 9"/>
    <w:basedOn w:val="Normal"/>
    <w:next w:val="Normal"/>
    <w:link w:val="Heading9Char"/>
    <w:qFormat/>
    <w:rsid w:val="00F63F06"/>
    <w:pPr>
      <w:ind w:left="720"/>
      <w:outlineLvl w:val="8"/>
    </w:pPr>
    <w:rPr>
      <w:i/>
    </w:rPr>
  </w:style>
  <w:style w:type="character" w:default="1" w:styleId="DefaultParagraphFont">
    <w:name w:val="Default Paragraph Font"/>
    <w:uiPriority w:val="1"/>
    <w:unhideWhenUsed/>
    <w:rsid w:val="00F63F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F06"/>
  </w:style>
  <w:style w:type="character" w:customStyle="1" w:styleId="Heading1Char">
    <w:name w:val="Heading 1 Char"/>
    <w:basedOn w:val="DefaultParagraphFont"/>
    <w:link w:val="Heading1"/>
    <w:rsid w:val="00F63F06"/>
    <w:rPr>
      <w:rFonts w:ascii="Times New Roman" w:eastAsia="Times New Roman" w:hAnsi="Times New Roman" w:cs="Times New Roman"/>
      <w:b/>
      <w:sz w:val="32"/>
      <w:szCs w:val="20"/>
      <w:lang w:eastAsia="en-US"/>
    </w:rPr>
  </w:style>
  <w:style w:type="paragraph" w:styleId="BodyText">
    <w:name w:val="Body Text"/>
    <w:basedOn w:val="Normal"/>
    <w:link w:val="BodyTextChar"/>
    <w:rsid w:val="00F63F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3F06"/>
    <w:rPr>
      <w:rFonts w:ascii="Times New Roman" w:eastAsia="Times New Roman" w:hAnsi="Times New Roman" w:cs="Times New Roman"/>
      <w:sz w:val="24"/>
      <w:lang w:eastAsia="en-US"/>
    </w:rPr>
  </w:style>
  <w:style w:type="paragraph" w:styleId="ListBullet">
    <w:name w:val="List Bullet"/>
    <w:basedOn w:val="List"/>
    <w:rsid w:val="00F63F06"/>
    <w:pPr>
      <w:numPr>
        <w:numId w:val="14"/>
      </w:numPr>
      <w:tabs>
        <w:tab w:val="clear" w:pos="340"/>
      </w:tabs>
      <w:spacing w:before="40" w:after="40"/>
    </w:pPr>
  </w:style>
  <w:style w:type="character" w:customStyle="1" w:styleId="SpecialBold">
    <w:name w:val="Special Bold"/>
    <w:basedOn w:val="DefaultParagraphFont"/>
    <w:rsid w:val="00F63F06"/>
    <w:rPr>
      <w:b/>
      <w:spacing w:val="0"/>
    </w:rPr>
  </w:style>
  <w:style w:type="paragraph" w:styleId="ListBullet2">
    <w:name w:val="List Bullet 2"/>
    <w:basedOn w:val="List2"/>
    <w:rsid w:val="00F63F06"/>
    <w:pPr>
      <w:numPr>
        <w:numId w:val="15"/>
      </w:numPr>
      <w:tabs>
        <w:tab w:val="clear" w:pos="680"/>
      </w:tabs>
    </w:pPr>
  </w:style>
  <w:style w:type="paragraph" w:customStyle="1" w:styleId="SuperHeading">
    <w:name w:val="SuperHeading"/>
    <w:basedOn w:val="Normal"/>
    <w:rsid w:val="00F63F06"/>
    <w:pPr>
      <w:spacing w:before="240" w:after="120"/>
      <w:outlineLvl w:val="0"/>
    </w:pPr>
    <w:rPr>
      <w:rFonts w:ascii="Times New Roman" w:hAnsi="Times New Roman"/>
      <w:b/>
      <w:sz w:val="32"/>
    </w:rPr>
  </w:style>
  <w:style w:type="paragraph" w:customStyle="1" w:styleId="AllowPageBreak">
    <w:name w:val="AllowPageBreak"/>
    <w:rsid w:val="00F63F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3F06"/>
    <w:pPr>
      <w:numPr>
        <w:numId w:val="3"/>
      </w:numPr>
      <w:tabs>
        <w:tab w:val="clear" w:pos="1021"/>
      </w:tabs>
      <w:ind w:left="1037" w:hanging="357"/>
    </w:pPr>
  </w:style>
  <w:style w:type="character" w:customStyle="1" w:styleId="Heading2Char">
    <w:name w:val="Heading 2 Char"/>
    <w:basedOn w:val="DefaultParagraphFont"/>
    <w:link w:val="Heading2"/>
    <w:rsid w:val="00F63F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F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F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F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F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F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F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F06"/>
    <w:rPr>
      <w:rFonts w:ascii="Courier New" w:eastAsia="Times New Roman" w:hAnsi="Courier New" w:cs="Times New Roman"/>
      <w:i/>
      <w:szCs w:val="20"/>
      <w:lang w:eastAsia="en-US"/>
    </w:rPr>
  </w:style>
  <w:style w:type="paragraph" w:customStyle="1" w:styleId="HeadingBase">
    <w:name w:val="Heading Base"/>
    <w:rsid w:val="00F63F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F06"/>
    <w:pPr>
      <w:tabs>
        <w:tab w:val="right" w:leader="dot" w:pos="9072"/>
      </w:tabs>
      <w:ind w:left="567"/>
    </w:pPr>
    <w:rPr>
      <w:szCs w:val="22"/>
    </w:rPr>
  </w:style>
  <w:style w:type="paragraph" w:customStyle="1" w:styleId="TOCBase">
    <w:name w:val="TOC Base"/>
    <w:rsid w:val="00F63F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F06"/>
    <w:pPr>
      <w:tabs>
        <w:tab w:val="right" w:leader="dot" w:pos="9072"/>
      </w:tabs>
      <w:spacing w:before="40" w:after="40"/>
      <w:ind w:left="284"/>
    </w:pPr>
    <w:rPr>
      <w:rFonts w:ascii="Times New Roman" w:hAnsi="Times New Roman"/>
    </w:rPr>
  </w:style>
  <w:style w:type="paragraph" w:styleId="TOC1">
    <w:name w:val="toc 1"/>
    <w:basedOn w:val="TOCBase"/>
    <w:next w:val="Normal"/>
    <w:rsid w:val="00F63F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3F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F06"/>
    <w:rPr>
      <w:rFonts w:ascii="Times New Roman" w:eastAsia="Times New Roman" w:hAnsi="Times New Roman" w:cs="Times New Roman"/>
      <w:sz w:val="16"/>
      <w:lang w:eastAsia="en-US"/>
    </w:rPr>
  </w:style>
  <w:style w:type="paragraph" w:styleId="Title">
    <w:name w:val="Title"/>
    <w:basedOn w:val="HeadingBase"/>
    <w:link w:val="TitleChar"/>
    <w:qFormat/>
    <w:rsid w:val="00F63F06"/>
    <w:pPr>
      <w:spacing w:before="5040"/>
      <w:jc w:val="center"/>
    </w:pPr>
    <w:rPr>
      <w:sz w:val="48"/>
      <w:szCs w:val="72"/>
      <w:lang w:val="en-US"/>
    </w:rPr>
  </w:style>
  <w:style w:type="character" w:customStyle="1" w:styleId="TitleChar">
    <w:name w:val="Title Char"/>
    <w:basedOn w:val="DefaultParagraphFont"/>
    <w:link w:val="Title"/>
    <w:rsid w:val="00F63F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F06"/>
    <w:pPr>
      <w:tabs>
        <w:tab w:val="left" w:pos="3600"/>
        <w:tab w:val="left" w:pos="3958"/>
      </w:tabs>
    </w:pPr>
  </w:style>
  <w:style w:type="paragraph" w:styleId="List">
    <w:name w:val="List"/>
    <w:basedOn w:val="BodyText"/>
    <w:next w:val="BodyText"/>
    <w:rsid w:val="00F63F06"/>
    <w:pPr>
      <w:tabs>
        <w:tab w:val="left" w:pos="340"/>
      </w:tabs>
      <w:spacing w:before="60" w:after="60"/>
      <w:ind w:left="340" w:hanging="340"/>
    </w:pPr>
  </w:style>
  <w:style w:type="paragraph" w:customStyle="1" w:styleId="Note">
    <w:name w:val="Note"/>
    <w:basedOn w:val="BodyText"/>
    <w:rsid w:val="00F63F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F06"/>
    <w:pPr>
      <w:framePr w:wrap="auto" w:hAnchor="text" w:y="6049"/>
    </w:pPr>
    <w:rPr>
      <w:color w:val="000000"/>
      <w:sz w:val="40"/>
    </w:rPr>
  </w:style>
  <w:style w:type="paragraph" w:customStyle="1" w:styleId="TOCTitle">
    <w:name w:val="TOCTitle"/>
    <w:basedOn w:val="Heading1"/>
    <w:rsid w:val="00F63F06"/>
    <w:pPr>
      <w:spacing w:after="240"/>
      <w:jc w:val="center"/>
      <w:outlineLvl w:val="9"/>
    </w:pPr>
    <w:rPr>
      <w:caps/>
    </w:rPr>
  </w:style>
  <w:style w:type="paragraph" w:customStyle="1" w:styleId="Version">
    <w:name w:val="Version"/>
    <w:rsid w:val="00F63F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F06"/>
    <w:pPr>
      <w:keepNext w:val="0"/>
      <w:tabs>
        <w:tab w:val="right" w:pos="4176"/>
      </w:tabs>
      <w:ind w:left="198" w:hanging="198"/>
    </w:pPr>
    <w:rPr>
      <w:rFonts w:ascii="Garamond" w:hAnsi="Garamond"/>
    </w:rPr>
  </w:style>
  <w:style w:type="paragraph" w:styleId="IndexHeading">
    <w:name w:val="index heading"/>
    <w:basedOn w:val="Normal"/>
    <w:next w:val="Index1"/>
    <w:semiHidden/>
    <w:rsid w:val="00F63F06"/>
    <w:pPr>
      <w:spacing w:before="120" w:after="120"/>
    </w:pPr>
    <w:rPr>
      <w:rFonts w:ascii="Arial" w:hAnsi="Arial"/>
      <w:b/>
      <w:color w:val="918585"/>
      <w:sz w:val="24"/>
    </w:rPr>
  </w:style>
  <w:style w:type="paragraph" w:styleId="Header">
    <w:name w:val="header"/>
    <w:basedOn w:val="Normal"/>
    <w:link w:val="HeaderChar"/>
    <w:rsid w:val="00F63F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F06"/>
    <w:rPr>
      <w:rFonts w:ascii="Times New Roman" w:eastAsia="Times New Roman" w:hAnsi="Times New Roman" w:cs="Times New Roman"/>
      <w:sz w:val="16"/>
      <w:szCs w:val="20"/>
      <w:lang w:val="en-GB" w:eastAsia="en-US"/>
    </w:rPr>
  </w:style>
  <w:style w:type="paragraph" w:customStyle="1" w:styleId="Chapter">
    <w:name w:val="Chapter"/>
    <w:basedOn w:val="Normal"/>
    <w:rsid w:val="00F63F06"/>
    <w:pPr>
      <w:spacing w:before="240"/>
    </w:pPr>
    <w:rPr>
      <w:rFonts w:ascii="Times New Roman" w:hAnsi="Times New Roman"/>
      <w:smallCaps/>
      <w:spacing w:val="80"/>
      <w:sz w:val="28"/>
    </w:rPr>
  </w:style>
  <w:style w:type="paragraph" w:customStyle="1" w:styleId="InChapter">
    <w:name w:val="InChapter"/>
    <w:basedOn w:val="Heading3"/>
    <w:rsid w:val="00F63F06"/>
    <w:pPr>
      <w:spacing w:after="240"/>
      <w:outlineLvl w:val="9"/>
    </w:pPr>
    <w:rPr>
      <w:noProof/>
    </w:rPr>
  </w:style>
  <w:style w:type="paragraph" w:styleId="Index2">
    <w:name w:val="index 2"/>
    <w:basedOn w:val="Normal"/>
    <w:next w:val="Normal"/>
    <w:semiHidden/>
    <w:rsid w:val="00F63F06"/>
    <w:pPr>
      <w:tabs>
        <w:tab w:val="right" w:pos="4176"/>
      </w:tabs>
      <w:ind w:left="568" w:hanging="284"/>
    </w:pPr>
    <w:rPr>
      <w:rFonts w:ascii="Garamond" w:hAnsi="Garamond"/>
    </w:rPr>
  </w:style>
  <w:style w:type="paragraph" w:customStyle="1" w:styleId="Byline">
    <w:name w:val="Byline"/>
    <w:rsid w:val="00F63F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F06"/>
    <w:pPr>
      <w:tabs>
        <w:tab w:val="clear" w:pos="3600"/>
        <w:tab w:val="clear" w:pos="3958"/>
      </w:tabs>
      <w:jc w:val="right"/>
    </w:pPr>
  </w:style>
  <w:style w:type="character" w:styleId="Emphasis">
    <w:name w:val="Emphasis"/>
    <w:basedOn w:val="DefaultParagraphFont"/>
    <w:qFormat/>
    <w:rsid w:val="00F63F06"/>
    <w:rPr>
      <w:i/>
    </w:rPr>
  </w:style>
  <w:style w:type="paragraph" w:styleId="Caption">
    <w:name w:val="caption"/>
    <w:basedOn w:val="BodyText"/>
    <w:next w:val="Normal"/>
    <w:qFormat/>
    <w:rsid w:val="00F63F06"/>
    <w:pPr>
      <w:framePr w:w="2268" w:hSpace="181" w:vSpace="181" w:wrap="around" w:vAnchor="text" w:hAnchor="page" w:x="1135" w:y="285" w:anchorLock="1"/>
    </w:pPr>
    <w:rPr>
      <w:i/>
    </w:rPr>
  </w:style>
  <w:style w:type="paragraph" w:customStyle="1" w:styleId="MiniTOCTitle">
    <w:name w:val="MiniTOCTitle"/>
    <w:basedOn w:val="Heading4"/>
    <w:rsid w:val="00F63F06"/>
    <w:pPr>
      <w:spacing w:before="240"/>
      <w:outlineLvl w:val="9"/>
    </w:pPr>
    <w:rPr>
      <w:noProof/>
      <w:sz w:val="24"/>
    </w:rPr>
  </w:style>
  <w:style w:type="paragraph" w:customStyle="1" w:styleId="MiniTOCItem">
    <w:name w:val="MiniTOCItem"/>
    <w:basedOn w:val="ListBullet"/>
    <w:rsid w:val="00F63F06"/>
    <w:pPr>
      <w:numPr>
        <w:numId w:val="0"/>
      </w:numPr>
      <w:tabs>
        <w:tab w:val="right" w:leader="dot" w:pos="6521"/>
      </w:tabs>
      <w:spacing w:before="0" w:after="0"/>
    </w:pPr>
  </w:style>
  <w:style w:type="paragraph" w:customStyle="1" w:styleId="TOFTitle">
    <w:name w:val="TOFTitle"/>
    <w:basedOn w:val="TOCTitle"/>
    <w:rsid w:val="00F63F06"/>
  </w:style>
  <w:style w:type="paragraph" w:styleId="TableofFigures">
    <w:name w:val="table of figures"/>
    <w:basedOn w:val="Normal"/>
    <w:next w:val="Normal"/>
    <w:semiHidden/>
    <w:rsid w:val="00F63F06"/>
    <w:pPr>
      <w:tabs>
        <w:tab w:val="right" w:leader="dot" w:pos="9072"/>
      </w:tabs>
      <w:ind w:left="970" w:hanging="403"/>
    </w:pPr>
    <w:rPr>
      <w:rFonts w:ascii="Times New Roman" w:hAnsi="Times New Roman"/>
      <w:b/>
    </w:rPr>
  </w:style>
  <w:style w:type="paragraph" w:styleId="ListNumber">
    <w:name w:val="List Number"/>
    <w:basedOn w:val="List"/>
    <w:rsid w:val="00F63F06"/>
    <w:pPr>
      <w:numPr>
        <w:numId w:val="12"/>
      </w:numPr>
    </w:pPr>
  </w:style>
  <w:style w:type="character" w:customStyle="1" w:styleId="WingdingSymbols">
    <w:name w:val="Wingding Symbols"/>
    <w:rsid w:val="00F63F06"/>
    <w:rPr>
      <w:rFonts w:ascii="Wingdings" w:hAnsi="Wingdings"/>
    </w:rPr>
  </w:style>
  <w:style w:type="paragraph" w:customStyle="1" w:styleId="TableHeading">
    <w:name w:val="Table Heading"/>
    <w:basedOn w:val="HeadingBase"/>
    <w:rsid w:val="00F63F06"/>
    <w:pPr>
      <w:keepLines/>
      <w:pBdr>
        <w:bottom w:val="single" w:sz="6" w:space="1" w:color="918585"/>
      </w:pBdr>
      <w:spacing w:before="240"/>
    </w:pPr>
  </w:style>
  <w:style w:type="character" w:customStyle="1" w:styleId="HotSpot">
    <w:name w:val="HotSpot"/>
    <w:rsid w:val="00F63F06"/>
    <w:rPr>
      <w:color w:val="0033CC"/>
      <w:u w:val="none"/>
    </w:rPr>
  </w:style>
  <w:style w:type="paragraph" w:customStyle="1" w:styleId="BodyTextRight">
    <w:name w:val="Body Text Right"/>
    <w:basedOn w:val="BodyText"/>
    <w:rsid w:val="00F63F06"/>
    <w:pPr>
      <w:spacing w:before="0" w:after="0"/>
      <w:jc w:val="right"/>
    </w:pPr>
  </w:style>
  <w:style w:type="paragraph" w:styleId="Index3">
    <w:name w:val="index 3"/>
    <w:basedOn w:val="ListNumber2"/>
    <w:next w:val="Normal"/>
    <w:semiHidden/>
    <w:rsid w:val="00F63F06"/>
    <w:pPr>
      <w:numPr>
        <w:numId w:val="0"/>
      </w:numPr>
      <w:tabs>
        <w:tab w:val="right" w:leader="dot" w:pos="4176"/>
      </w:tabs>
    </w:pPr>
  </w:style>
  <w:style w:type="paragraph" w:styleId="ListNumber2">
    <w:name w:val="List Number 2"/>
    <w:basedOn w:val="List2"/>
    <w:rsid w:val="00F63F06"/>
    <w:pPr>
      <w:numPr>
        <w:numId w:val="11"/>
      </w:numPr>
      <w:tabs>
        <w:tab w:val="clear" w:pos="1060"/>
      </w:tabs>
    </w:pPr>
  </w:style>
  <w:style w:type="paragraph" w:customStyle="1" w:styleId="MarginNote">
    <w:name w:val="Margin Note"/>
    <w:basedOn w:val="BodyText"/>
    <w:rsid w:val="00F63F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F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F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F06"/>
    <w:rPr>
      <w:sz w:val="32"/>
    </w:rPr>
  </w:style>
  <w:style w:type="paragraph" w:customStyle="1" w:styleId="HeadingProcedure">
    <w:name w:val="Heading Procedure"/>
    <w:basedOn w:val="HeadingBase"/>
    <w:next w:val="Normal"/>
    <w:rsid w:val="00F63F06"/>
    <w:pPr>
      <w:tabs>
        <w:tab w:val="left" w:pos="0"/>
      </w:tabs>
      <w:spacing w:before="120" w:after="60"/>
    </w:pPr>
    <w:rPr>
      <w:i/>
      <w:color w:val="918585"/>
      <w:sz w:val="22"/>
    </w:rPr>
  </w:style>
  <w:style w:type="paragraph" w:customStyle="1" w:styleId="TableBodyText">
    <w:name w:val="Table Body Text"/>
    <w:basedOn w:val="BodyText"/>
    <w:rsid w:val="00F63F06"/>
    <w:pPr>
      <w:spacing w:before="60" w:after="60"/>
    </w:pPr>
  </w:style>
  <w:style w:type="paragraph" w:styleId="ListContinue">
    <w:name w:val="List Continue"/>
    <w:basedOn w:val="List"/>
    <w:rsid w:val="00F63F06"/>
    <w:pPr>
      <w:ind w:firstLine="0"/>
    </w:pPr>
  </w:style>
  <w:style w:type="paragraph" w:customStyle="1" w:styleId="ListNote">
    <w:name w:val="List Note"/>
    <w:basedOn w:val="List"/>
    <w:rsid w:val="00F63F06"/>
    <w:pPr>
      <w:pBdr>
        <w:top w:val="single" w:sz="6" w:space="2" w:color="918585"/>
        <w:bottom w:val="single" w:sz="6" w:space="2" w:color="918585"/>
      </w:pBdr>
      <w:tabs>
        <w:tab w:val="left" w:pos="1021"/>
      </w:tabs>
      <w:ind w:firstLine="0"/>
    </w:pPr>
  </w:style>
  <w:style w:type="paragraph" w:customStyle="1" w:styleId="Warning">
    <w:name w:val="Warning"/>
    <w:basedOn w:val="BodyText"/>
    <w:rsid w:val="00F63F06"/>
    <w:pPr>
      <w:shd w:val="clear" w:color="auto" w:fill="D9D9D9"/>
      <w:tabs>
        <w:tab w:val="left" w:pos="992"/>
      </w:tabs>
      <w:ind w:left="119" w:right="119"/>
    </w:pPr>
    <w:rPr>
      <w:sz w:val="20"/>
    </w:rPr>
  </w:style>
  <w:style w:type="paragraph" w:customStyle="1" w:styleId="MarginIcons">
    <w:name w:val="Margin Icons"/>
    <w:basedOn w:val="BodyText"/>
    <w:rsid w:val="00F63F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F06"/>
    <w:rPr>
      <w:rFonts w:ascii="Courier New" w:hAnsi="Courier New"/>
    </w:rPr>
  </w:style>
  <w:style w:type="paragraph" w:customStyle="1" w:styleId="NoteBullet">
    <w:name w:val="Note Bullet"/>
    <w:basedOn w:val="Note"/>
    <w:rsid w:val="00F63F06"/>
    <w:pPr>
      <w:tabs>
        <w:tab w:val="clear" w:pos="680"/>
      </w:tabs>
      <w:spacing w:before="60" w:after="60"/>
    </w:pPr>
  </w:style>
  <w:style w:type="paragraph" w:customStyle="1" w:styleId="SubHeading2">
    <w:name w:val="SubHeading2"/>
    <w:basedOn w:val="HeadingBase"/>
    <w:rsid w:val="00F63F06"/>
    <w:pPr>
      <w:spacing w:before="240" w:after="60"/>
    </w:pPr>
    <w:rPr>
      <w:sz w:val="20"/>
    </w:rPr>
  </w:style>
  <w:style w:type="paragraph" w:customStyle="1" w:styleId="SubHeading1">
    <w:name w:val="SubHeading1"/>
    <w:basedOn w:val="HeadingBase"/>
    <w:rsid w:val="00F63F06"/>
    <w:pPr>
      <w:spacing w:before="240" w:after="60"/>
    </w:pPr>
    <w:rPr>
      <w:color w:val="918585"/>
      <w:sz w:val="22"/>
    </w:rPr>
  </w:style>
  <w:style w:type="paragraph" w:customStyle="1" w:styleId="SideHeading">
    <w:name w:val="Side Heading"/>
    <w:basedOn w:val="HeadingBase"/>
    <w:rsid w:val="00F63F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F06"/>
    <w:pPr>
      <w:numPr>
        <w:numId w:val="13"/>
      </w:numPr>
    </w:pPr>
  </w:style>
  <w:style w:type="paragraph" w:styleId="PlainText">
    <w:name w:val="Plain Text"/>
    <w:basedOn w:val="Normal"/>
    <w:link w:val="PlainTextChar"/>
    <w:rsid w:val="00F63F06"/>
    <w:rPr>
      <w:sz w:val="20"/>
    </w:rPr>
  </w:style>
  <w:style w:type="character" w:customStyle="1" w:styleId="PlainTextChar">
    <w:name w:val="Plain Text Char"/>
    <w:basedOn w:val="DefaultParagraphFont"/>
    <w:link w:val="PlainText"/>
    <w:rsid w:val="00F63F06"/>
    <w:rPr>
      <w:rFonts w:ascii="Courier New" w:eastAsia="Times New Roman" w:hAnsi="Courier New" w:cs="Times New Roman"/>
      <w:sz w:val="20"/>
      <w:szCs w:val="20"/>
      <w:lang w:eastAsia="en-US"/>
    </w:rPr>
  </w:style>
  <w:style w:type="character" w:customStyle="1" w:styleId="MenuOption">
    <w:name w:val="Menu Option"/>
    <w:basedOn w:val="DefaultParagraphFont"/>
    <w:rsid w:val="00F63F06"/>
    <w:rPr>
      <w:b/>
      <w:smallCaps/>
    </w:rPr>
  </w:style>
  <w:style w:type="paragraph" w:customStyle="1" w:styleId="TableListNumber">
    <w:name w:val="Table List Number"/>
    <w:basedOn w:val="ListNumber"/>
    <w:rsid w:val="00F63F06"/>
    <w:pPr>
      <w:numPr>
        <w:numId w:val="0"/>
      </w:numPr>
    </w:pPr>
  </w:style>
  <w:style w:type="paragraph" w:styleId="TOC4">
    <w:name w:val="toc 4"/>
    <w:basedOn w:val="TOCBase"/>
    <w:next w:val="Normal"/>
    <w:semiHidden/>
    <w:rsid w:val="00F63F06"/>
    <w:pPr>
      <w:tabs>
        <w:tab w:val="right" w:leader="dot" w:pos="9071"/>
      </w:tabs>
      <w:ind w:left="1701"/>
    </w:pPr>
  </w:style>
  <w:style w:type="paragraph" w:customStyle="1" w:styleId="ListAlpha">
    <w:name w:val="List Alpha"/>
    <w:basedOn w:val="List"/>
    <w:rsid w:val="00F63F06"/>
    <w:pPr>
      <w:numPr>
        <w:numId w:val="10"/>
      </w:numPr>
    </w:pPr>
  </w:style>
  <w:style w:type="paragraph" w:customStyle="1" w:styleId="ListAlpha2">
    <w:name w:val="List Alpha 2"/>
    <w:basedOn w:val="List2"/>
    <w:rsid w:val="00F63F06"/>
    <w:pPr>
      <w:numPr>
        <w:numId w:val="9"/>
      </w:numPr>
    </w:pPr>
  </w:style>
  <w:style w:type="paragraph" w:styleId="List2">
    <w:name w:val="List 2"/>
    <w:basedOn w:val="BodyText"/>
    <w:rsid w:val="00F63F06"/>
    <w:pPr>
      <w:tabs>
        <w:tab w:val="left" w:pos="680"/>
      </w:tabs>
      <w:spacing w:before="60" w:after="60"/>
      <w:ind w:left="680" w:hanging="340"/>
    </w:pPr>
  </w:style>
  <w:style w:type="paragraph" w:styleId="List3">
    <w:name w:val="List 3"/>
    <w:basedOn w:val="BodyText"/>
    <w:rsid w:val="00F63F06"/>
    <w:pPr>
      <w:tabs>
        <w:tab w:val="left" w:pos="1021"/>
      </w:tabs>
      <w:spacing w:before="60" w:after="60"/>
      <w:ind w:left="1020" w:hanging="340"/>
    </w:pPr>
  </w:style>
  <w:style w:type="paragraph" w:styleId="List4">
    <w:name w:val="List 4"/>
    <w:basedOn w:val="BodyText"/>
    <w:rsid w:val="00F63F06"/>
    <w:pPr>
      <w:tabs>
        <w:tab w:val="left" w:pos="1361"/>
      </w:tabs>
      <w:spacing w:before="60" w:after="60"/>
      <w:ind w:left="1361" w:hanging="340"/>
    </w:pPr>
  </w:style>
  <w:style w:type="paragraph" w:styleId="List5">
    <w:name w:val="List 5"/>
    <w:basedOn w:val="BodyText"/>
    <w:rsid w:val="00F63F06"/>
    <w:pPr>
      <w:tabs>
        <w:tab w:val="left" w:pos="1701"/>
      </w:tabs>
      <w:spacing w:before="60" w:after="60"/>
      <w:ind w:left="1701" w:hanging="340"/>
    </w:pPr>
  </w:style>
  <w:style w:type="paragraph" w:styleId="ListBullet4">
    <w:name w:val="List Bullet 4"/>
    <w:basedOn w:val="List4"/>
    <w:rsid w:val="00F63F06"/>
    <w:pPr>
      <w:numPr>
        <w:numId w:val="4"/>
      </w:numPr>
    </w:pPr>
  </w:style>
  <w:style w:type="paragraph" w:styleId="ListBullet5">
    <w:name w:val="List Bullet 5"/>
    <w:basedOn w:val="List5"/>
    <w:rsid w:val="00F63F06"/>
    <w:pPr>
      <w:numPr>
        <w:numId w:val="5"/>
      </w:numPr>
    </w:pPr>
  </w:style>
  <w:style w:type="paragraph" w:styleId="ListContinue2">
    <w:name w:val="List Continue 2"/>
    <w:basedOn w:val="List2"/>
    <w:rsid w:val="00F63F06"/>
    <w:pPr>
      <w:ind w:firstLine="0"/>
    </w:pPr>
  </w:style>
  <w:style w:type="paragraph" w:styleId="ListContinue3">
    <w:name w:val="List Continue 3"/>
    <w:basedOn w:val="List3"/>
    <w:rsid w:val="00F63F06"/>
    <w:pPr>
      <w:ind w:left="1021" w:firstLine="0"/>
    </w:pPr>
  </w:style>
  <w:style w:type="paragraph" w:styleId="ListContinue4">
    <w:name w:val="List Continue 4"/>
    <w:basedOn w:val="List4"/>
    <w:rsid w:val="00F63F06"/>
    <w:pPr>
      <w:ind w:firstLine="0"/>
    </w:pPr>
  </w:style>
  <w:style w:type="paragraph" w:styleId="ListContinue5">
    <w:name w:val="List Continue 5"/>
    <w:basedOn w:val="List5"/>
    <w:rsid w:val="00F63F06"/>
    <w:pPr>
      <w:ind w:firstLine="0"/>
    </w:pPr>
  </w:style>
  <w:style w:type="paragraph" w:styleId="ListNumber3">
    <w:name w:val="List Number 3"/>
    <w:basedOn w:val="List3"/>
    <w:rsid w:val="00F63F06"/>
    <w:pPr>
      <w:numPr>
        <w:numId w:val="6"/>
      </w:numPr>
    </w:pPr>
  </w:style>
  <w:style w:type="paragraph" w:styleId="ListNumber4">
    <w:name w:val="List Number 4"/>
    <w:basedOn w:val="List4"/>
    <w:rsid w:val="00F63F06"/>
    <w:pPr>
      <w:numPr>
        <w:numId w:val="7"/>
      </w:numPr>
    </w:pPr>
  </w:style>
  <w:style w:type="paragraph" w:styleId="ListNumber5">
    <w:name w:val="List Number 5"/>
    <w:basedOn w:val="List5"/>
    <w:rsid w:val="00F63F06"/>
    <w:pPr>
      <w:numPr>
        <w:numId w:val="8"/>
      </w:numPr>
    </w:pPr>
  </w:style>
  <w:style w:type="paragraph" w:styleId="BlockText">
    <w:name w:val="Block Text"/>
    <w:basedOn w:val="Normal"/>
    <w:rsid w:val="00F63F06"/>
    <w:pPr>
      <w:spacing w:after="120"/>
      <w:ind w:left="1440" w:right="1440"/>
    </w:pPr>
  </w:style>
  <w:style w:type="character" w:customStyle="1" w:styleId="Subscript">
    <w:name w:val="Subscript"/>
    <w:basedOn w:val="DefaultParagraphFont"/>
    <w:rsid w:val="00F63F06"/>
    <w:rPr>
      <w:sz w:val="16"/>
      <w:vertAlign w:val="subscript"/>
    </w:rPr>
  </w:style>
  <w:style w:type="character" w:customStyle="1" w:styleId="Superscript">
    <w:name w:val="Superscript"/>
    <w:basedOn w:val="DefaultParagraphFont"/>
    <w:rsid w:val="00F63F06"/>
    <w:rPr>
      <w:sz w:val="16"/>
      <w:vertAlign w:val="superscript"/>
    </w:rPr>
  </w:style>
  <w:style w:type="character" w:customStyle="1" w:styleId="Symbols">
    <w:name w:val="Symbols"/>
    <w:basedOn w:val="DefaultParagraphFont"/>
    <w:rsid w:val="00F63F06"/>
    <w:rPr>
      <w:rFonts w:ascii="Symbol" w:hAnsi="Symbol"/>
    </w:rPr>
  </w:style>
  <w:style w:type="character" w:customStyle="1" w:styleId="MenuOptions">
    <w:name w:val="Menu Options"/>
    <w:basedOn w:val="DefaultParagraphFont"/>
    <w:rsid w:val="00F63F06"/>
    <w:rPr>
      <w:rFonts w:ascii="Arial Narrow" w:hAnsi="Arial Narrow"/>
      <w:smallCaps/>
    </w:rPr>
  </w:style>
  <w:style w:type="character" w:customStyle="1" w:styleId="Buttons">
    <w:name w:val="Buttons"/>
    <w:basedOn w:val="DefaultParagraphFont"/>
    <w:rsid w:val="00F63F06"/>
    <w:rPr>
      <w:b/>
    </w:rPr>
  </w:style>
  <w:style w:type="character" w:customStyle="1" w:styleId="Underlined">
    <w:name w:val="Underlined"/>
    <w:basedOn w:val="DefaultParagraphFont"/>
    <w:rsid w:val="00F63F06"/>
    <w:rPr>
      <w:u w:val="single"/>
    </w:rPr>
  </w:style>
  <w:style w:type="paragraph" w:customStyle="1" w:styleId="TableBodyTextRight">
    <w:name w:val="Table Body Text Right"/>
    <w:basedOn w:val="TableBodyText"/>
    <w:rsid w:val="00F63F06"/>
    <w:pPr>
      <w:widowControl w:val="0"/>
      <w:autoSpaceDE w:val="0"/>
      <w:autoSpaceDN w:val="0"/>
      <w:adjustRightInd w:val="0"/>
      <w:jc w:val="right"/>
    </w:pPr>
    <w:rPr>
      <w:rFonts w:cs="Arial"/>
      <w:szCs w:val="18"/>
    </w:rPr>
  </w:style>
  <w:style w:type="paragraph" w:customStyle="1" w:styleId="CopyrightText">
    <w:name w:val="Copyright Text"/>
    <w:basedOn w:val="BodyText"/>
    <w:rsid w:val="00F63F06"/>
    <w:rPr>
      <w:sz w:val="18"/>
    </w:rPr>
  </w:style>
  <w:style w:type="paragraph" w:customStyle="1" w:styleId="BodySmallRight">
    <w:name w:val="Body Small Right"/>
    <w:basedOn w:val="BodyTextRight"/>
    <w:rsid w:val="00F63F06"/>
    <w:rPr>
      <w:sz w:val="18"/>
      <w:szCs w:val="18"/>
    </w:rPr>
  </w:style>
  <w:style w:type="paragraph" w:customStyle="1" w:styleId="MarginEdition">
    <w:name w:val="Margin Edition"/>
    <w:basedOn w:val="MarginNote"/>
    <w:rsid w:val="00F63F06"/>
    <w:pPr>
      <w:spacing w:before="0" w:after="0"/>
    </w:pPr>
    <w:rPr>
      <w:rFonts w:ascii="Times New Roman" w:hAnsi="Times New Roman"/>
      <w:color w:val="999999"/>
    </w:rPr>
  </w:style>
  <w:style w:type="paragraph" w:customStyle="1" w:styleId="Spacer">
    <w:name w:val="Spacer"/>
    <w:basedOn w:val="Normal"/>
    <w:rsid w:val="00F63F06"/>
    <w:rPr>
      <w:sz w:val="2"/>
      <w:szCs w:val="2"/>
    </w:rPr>
  </w:style>
  <w:style w:type="character" w:customStyle="1" w:styleId="Small">
    <w:name w:val="Small"/>
    <w:basedOn w:val="DefaultParagraphFont"/>
    <w:rsid w:val="00F63F06"/>
    <w:rPr>
      <w:sz w:val="16"/>
    </w:rPr>
  </w:style>
  <w:style w:type="paragraph" w:customStyle="1" w:styleId="WideTable">
    <w:name w:val="Wide Table"/>
    <w:basedOn w:val="Normal"/>
    <w:rsid w:val="00F63F06"/>
    <w:pPr>
      <w:ind w:left="-1418"/>
    </w:pPr>
    <w:rPr>
      <w:sz w:val="2"/>
      <w:szCs w:val="2"/>
    </w:rPr>
  </w:style>
  <w:style w:type="character" w:styleId="PageNumber">
    <w:name w:val="page number"/>
    <w:basedOn w:val="DefaultParagraphFont"/>
    <w:rsid w:val="00F63F06"/>
  </w:style>
  <w:style w:type="paragraph" w:styleId="Quote">
    <w:name w:val="Quote"/>
    <w:basedOn w:val="Heading1"/>
    <w:link w:val="QuoteChar"/>
    <w:qFormat/>
    <w:rsid w:val="00F63F06"/>
    <w:rPr>
      <w:b w:val="0"/>
      <w:sz w:val="72"/>
      <w:szCs w:val="72"/>
      <w:lang w:val="en-NZ"/>
    </w:rPr>
  </w:style>
  <w:style w:type="character" w:customStyle="1" w:styleId="QuoteChar">
    <w:name w:val="Quote Char"/>
    <w:basedOn w:val="DefaultParagraphFont"/>
    <w:link w:val="Quote"/>
    <w:rsid w:val="00F63F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F06"/>
    <w:pPr>
      <w:pageBreakBefore/>
    </w:pPr>
  </w:style>
  <w:style w:type="paragraph" w:customStyle="1" w:styleId="Border">
    <w:name w:val="Border"/>
    <w:basedOn w:val="Normal"/>
    <w:qFormat/>
    <w:rsid w:val="00F63F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F06"/>
    <w:rPr>
      <w:b/>
      <w:bCs/>
      <w:i/>
      <w:iCs/>
      <w:color w:val="auto"/>
    </w:rPr>
  </w:style>
  <w:style w:type="paragraph" w:styleId="IntenseQuote">
    <w:name w:val="Intense Quote"/>
    <w:basedOn w:val="Normal"/>
    <w:next w:val="Normal"/>
    <w:link w:val="IntenseQuoteChar"/>
    <w:uiPriority w:val="30"/>
    <w:qFormat/>
    <w:rsid w:val="00F63F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F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F06"/>
    <w:rPr>
      <w:smallCaps/>
      <w:color w:val="auto"/>
      <w:u w:val="single"/>
    </w:rPr>
  </w:style>
  <w:style w:type="character" w:styleId="IntenseReference">
    <w:name w:val="Intense Reference"/>
    <w:basedOn w:val="DefaultParagraphFont"/>
    <w:uiPriority w:val="32"/>
    <w:qFormat/>
    <w:rsid w:val="00F63F06"/>
    <w:rPr>
      <w:b/>
      <w:bCs/>
      <w:smallCaps/>
      <w:color w:val="auto"/>
      <w:spacing w:val="5"/>
      <w:u w:val="single"/>
    </w:rPr>
  </w:style>
  <w:style w:type="paragraph" w:customStyle="1" w:styleId="2ColumnHeading">
    <w:name w:val="2Column Heading"/>
    <w:basedOn w:val="BodyText"/>
    <w:qFormat/>
    <w:rsid w:val="00F63F06"/>
    <w:pPr>
      <w:spacing w:after="60"/>
      <w:ind w:left="-2268"/>
    </w:pPr>
    <w:rPr>
      <w:b/>
    </w:rPr>
  </w:style>
  <w:style w:type="paragraph" w:customStyle="1" w:styleId="Heading1TOC">
    <w:name w:val="Heading1 TOC"/>
    <w:basedOn w:val="Normal"/>
    <w:qFormat/>
    <w:rsid w:val="00F63F06"/>
    <w:pPr>
      <w:spacing w:before="240" w:after="120"/>
    </w:pPr>
    <w:rPr>
      <w:rFonts w:ascii="Times New Roman" w:hAnsi="Times New Roman"/>
      <w:b/>
      <w:sz w:val="32"/>
    </w:rPr>
  </w:style>
  <w:style w:type="paragraph" w:customStyle="1" w:styleId="Heading2TOC">
    <w:name w:val="Heading2 TOC"/>
    <w:basedOn w:val="Normal"/>
    <w:qFormat/>
    <w:rsid w:val="00F63F06"/>
    <w:pPr>
      <w:spacing w:before="240" w:after="60"/>
    </w:pPr>
    <w:rPr>
      <w:rFonts w:ascii="Times New Roman" w:hAnsi="Times New Roman"/>
      <w:b/>
      <w:sz w:val="28"/>
    </w:rPr>
  </w:style>
  <w:style w:type="character" w:customStyle="1" w:styleId="Underline">
    <w:name w:val="Underline"/>
    <w:basedOn w:val="DefaultParagraphFont"/>
    <w:qFormat/>
    <w:rsid w:val="00F63F06"/>
    <w:rPr>
      <w:u w:val="single"/>
    </w:rPr>
  </w:style>
  <w:style w:type="character" w:customStyle="1" w:styleId="BoldandItalics">
    <w:name w:val="Bold and Italics"/>
    <w:qFormat/>
    <w:rsid w:val="00F63F06"/>
    <w:rPr>
      <w:b/>
      <w:i/>
      <w:u w:val="none"/>
    </w:rPr>
  </w:style>
  <w:style w:type="paragraph" w:styleId="BalloonText">
    <w:name w:val="Balloon Text"/>
    <w:basedOn w:val="Normal"/>
    <w:link w:val="BalloonTextChar"/>
    <w:rsid w:val="00F63F06"/>
    <w:rPr>
      <w:rFonts w:ascii="Tahoma" w:hAnsi="Tahoma" w:cs="Tahoma"/>
      <w:sz w:val="16"/>
      <w:szCs w:val="16"/>
    </w:rPr>
  </w:style>
  <w:style w:type="character" w:customStyle="1" w:styleId="BalloonTextChar">
    <w:name w:val="Balloon Text Char"/>
    <w:basedOn w:val="DefaultParagraphFont"/>
    <w:link w:val="BalloonText"/>
    <w:rsid w:val="00F63F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F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3F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F06"/>
    <w:rPr>
      <w:b/>
      <w:color w:val="660033"/>
      <w:spacing w:val="0"/>
    </w:rPr>
  </w:style>
  <w:style w:type="paragraph" w:customStyle="1" w:styleId="Nameditemlist">
    <w:name w:val="Named item list"/>
    <w:basedOn w:val="BodyText"/>
    <w:qFormat/>
    <w:rsid w:val="00F63F0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2725</Words>
  <Characters>16628</Characters>
  <Application>Microsoft Office Word</Application>
  <DocSecurity>0</DocSecurity>
  <Lines>694</Lines>
  <Paragraphs>350</Paragraphs>
  <ScaleCrop>false</ScaleCrop>
  <Company>Author-it Software Corporation Ltd.</Company>
  <LinksUpToDate>false</LinksUpToDate>
  <CharactersWithSpaces>19165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UEENEEI139A Diagnose and rectify faults in digital controls systems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2013-03-07T17:53:00Z</dcterms:created>
  <dcterms:modified xsi:type="dcterms:W3CDTF">2013-03-07T17:53:00Z</dcterms:modified>
</cp:coreProperties>
</file>