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6CF" w:rsidP="00F976CF">
      <w:pPr>
        <w:pStyle w:val="Title"/>
      </w:pPr>
      <w:bookmarkStart w:id="0" w:name="_GoBack"/>
      <w:bookmarkEnd w:id="0"/>
      <w:r>
        <w:fldChar w:fldCharType="begin"/>
      </w:r>
      <w:r>
        <w:instrText xml:space="preserve"> TITLE   \* MERGEFORMAT </w:instrText>
      </w:r>
      <w:r>
        <w:fldChar w:fldCharType="separate"/>
      </w:r>
      <w:r>
        <w:t>UEENEEI136A Manage automated control systems projects</w:t>
      </w:r>
      <w:r>
        <w:fldChar w:fldCharType="end"/>
      </w:r>
    </w:p>
    <w:p w:rsidR="00F976CF" w:rsidP="00F976CF">
      <w:pPr>
        <w:pStyle w:val="Version"/>
        <w:sectPr w:rsidSect="00494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487A" w:rsidP="0049487A">
      <w:pPr>
        <w:pStyle w:val="SuperHeading"/>
      </w:pPr>
      <w:r w:rsidRPr="0049487A">
        <w:t>UEENEEI136A Manage automated control systems projects</w:t>
      </w:r>
    </w:p>
    <w:p w:rsidR="00000000" w:rsidRPr="0049487A" w:rsidP="0049487A">
      <w:pPr>
        <w:pStyle w:val="Heading1"/>
      </w:pPr>
      <w:bookmarkStart w:id="1" w:name="O_534068"/>
      <w:bookmarkEnd w:id="1"/>
      <w:r w:rsidRPr="0049487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976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Points</w:t>
            </w:r>
          </w:p>
        </w:tc>
      </w:tr>
      <w:tr w:rsidTr="00F976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p>
        </w:tc>
      </w:tr>
      <w:tr w:rsidTr="00F976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p>
        </w:tc>
      </w:tr>
      <w:tr w:rsidTr="00F976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87A">
            <w:pPr>
              <w:pStyle w:val="BodyText"/>
              <w:rPr>
                <w:lang w:val="en-NZ"/>
              </w:rPr>
            </w:pPr>
            <w:r w:rsidRPr="0049487A">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87A" w:rsidP="0049487A">
            <w:pPr>
              <w:pStyle w:val="BodyText"/>
            </w:pP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2" w:name="O_534067"/>
      <w:bookmarkEnd w:id="2"/>
      <w:r w:rsidRPr="0049487A">
        <w:t>Unit Descriptor</w:t>
      </w:r>
    </w:p>
    <w:tbl>
      <w:tblPr>
        <w:tblW w:w="0" w:type="auto"/>
        <w:tblLayout w:type="fixed"/>
        <w:tblCellMar>
          <w:left w:w="62" w:type="dxa"/>
          <w:right w:w="62" w:type="dxa"/>
        </w:tblCellMar>
        <w:tblLook w:val="0000"/>
      </w:tblPr>
      <w:tblGrid>
        <w:gridCol w:w="2700"/>
        <w:gridCol w:w="5760"/>
      </w:tblGrid>
      <w:tr w:rsidTr="00F976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1)</w:t>
            </w:r>
            <w:r w:rsidRPr="0049487A">
              <w:t xml:space="preserve"> </w:t>
            </w:r>
            <w:r w:rsidRPr="0049487A">
              <w:rPr>
                <w:rStyle w:val="SpecialBold"/>
              </w:rPr>
              <w:t>Scope:</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487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1.1) Descriptor</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This unit covers the manageme</w:t>
            </w:r>
            <w:r w:rsidRPr="0049487A">
              <w:t>nt of automated control systems projects involving design, modifications, installation, and/or maintenance of systems and equipment. The unit encompasses management of safety, budget variation, personnel, resources, critical path timelines and completion o</w:t>
            </w:r>
            <w:r w:rsidRPr="0049487A">
              <w:t>f documentation.</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3" w:name="O_534066"/>
      <w:bookmarkEnd w:id="3"/>
      <w:r w:rsidRPr="0049487A">
        <w:t>Application of the Unit</w:t>
      </w:r>
    </w:p>
    <w:tbl>
      <w:tblPr>
        <w:tblW w:w="0" w:type="auto"/>
        <w:tblLayout w:type="fixed"/>
        <w:tblCellMar>
          <w:left w:w="62" w:type="dxa"/>
          <w:right w:w="62" w:type="dxa"/>
        </w:tblCellMar>
        <w:tblLook w:val="0000"/>
      </w:tblPr>
      <w:tblGrid>
        <w:gridCol w:w="2672"/>
        <w:gridCol w:w="5699"/>
      </w:tblGrid>
      <w:tr w:rsidTr="00F976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2)</w:t>
            </w:r>
          </w:p>
        </w:tc>
      </w:tr>
      <w:tr w:rsidTr="00F976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This unit is intended for competency development entry-level employment-based programs incorporated in approved contracts of training. It applies to any formal recogni</w:t>
            </w:r>
            <w:r w:rsidRPr="0049487A">
              <w:t>tion for this standard at the aligned AQF 6 level or higher.</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4" w:name="O_534065"/>
      <w:bookmarkEnd w:id="4"/>
      <w:r w:rsidRPr="0049487A">
        <w:t>Licensing/Regulatory Information</w:t>
      </w:r>
    </w:p>
    <w:tbl>
      <w:tblPr>
        <w:tblW w:w="0" w:type="auto"/>
        <w:tblLayout w:type="fixed"/>
        <w:tblCellMar>
          <w:left w:w="62" w:type="dxa"/>
          <w:right w:w="62" w:type="dxa"/>
        </w:tblCellMar>
        <w:tblLook w:val="0000"/>
      </w:tblPr>
      <w:tblGrid>
        <w:gridCol w:w="2700"/>
        <w:gridCol w:w="5760"/>
      </w:tblGrid>
      <w:tr w:rsidTr="00F976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 xml:space="preserve">3) </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The skills and knowledge described in this unit do not require a license to practice in the workplace. However, practice in this unit is subject to regulations directly related to occupational health and safety and where applicable contracts of training su</w:t>
            </w:r>
            <w:r w:rsidRPr="0049487A">
              <w:t>ch as apprenticeships.</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5" w:name="O_534064"/>
      <w:bookmarkEnd w:id="5"/>
      <w:r w:rsidRPr="0049487A">
        <w:t>Pre-Requisites</w:t>
      </w:r>
    </w:p>
    <w:tbl>
      <w:tblPr>
        <w:tblW w:w="0" w:type="auto"/>
        <w:tblLayout w:type="fixed"/>
        <w:tblCellMar>
          <w:left w:w="62" w:type="dxa"/>
          <w:right w:w="62" w:type="dxa"/>
        </w:tblCellMar>
        <w:tblLook w:val="0000"/>
      </w:tblPr>
      <w:tblGrid>
        <w:gridCol w:w="2638"/>
        <w:gridCol w:w="1800"/>
        <w:gridCol w:w="3960"/>
      </w:tblGrid>
      <w:tr w:rsidTr="0049487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 xml:space="preserve">4) </w:t>
            </w:r>
          </w:p>
        </w:tc>
      </w:tr>
      <w:tr w:rsidTr="0049487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4.1)</w:t>
            </w:r>
          </w:p>
        </w:tc>
      </w:tr>
      <w:tr w:rsidTr="0049487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Granting of competency in this unit shall be made only after competency in the following unit(s) has/have been confirmed.</w:t>
            </w:r>
          </w:p>
        </w:tc>
      </w:tr>
      <w:tr w:rsidTr="0049487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Unit Code</w:t>
            </w:r>
          </w:p>
        </w:tc>
        <w:tc>
          <w:tcPr>
            <w:tcW w:w="39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Unit Title</w:t>
            </w:r>
          </w:p>
        </w:tc>
      </w:tr>
      <w:tr w:rsidTr="0049487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49487A" w:rsidP="0049487A">
            <w:pPr>
              <w:pStyle w:val="BodyText"/>
            </w:pPr>
            <w:r w:rsidRPr="0049487A">
              <w:t>Apply Occupational Health and Safety regulations, codes and practices in the workplace</w:t>
            </w:r>
          </w:p>
        </w:tc>
      </w:tr>
    </w:tbl>
    <w:p w:rsidR="00000000" w:rsidRPr="0049487A" w:rsidP="0049487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76C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 xml:space="preserve">4.2) </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Participants are best equipped to achieve competency in this unit if they have reading, writing and numeracy skills indicated by the following scales. Description of each scale is given in Volume 2, Part 3 ‘Literacy and Numeracy’</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Reading</w:t>
            </w:r>
          </w:p>
        </w:tc>
        <w:tc>
          <w:tcPr>
            <w:tcW w:w="81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3</w:t>
            </w:r>
          </w:p>
        </w:tc>
        <w:tc>
          <w:tcPr>
            <w:tcW w:w="99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Writing</w:t>
            </w: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3</w:t>
            </w:r>
          </w:p>
        </w:tc>
        <w:tc>
          <w:tcPr>
            <w:tcW w:w="12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Numeracy</w:t>
            </w:r>
          </w:p>
        </w:tc>
        <w:tc>
          <w:tcPr>
            <w:tcW w:w="72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3</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6" w:name="O_534063"/>
      <w:bookmarkEnd w:id="6"/>
      <w:r w:rsidRPr="0049487A">
        <w:t>Employability Skills Information</w:t>
      </w:r>
    </w:p>
    <w:tbl>
      <w:tblPr>
        <w:tblW w:w="0" w:type="auto"/>
        <w:tblLayout w:type="fixed"/>
        <w:tblCellMar>
          <w:left w:w="62" w:type="dxa"/>
          <w:right w:w="62" w:type="dxa"/>
        </w:tblCellMar>
        <w:tblLook w:val="0000"/>
      </w:tblPr>
      <w:tblGrid>
        <w:gridCol w:w="2700"/>
        <w:gridCol w:w="5760"/>
      </w:tblGrid>
      <w:tr w:rsidTr="00F976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 xml:space="preserve">5) </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This unit contains Employability Skills</w:t>
            </w:r>
          </w:p>
          <w:p w:rsidR="00000000" w:rsidRPr="0049487A" w:rsidP="0049487A">
            <w:pPr>
              <w:pStyle w:val="BodyText"/>
            </w:pPr>
            <w:r w:rsidRPr="0049487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9487A">
              <w:t>requirements.</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7" w:name="O_534062"/>
      <w:bookmarkEnd w:id="7"/>
      <w:r w:rsidRPr="0049487A">
        <w:t>Elements and Performance Criteria Pre-Content</w:t>
      </w:r>
    </w:p>
    <w:tbl>
      <w:tblPr>
        <w:tblW w:w="0" w:type="auto"/>
        <w:tblLayout w:type="fixed"/>
        <w:tblCellMar>
          <w:left w:w="62" w:type="dxa"/>
          <w:right w:w="62" w:type="dxa"/>
        </w:tblCellMar>
        <w:tblLook w:val="0000"/>
      </w:tblPr>
      <w:tblGrid>
        <w:gridCol w:w="2700"/>
        <w:gridCol w:w="5760"/>
      </w:tblGrid>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6)</w:t>
            </w:r>
            <w:r w:rsidRPr="0049487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Performance Criteria desc</w:t>
            </w:r>
            <w:r w:rsidRPr="0049487A">
              <w:t>ribe the required performance needed to demonstrate achievement of the element. Assessment of performance is to be consistent with the Evidence Guide.</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8" w:name="O_534061"/>
      <w:bookmarkEnd w:id="8"/>
      <w:r w:rsidRPr="0049487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76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PERFORMANCE CRITERIA</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w:t>
            </w:r>
          </w:p>
        </w:tc>
        <w:tc>
          <w:tcPr>
            <w:tcW w:w="2296" w:type="dxa"/>
            <w:vMerge w:val="restart"/>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1.1</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OHS processes and procedures for a given work area are identified, obtained and understood</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1.2</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Project’ deliverables and budget are established from project planning and other relevant documentation and from disc</w:t>
            </w:r>
            <w:r w:rsidRPr="0049487A">
              <w:t>ussions with appropriate person(s).</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1.3</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Measurable outcomes are identified to evaluate the project on completion from project planning and other relevant documentation.</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1.4</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Plant, materials and skills needed to meet project outcome are established from project planning and other relevant documentation.</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1.5</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Processes and procedures are developed for managing contract variations from discussions with appropriate person(s) an</w:t>
            </w:r>
            <w:r w:rsidRPr="0049487A">
              <w:t>d in accordance with contractual agreement.</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w:t>
            </w:r>
          </w:p>
        </w:tc>
        <w:tc>
          <w:tcPr>
            <w:tcW w:w="2296"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Manage project.</w:t>
            </w: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2.1</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 xml:space="preserve">OHS policies, procedures and programs are implemented and monitored. </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2.2</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Achievement of project outcomes is delegated to appropriately competent persons involved in the project.</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2.3</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Risk events are identified and project plan strategies implemented to ensure that outcomes are achieved to the required standard of quality specified in the contract and safety required by organisation policy.</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2.4</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Procurement processes and procedures ar</w:t>
            </w:r>
            <w:r w:rsidRPr="0049487A">
              <w:t>e monitored to ensure on time supply of plant and materials and in accordance with organisation policy.</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2.5</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Project is progress is monitored against schedule, quality requirements and budget.</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2.6</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Conflict issues at the work site and between stakeholders, clients and regulators are identified and managed in accordance with organisation policy.</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2.7</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Variations are managed in accordance with agreed processes and in accordance with the contract.</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2.8</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 xml:space="preserve">Project records are maintained and progress reports written and forwarded to all appropriate person(s). </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3</w:t>
            </w:r>
          </w:p>
        </w:tc>
        <w:tc>
          <w:tcPr>
            <w:tcW w:w="2296"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Complete project.</w:t>
            </w: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3.1</w:t>
            </w:r>
          </w:p>
        </w:tc>
        <w:tc>
          <w:tcPr>
            <w:tcW w:w="48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Project outcomes are reviewed against original plan, implemented risk strategies, contract variations, safety record and b</w:t>
            </w:r>
            <w:r w:rsidRPr="0049487A">
              <w:t>udget.</w:t>
            </w:r>
          </w:p>
        </w:tc>
      </w:tr>
      <w:tr w:rsidTr="00F976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3.2</w:t>
            </w:r>
          </w:p>
        </w:tc>
        <w:tc>
          <w:tcPr>
            <w:tcW w:w="48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Project completion acceptance is sought from appropriate person(s) and hand-over documented in accordance with organisation policy.</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9" w:name="O_534060"/>
      <w:bookmarkEnd w:id="9"/>
      <w:r w:rsidRPr="0049487A">
        <w:t>Required Skills and Knowledge</w:t>
      </w:r>
    </w:p>
    <w:tbl>
      <w:tblPr>
        <w:tblW w:w="0" w:type="auto"/>
        <w:tblLayout w:type="fixed"/>
        <w:tblCellMar>
          <w:left w:w="62" w:type="dxa"/>
          <w:right w:w="62" w:type="dxa"/>
        </w:tblCellMar>
        <w:tblLook w:val="0000"/>
      </w:tblPr>
      <w:tblGrid>
        <w:gridCol w:w="8460"/>
      </w:tblGrid>
      <w:tr w:rsidTr="00F976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REQUIRED SKILLS AND KNOWLEDGE</w:t>
            </w:r>
          </w:p>
        </w:tc>
      </w:tr>
      <w:tr w:rsidTr="00F976C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8)</w:t>
            </w:r>
            <w:r w:rsidRPr="0049487A">
              <w:t xml:space="preserve"> This describes the required skills and knowledge and their level, required for this unit.</w:t>
            </w:r>
          </w:p>
          <w:p w:rsidR="00000000" w:rsidRPr="0049487A" w:rsidP="0049487A">
            <w:pPr>
              <w:pStyle w:val="BodyText"/>
            </w:pPr>
            <w:r w:rsidRPr="0049487A">
              <w:t xml:space="preserve">Evidence shall show that knowledge has been acquired of safe working practices and managing automated systems projects. </w:t>
            </w:r>
          </w:p>
          <w:p w:rsidR="00000000" w:rsidRPr="0049487A" w:rsidP="0049487A">
            <w:pPr>
              <w:pStyle w:val="BodyText"/>
            </w:pPr>
            <w:r w:rsidRPr="0049487A">
              <w:t>All knowledge and skills detailed in this un</w:t>
            </w:r>
            <w:r w:rsidRPr="0049487A">
              <w:t>it should be contextualised to current industry practices and technologies.</w:t>
            </w:r>
          </w:p>
          <w:p w:rsidR="00000000" w:rsidRPr="0049487A" w:rsidP="0049487A">
            <w:pPr>
              <w:pStyle w:val="BodyText"/>
            </w:pPr>
            <w:r w:rsidRPr="0049487A">
              <w:rPr>
                <w:rStyle w:val="SpecialBold"/>
              </w:rPr>
              <w:t>KS01-EI136A</w:t>
            </w:r>
            <w:r w:rsidRPr="0049487A">
              <w:rPr>
                <w:rStyle w:val="SpecialBold"/>
              </w:rPr>
              <w:tab/>
              <w:t xml:space="preserve">              Automation and control project management</w:t>
            </w:r>
          </w:p>
          <w:p w:rsidR="00000000" w:rsidRPr="0049487A" w:rsidP="0049487A">
            <w:pPr>
              <w:pStyle w:val="BodyText"/>
            </w:pPr>
            <w:r w:rsidRPr="0049487A">
              <w:t>T1    Evidence shall show an understanding of automation and control project management concepts to an extent in</w:t>
            </w:r>
            <w:r w:rsidRPr="0049487A">
              <w:t>dicated by the following aspects:</w:t>
            </w:r>
          </w:p>
          <w:p w:rsidR="00000000" w:rsidRPr="0049487A" w:rsidP="0049487A">
            <w:pPr>
              <w:pStyle w:val="ListBullet"/>
            </w:pPr>
            <w:r w:rsidRPr="0049487A">
              <w:t xml:space="preserve"> Defining project parameters: Project scope;</w:t>
            </w:r>
          </w:p>
          <w:p w:rsidR="00000000" w:rsidRPr="0049487A" w:rsidP="0049487A">
            <w:pPr>
              <w:pStyle w:val="ListBullet"/>
            </w:pPr>
            <w:r w:rsidRPr="0049487A">
              <w:t xml:space="preserve"> Project stakeholders and clients; </w:t>
            </w:r>
          </w:p>
          <w:p w:rsidR="00000000" w:rsidRPr="0049487A" w:rsidP="0049487A">
            <w:pPr>
              <w:pStyle w:val="ListBullet"/>
            </w:pPr>
            <w:r w:rsidRPr="0049487A">
              <w:t xml:space="preserve"> Project phases and the relationship between phases; </w:t>
            </w:r>
          </w:p>
          <w:p w:rsidR="00000000" w:rsidRPr="0049487A" w:rsidP="0049487A">
            <w:pPr>
              <w:pStyle w:val="ListBullet"/>
            </w:pPr>
            <w:r w:rsidRPr="0049487A">
              <w:t>Time requirements and limitations;</w:t>
            </w:r>
          </w:p>
          <w:p w:rsidR="00000000" w:rsidRPr="0049487A" w:rsidP="0049487A">
            <w:pPr>
              <w:pStyle w:val="ListBullet"/>
            </w:pPr>
            <w:r w:rsidRPr="0049487A">
              <w:t xml:space="preserve"> Resource requirements and limitations;</w:t>
            </w:r>
          </w:p>
          <w:p w:rsidR="00000000" w:rsidRPr="0049487A" w:rsidP="0049487A">
            <w:pPr>
              <w:pStyle w:val="ListBullet"/>
            </w:pPr>
            <w:r w:rsidRPr="0049487A">
              <w:t xml:space="preserve"> Quality re</w:t>
            </w:r>
            <w:r w:rsidRPr="0049487A">
              <w:t>quirements and limitations.</w:t>
            </w:r>
          </w:p>
          <w:p w:rsidR="00000000" w:rsidRPr="0049487A" w:rsidP="0049487A">
            <w:pPr>
              <w:pStyle w:val="BodyText"/>
            </w:pPr>
            <w:r w:rsidRPr="0049487A">
              <w:t>T2   Time management:</w:t>
            </w:r>
          </w:p>
          <w:p w:rsidR="00000000" w:rsidRPr="0049487A" w:rsidP="0049487A">
            <w:pPr>
              <w:pStyle w:val="ListBullet"/>
            </w:pPr>
            <w:r w:rsidRPr="0049487A">
              <w:t xml:space="preserve">Time management concepts; </w:t>
            </w:r>
          </w:p>
          <w:p w:rsidR="00000000" w:rsidRPr="0049487A" w:rsidP="0049487A">
            <w:pPr>
              <w:pStyle w:val="ListBullet"/>
            </w:pPr>
            <w:r w:rsidRPr="0049487A">
              <w:t>Standard practices for ensuring a project runs to time and the like.</w:t>
            </w:r>
          </w:p>
          <w:p w:rsidR="00000000" w:rsidRPr="0049487A" w:rsidP="0049487A">
            <w:pPr>
              <w:pStyle w:val="BodyText"/>
            </w:pPr>
            <w:r w:rsidRPr="0049487A">
              <w:t xml:space="preserve">T3   Financial management: </w:t>
            </w:r>
          </w:p>
          <w:p w:rsidR="00000000" w:rsidRPr="0049487A" w:rsidP="0049487A">
            <w:pPr>
              <w:pStyle w:val="ListBullet"/>
            </w:pPr>
            <w:r w:rsidRPr="0049487A">
              <w:t xml:space="preserve">Financial management concepts; </w:t>
            </w:r>
          </w:p>
          <w:p w:rsidR="00000000" w:rsidRPr="0049487A" w:rsidP="0049487A">
            <w:pPr>
              <w:pStyle w:val="ListBullet"/>
            </w:pPr>
            <w:r w:rsidRPr="0049487A">
              <w:t>Standard practices for managing project finances;</w:t>
            </w:r>
          </w:p>
          <w:p w:rsidR="00000000" w:rsidRPr="0049487A" w:rsidP="0049487A">
            <w:pPr>
              <w:pStyle w:val="ListBullet"/>
            </w:pPr>
            <w:r w:rsidRPr="0049487A">
              <w:t xml:space="preserve">Project budgets; </w:t>
            </w:r>
          </w:p>
          <w:p w:rsidR="00000000" w:rsidRPr="0049487A" w:rsidP="0049487A">
            <w:pPr>
              <w:pStyle w:val="ListBullet"/>
            </w:pPr>
            <w:r w:rsidRPr="0049487A">
              <w:t xml:space="preserve">Costs, variations and estimations; </w:t>
            </w:r>
          </w:p>
          <w:p w:rsidR="00000000" w:rsidRPr="0049487A" w:rsidP="0049487A">
            <w:pPr>
              <w:pStyle w:val="ListBullet"/>
            </w:pPr>
            <w:r w:rsidRPr="0049487A">
              <w:t>Invoicing against project phases/deliverables;</w:t>
            </w:r>
          </w:p>
          <w:p w:rsidR="00000000" w:rsidRPr="0049487A" w:rsidP="0049487A">
            <w:pPr>
              <w:pStyle w:val="ListBullet"/>
            </w:pPr>
            <w:r w:rsidRPr="0049487A">
              <w:t>Acquittals and the like.</w:t>
            </w:r>
          </w:p>
          <w:p w:rsidR="00000000" w:rsidRPr="0049487A" w:rsidP="0049487A">
            <w:pPr>
              <w:pStyle w:val="BodyText"/>
            </w:pPr>
            <w:r w:rsidRPr="0049487A">
              <w:t xml:space="preserve">T4   Quality management: </w:t>
            </w:r>
          </w:p>
          <w:p w:rsidR="00000000" w:rsidRPr="0049487A" w:rsidP="0049487A">
            <w:pPr>
              <w:pStyle w:val="ListBullet"/>
            </w:pPr>
            <w:r w:rsidRPr="0049487A">
              <w:t xml:space="preserve">Quality management concepts; </w:t>
            </w:r>
          </w:p>
          <w:p w:rsidR="00000000" w:rsidRPr="0049487A" w:rsidP="0049487A">
            <w:pPr>
              <w:pStyle w:val="ListBullet"/>
            </w:pPr>
            <w:r w:rsidRPr="0049487A">
              <w:t xml:space="preserve">Standard practices for </w:t>
            </w:r>
            <w:r w:rsidRPr="0049487A">
              <w:t>managing quality within a project.</w:t>
            </w:r>
          </w:p>
          <w:p w:rsidR="00000000" w:rsidRPr="0049487A" w:rsidP="0049487A">
            <w:pPr>
              <w:pStyle w:val="BodyText"/>
            </w:pPr>
            <w:r w:rsidRPr="0049487A">
              <w:t xml:space="preserve">T5   Human Resource management: </w:t>
            </w:r>
          </w:p>
          <w:p w:rsidR="00000000" w:rsidRPr="0049487A" w:rsidP="0049487A">
            <w:pPr>
              <w:pStyle w:val="ListBullet"/>
            </w:pPr>
            <w:r w:rsidRPr="0049487A">
              <w:t xml:space="preserve">human resource management concepts; </w:t>
            </w:r>
          </w:p>
          <w:p w:rsidR="00000000" w:rsidRPr="0049487A" w:rsidP="0049487A">
            <w:pPr>
              <w:pStyle w:val="ListBullet"/>
            </w:pPr>
            <w:r w:rsidRPr="0049487A">
              <w:t>standard practices for managing personnel within a project</w:t>
            </w:r>
          </w:p>
          <w:p w:rsidR="00000000" w:rsidRPr="0049487A" w:rsidP="0049487A">
            <w:pPr>
              <w:pStyle w:val="BodyText"/>
            </w:pPr>
            <w:r w:rsidRPr="0049487A">
              <w:t xml:space="preserve">T6   Communication management: </w:t>
            </w:r>
          </w:p>
          <w:p w:rsidR="00000000" w:rsidRPr="0049487A" w:rsidP="0049487A">
            <w:pPr>
              <w:pStyle w:val="ListBullet"/>
            </w:pPr>
            <w:r w:rsidRPr="0049487A">
              <w:t xml:space="preserve">Communication management concepts; </w:t>
            </w:r>
          </w:p>
          <w:p w:rsidR="00000000" w:rsidRPr="0049487A" w:rsidP="0049487A">
            <w:pPr>
              <w:pStyle w:val="ListBullet"/>
            </w:pPr>
            <w:r w:rsidRPr="0049487A">
              <w:t>Standard practices for</w:t>
            </w:r>
            <w:r w:rsidRPr="0049487A">
              <w:t xml:space="preserve"> managing communication within a project and the like. </w:t>
            </w:r>
          </w:p>
          <w:p w:rsidR="00000000" w:rsidRPr="0049487A" w:rsidP="0049487A">
            <w:pPr>
              <w:pStyle w:val="BodyText"/>
            </w:pPr>
            <w:r w:rsidRPr="0049487A">
              <w:t>T7   Risk management and contingencies:</w:t>
            </w:r>
          </w:p>
          <w:p w:rsidR="00000000" w:rsidRPr="0049487A" w:rsidP="0049487A">
            <w:pPr>
              <w:pStyle w:val="ListBullet"/>
            </w:pPr>
            <w:r w:rsidRPr="0049487A">
              <w:t xml:space="preserve">risk management concepts; </w:t>
            </w:r>
          </w:p>
          <w:p w:rsidR="00000000" w:rsidRPr="0049487A" w:rsidP="0049487A">
            <w:pPr>
              <w:pStyle w:val="ListBullet"/>
            </w:pPr>
            <w:r w:rsidRPr="0049487A">
              <w:t>standard practices for managing risk within a project;</w:t>
            </w:r>
          </w:p>
          <w:p w:rsidR="00000000" w:rsidRPr="0049487A" w:rsidP="0049487A">
            <w:pPr>
              <w:pStyle w:val="ListBullet"/>
            </w:pPr>
            <w:r w:rsidRPr="0049487A">
              <w:t xml:space="preserve">Internal risks; </w:t>
            </w:r>
          </w:p>
          <w:p w:rsidR="00000000" w:rsidRPr="0049487A" w:rsidP="0049487A">
            <w:pPr>
              <w:pStyle w:val="ListBullet"/>
            </w:pPr>
            <w:r w:rsidRPr="0049487A">
              <w:t xml:space="preserve">External risks; </w:t>
            </w:r>
          </w:p>
          <w:p w:rsidR="00000000" w:rsidRPr="0049487A" w:rsidP="0049487A">
            <w:pPr>
              <w:pStyle w:val="ListBullet"/>
            </w:pPr>
            <w:r w:rsidRPr="0049487A">
              <w:t xml:space="preserve">Risk minimisation; </w:t>
            </w:r>
          </w:p>
          <w:p w:rsidR="00000000" w:rsidRPr="0049487A" w:rsidP="0049487A">
            <w:pPr>
              <w:pStyle w:val="ListBullet"/>
            </w:pPr>
            <w:r w:rsidRPr="0049487A">
              <w:t xml:space="preserve">Risk removal; </w:t>
            </w:r>
          </w:p>
          <w:p w:rsidR="00000000" w:rsidRPr="0049487A" w:rsidP="0049487A">
            <w:pPr>
              <w:pStyle w:val="ListBullet"/>
            </w:pPr>
            <w:r w:rsidRPr="0049487A">
              <w:t>Contingencies and the like.</w:t>
            </w:r>
          </w:p>
          <w:p w:rsidR="00000000" w:rsidRPr="0049487A" w:rsidP="0049487A">
            <w:pPr>
              <w:pStyle w:val="BodyText"/>
            </w:pPr>
            <w:r w:rsidRPr="0049487A">
              <w:t xml:space="preserve">T8   Procurement management: </w:t>
            </w:r>
          </w:p>
          <w:p w:rsidR="00000000" w:rsidRPr="0049487A" w:rsidP="0049487A">
            <w:pPr>
              <w:pStyle w:val="ListBullet"/>
            </w:pPr>
            <w:r w:rsidRPr="0049487A">
              <w:t xml:space="preserve">procurement management concepts; </w:t>
            </w:r>
          </w:p>
          <w:p w:rsidR="00000000" w:rsidRPr="0049487A" w:rsidP="0049487A">
            <w:pPr>
              <w:pStyle w:val="ListBullet"/>
            </w:pPr>
            <w:r w:rsidRPr="0049487A">
              <w:t>standard practices for managing procurement and the like.</w:t>
            </w:r>
          </w:p>
          <w:p w:rsidR="00000000" w:rsidRPr="0049487A" w:rsidP="0049487A">
            <w:pPr>
              <w:pStyle w:val="BodyText"/>
            </w:pPr>
            <w:r w:rsidRPr="0049487A">
              <w:t xml:space="preserve">T9   Physical Resource management: </w:t>
            </w:r>
          </w:p>
          <w:p w:rsidR="00000000" w:rsidRPr="0049487A" w:rsidP="0049487A">
            <w:pPr>
              <w:pStyle w:val="ListBullet"/>
            </w:pPr>
            <w:r w:rsidRPr="0049487A">
              <w:t xml:space="preserve">Types of physical resource, including; </w:t>
            </w:r>
          </w:p>
          <w:p w:rsidR="00000000" w:rsidRPr="0049487A" w:rsidP="0049487A">
            <w:pPr>
              <w:pStyle w:val="ListBullet"/>
            </w:pPr>
            <w:r w:rsidRPr="0049487A">
              <w:t>Equipment, Technology, Infor</w:t>
            </w:r>
            <w:r w:rsidRPr="0049487A">
              <w:t xml:space="preserve">mation, Facilities; </w:t>
            </w:r>
          </w:p>
          <w:p w:rsidR="00000000" w:rsidRPr="0049487A" w:rsidP="0049487A">
            <w:pPr>
              <w:pStyle w:val="ListBullet"/>
            </w:pPr>
            <w:r w:rsidRPr="0049487A">
              <w:t xml:space="preserve">Physical resource management concepts; </w:t>
            </w:r>
          </w:p>
          <w:p w:rsidR="00000000" w:rsidRPr="0049487A" w:rsidP="0049487A">
            <w:pPr>
              <w:pStyle w:val="ListBullet"/>
            </w:pPr>
            <w:r w:rsidRPr="0049487A">
              <w:t>Standard practices for managing physical resources</w:t>
            </w:r>
          </w:p>
          <w:p w:rsidR="00000000" w:rsidRPr="0049487A" w:rsidP="0049487A">
            <w:pPr>
              <w:pStyle w:val="BodyText"/>
            </w:pPr>
            <w:r w:rsidRPr="0049487A">
              <w:t>T10  Contracts:</w:t>
            </w:r>
          </w:p>
          <w:p w:rsidR="00000000" w:rsidRPr="0049487A" w:rsidP="0049487A">
            <w:pPr>
              <w:pStyle w:val="ListBullet"/>
            </w:pPr>
            <w:r w:rsidRPr="0049487A">
              <w:t xml:space="preserve">Understanding project contracts; </w:t>
            </w:r>
          </w:p>
          <w:p w:rsidR="00000000" w:rsidRPr="0049487A" w:rsidP="0049487A">
            <w:pPr>
              <w:pStyle w:val="ListBullet"/>
            </w:pPr>
            <w:r w:rsidRPr="0049487A">
              <w:t xml:space="preserve">Standard practices for working to contract specifications; </w:t>
            </w:r>
          </w:p>
          <w:p w:rsidR="00000000" w:rsidRPr="0049487A" w:rsidP="0049487A">
            <w:pPr>
              <w:pStyle w:val="ListBullet"/>
            </w:pPr>
            <w:r w:rsidRPr="0049487A">
              <w:t xml:space="preserve">Contract format; </w:t>
            </w:r>
          </w:p>
          <w:p w:rsidR="00000000" w:rsidRPr="0049487A" w:rsidP="0049487A">
            <w:pPr>
              <w:pStyle w:val="ListBullet"/>
            </w:pPr>
            <w:r w:rsidRPr="0049487A">
              <w:t>Contract conten</w:t>
            </w:r>
            <w:r w:rsidRPr="0049487A">
              <w:t>t;</w:t>
            </w:r>
          </w:p>
          <w:p w:rsidR="00000000" w:rsidRPr="0049487A" w:rsidP="0049487A">
            <w:pPr>
              <w:pStyle w:val="ListBullet"/>
            </w:pPr>
            <w:r w:rsidRPr="0049487A">
              <w:t xml:space="preserve">Legal obligations of contract parties; </w:t>
            </w:r>
          </w:p>
          <w:p w:rsidR="00000000" w:rsidRPr="0049487A" w:rsidP="0049487A">
            <w:pPr>
              <w:pStyle w:val="ListBullet"/>
            </w:pPr>
            <w:r w:rsidRPr="0049487A">
              <w:t xml:space="preserve">Accompanying documentation including; </w:t>
            </w:r>
          </w:p>
          <w:p w:rsidR="00000000" w:rsidRPr="0049487A" w:rsidP="0049487A">
            <w:pPr>
              <w:pStyle w:val="ListBullet"/>
            </w:pPr>
            <w:r w:rsidRPr="0049487A">
              <w:t>Contract Schedules and the like.</w:t>
            </w:r>
          </w:p>
          <w:p w:rsidR="00000000" w:rsidRPr="0049487A" w:rsidP="0049487A">
            <w:pPr>
              <w:pStyle w:val="BodyText"/>
            </w:pPr>
            <w:r w:rsidRPr="0049487A">
              <w:t xml:space="preserve">T11  Performance assessment and continuous improvement: </w:t>
            </w:r>
          </w:p>
          <w:p w:rsidR="00000000" w:rsidRPr="0049487A" w:rsidP="0049487A">
            <w:pPr>
              <w:pStyle w:val="ListBullet"/>
            </w:pPr>
            <w:r w:rsidRPr="0049487A">
              <w:t>standard performance assessment practices;</w:t>
            </w:r>
          </w:p>
          <w:p w:rsidR="00000000" w:rsidRPr="0049487A" w:rsidP="0049487A">
            <w:pPr>
              <w:pStyle w:val="ListBullet"/>
            </w:pPr>
            <w:r w:rsidRPr="0049487A">
              <w:t xml:space="preserve"> standard continuous improvement practices and the like</w:t>
            </w:r>
          </w:p>
          <w:p w:rsidR="00000000" w:rsidRPr="0049487A" w:rsidP="0049487A">
            <w:pPr>
              <w:pStyle w:val="ListBullet"/>
            </w:pPr>
            <w:r w:rsidRPr="0049487A">
              <w:t>Engineering ethics principles</w:t>
            </w:r>
          </w:p>
          <w:p w:rsidR="00000000" w:rsidRPr="0049487A" w:rsidP="0049487A">
            <w:pPr>
              <w:pStyle w:val="BodyText"/>
            </w:pPr>
            <w:r w:rsidRPr="0049487A">
              <w:t>T12  Customer/client relations encompassing:</w:t>
            </w:r>
          </w:p>
          <w:p w:rsidR="00000000" w:rsidRPr="0049487A" w:rsidP="0049487A">
            <w:pPr>
              <w:pStyle w:val="ListBullet"/>
            </w:pPr>
            <w:r w:rsidRPr="0049487A">
              <w:t>Importance of customer/client relations</w:t>
            </w:r>
          </w:p>
          <w:p w:rsidR="00000000" w:rsidRPr="0049487A" w:rsidP="0049487A">
            <w:pPr>
              <w:pStyle w:val="ListBullet"/>
            </w:pPr>
            <w:r w:rsidRPr="0049487A">
              <w:t>Interpersonal skills that enhance customer/client</w:t>
            </w:r>
          </w:p>
          <w:p w:rsidR="00000000" w:rsidRPr="0049487A" w:rsidP="0049487A">
            <w:pPr>
              <w:pStyle w:val="ListBullet"/>
            </w:pPr>
            <w:r w:rsidRPr="0049487A">
              <w:t>Dispute resolution</w:t>
            </w:r>
          </w:p>
          <w:p w:rsidR="00000000" w:rsidRPr="0049487A" w:rsidP="0049487A">
            <w:pPr>
              <w:pStyle w:val="ListBullet"/>
            </w:pPr>
            <w:r w:rsidRPr="0049487A">
              <w:t>Customer/client</w:t>
            </w:r>
            <w:r w:rsidRPr="0049487A">
              <w:t xml:space="preserve"> relations strategies</w:t>
            </w:r>
          </w:p>
          <w:p w:rsidR="00000000" w:rsidRPr="0049487A" w:rsidP="0049487A">
            <w:pPr>
              <w:pStyle w:val="BodyText"/>
            </w:pPr>
            <w:r w:rsidRPr="0049487A">
              <w:t>T13 Automated systems industry sector customs and practices encompassing:</w:t>
            </w:r>
          </w:p>
          <w:p w:rsidR="00000000" w:rsidRPr="0049487A" w:rsidP="0049487A">
            <w:pPr>
              <w:pStyle w:val="ListBullet"/>
            </w:pPr>
            <w:r w:rsidRPr="0049487A">
              <w:t xml:space="preserve">Technical aspects of project planning and management </w:t>
            </w:r>
          </w:p>
          <w:p w:rsidR="00000000" w:rsidRPr="0049487A" w:rsidP="0049487A">
            <w:pPr>
              <w:pStyle w:val="ListBullet"/>
            </w:pPr>
            <w:r w:rsidRPr="0049487A">
              <w:t>Method of ensuring equipment meets specified performance requirements</w:t>
            </w:r>
          </w:p>
          <w:p w:rsidR="00000000" w:rsidRPr="0049487A" w:rsidP="0049487A">
            <w:pPr>
              <w:pStyle w:val="ListBullet"/>
            </w:pPr>
            <w:r w:rsidRPr="0049487A">
              <w:t>Performance/cost benefit analysis</w:t>
            </w:r>
          </w:p>
          <w:p w:rsidR="00000000" w:rsidRPr="0049487A" w:rsidP="0049487A">
            <w:pPr>
              <w:pStyle w:val="ListBullet"/>
            </w:pPr>
            <w:r w:rsidRPr="0049487A">
              <w:t>E</w:t>
            </w:r>
            <w:r w:rsidRPr="0049487A">
              <w:t>quipment procurement</w:t>
            </w:r>
          </w:p>
          <w:p w:rsidR="00000000" w:rsidRPr="0049487A" w:rsidP="0049487A">
            <w:pPr>
              <w:pStyle w:val="ListBullet"/>
            </w:pPr>
            <w:r w:rsidRPr="0049487A">
              <w:t xml:space="preserve">Typical approaches to planning and management </w:t>
            </w:r>
          </w:p>
          <w:p w:rsidR="00000000" w:rsidRPr="0049487A" w:rsidP="0049487A">
            <w:pPr>
              <w:pStyle w:val="ListBullet"/>
            </w:pPr>
            <w:r w:rsidRPr="0049487A">
              <w:t>Successful planning techniques</w:t>
            </w:r>
          </w:p>
          <w:p w:rsidR="00000000" w:rsidRPr="0049487A" w:rsidP="0049487A">
            <w:pPr>
              <w:pStyle w:val="ListBullet"/>
            </w:pPr>
            <w:r w:rsidRPr="0049487A">
              <w:t>Best practice management methods and styles</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10" w:name="O_534059"/>
      <w:bookmarkEnd w:id="10"/>
      <w:r w:rsidRPr="0049487A">
        <w:t>Evidence Guide</w:t>
      </w:r>
    </w:p>
    <w:tbl>
      <w:tblPr>
        <w:tblW w:w="0" w:type="auto"/>
        <w:tblLayout w:type="fixed"/>
        <w:tblCellMar>
          <w:left w:w="62" w:type="dxa"/>
          <w:right w:w="62" w:type="dxa"/>
        </w:tblCellMar>
        <w:tblLook w:val="0000"/>
      </w:tblPr>
      <w:tblGrid>
        <w:gridCol w:w="8460"/>
      </w:tblGrid>
      <w:tr w:rsidTr="00F976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EVIDENCE GUIDE</w:t>
            </w:r>
          </w:p>
        </w:tc>
      </w:tr>
      <w:tr w:rsidTr="00F976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9)</w:t>
            </w:r>
            <w:r w:rsidRPr="0049487A">
              <w:t xml:space="preserve"> </w:t>
            </w:r>
            <w:r w:rsidRPr="0049487A">
              <w:t>The evidence guide provides advice on assessment and must be read in conjunction with the Performance Criteria, Required Skills and Knowledge, the Range Statement and the Assessment Guidelines for this Training Package.</w:t>
            </w:r>
          </w:p>
          <w:p w:rsidR="00000000" w:rsidRPr="0049487A" w:rsidP="0049487A">
            <w:pPr>
              <w:pStyle w:val="BodyText"/>
            </w:pPr>
            <w:r w:rsidRPr="0049487A">
              <w:t>The Evidence Guide forms an integral</w:t>
            </w:r>
            <w:r w:rsidRPr="0049487A">
              <w:t xml:space="preserve"> part of this unit. It must be used in conjunction with all parts of the unit and performed in accordance with the Assessment Guidelines of this Training Package.</w:t>
            </w:r>
          </w:p>
        </w:tc>
      </w:tr>
    </w:tbl>
    <w:p w:rsidR="00000000" w:rsidRPr="0049487A" w:rsidP="0049487A">
      <w:pPr>
        <w:pStyle w:val="BodyText"/>
      </w:pPr>
    </w:p>
    <w:tbl>
      <w:tblPr>
        <w:tblW w:w="0" w:type="auto"/>
        <w:tblLayout w:type="fixed"/>
        <w:tblCellMar>
          <w:left w:w="62" w:type="dxa"/>
          <w:right w:w="62" w:type="dxa"/>
        </w:tblCellMar>
        <w:tblLook w:val="0000"/>
      </w:tblPr>
      <w:tblGrid>
        <w:gridCol w:w="1890"/>
        <w:gridCol w:w="6570"/>
      </w:tblGrid>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9.1)</w:t>
            </w:r>
          </w:p>
        </w:tc>
      </w:tr>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Longitudinal competency development approaches to assessment, such as Profiling, require data to be reliably gathered in a form that can be consistently interpreted over time. This approach is best utilised in Apprenticeship programs and reduces assessment</w:t>
            </w:r>
            <w:r w:rsidRPr="0049487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9487A">
              <w:t>ncy in a realistically simulated work environment. In some circumstances, assessment in part or full can occur outside the workplace. However, it must be in accordance with industry and regulatory policy.</w:t>
            </w:r>
          </w:p>
          <w:p w:rsidR="00000000" w:rsidRPr="0049487A" w:rsidP="0049487A">
            <w:pPr>
              <w:pStyle w:val="BodyText"/>
            </w:pPr>
            <w:r w:rsidRPr="0049487A">
              <w:t xml:space="preserve">Methods chosen for a particular assessment will be </w:t>
            </w:r>
            <w:r w:rsidRPr="0049487A">
              <w:t>influenced by various factors. These include the extent of the assessment, the most effective locations for the assessment activities to take place, access to physical resources, additional safety measures that may be required and the critical nature of th</w:t>
            </w:r>
            <w:r w:rsidRPr="0049487A">
              <w:t>e competencies being assessed.</w:t>
            </w:r>
          </w:p>
          <w:p w:rsidR="00000000" w:rsidRPr="0049487A" w:rsidP="0049487A">
            <w:pPr>
              <w:pStyle w:val="BodyText"/>
            </w:pPr>
            <w:r w:rsidRPr="0049487A">
              <w:t>The critical safety nature of working with electricity, electrical equipment, gas or any other hazardous substance/material carries risk in deeming a person competent. Sources of evidence need to be ‘rich’ in nature to minimi</w:t>
            </w:r>
            <w:r w:rsidRPr="0049487A">
              <w:t>se error in judgment.</w:t>
            </w:r>
          </w:p>
          <w:p w:rsidR="00000000" w:rsidRPr="0049487A" w:rsidP="0049487A">
            <w:pPr>
              <w:pStyle w:val="BodyText"/>
            </w:pPr>
            <w:r w:rsidRPr="0049487A">
              <w:t xml:space="preserve">Activities associated with normal everyday work influence </w:t>
            </w:r>
            <w:r w:rsidRPr="0049487A">
              <w:t>how/how much the data gathered will contribute to its ‘richness’. Some skills are more critical to safety and operational requirements while the same skills may be more or less</w:t>
            </w:r>
            <w:r w:rsidRPr="0049487A">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49487A">
              <w:t>ckage.</w:t>
            </w:r>
          </w:p>
        </w:tc>
      </w:tr>
    </w:tbl>
    <w:p w:rsidR="00000000" w:rsidRPr="0049487A" w:rsidP="0049487A">
      <w:pPr>
        <w:pStyle w:val="BodyText"/>
      </w:pPr>
    </w:p>
    <w:tbl>
      <w:tblPr>
        <w:tblW w:w="0" w:type="auto"/>
        <w:tblLayout w:type="fixed"/>
        <w:tblCellMar>
          <w:left w:w="62" w:type="dxa"/>
          <w:right w:w="62" w:type="dxa"/>
        </w:tblCellMar>
        <w:tblLook w:val="0000"/>
      </w:tblPr>
      <w:tblGrid>
        <w:gridCol w:w="1869"/>
        <w:gridCol w:w="21"/>
        <w:gridCol w:w="1350"/>
        <w:gridCol w:w="5220"/>
      </w:tblGrid>
      <w:tr w:rsidTr="00F976CF">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9.2)</w:t>
            </w:r>
          </w:p>
        </w:tc>
      </w:tr>
      <w:tr w:rsidTr="00F976CF">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Before the critical aspects of evidence are considered all prerequisites must be met.</w:t>
            </w:r>
          </w:p>
          <w:p w:rsidR="00000000" w:rsidRPr="0049487A" w:rsidP="0049487A">
            <w:pPr>
              <w:pStyle w:val="BodyText"/>
            </w:pPr>
            <w:r w:rsidRPr="0049487A">
              <w:t>Evidence for competence in this unit shall be considered holistically.  Each</w:t>
            </w:r>
            <w:r w:rsidRPr="0049487A">
              <w:t xml:space="preserve"> Element and associated performance criteria must be demonstrated on at least two occasions in accordance with the ‘Assessment Guidelines – UEE11’.  Evidence shall also comprise:</w:t>
            </w:r>
          </w:p>
          <w:p w:rsidR="00000000" w:rsidRPr="0049487A" w:rsidP="0049487A">
            <w:pPr>
              <w:pStyle w:val="ListBullet"/>
            </w:pPr>
            <w:r w:rsidRPr="0049487A">
              <w:t>A representative body of work performance demonstrated within the timeframes</w:t>
            </w:r>
            <w:r w:rsidRPr="0049487A">
              <w:t xml:space="preserve"> typically expected of the discipline, work function and industrial environment. In particular this shall incorporate evidence that shows a candidate is able to:</w:t>
            </w:r>
          </w:p>
          <w:p w:rsidR="00000000" w:rsidRPr="0049487A" w:rsidP="0049487A">
            <w:pPr>
              <w:pStyle w:val="ListBullet2"/>
            </w:pPr>
            <w:r w:rsidRPr="0049487A">
              <w:t xml:space="preserve">Implement Occupational Health and Safety workplace procedures and practices, including </w:t>
            </w:r>
            <w:r w:rsidRPr="0049487A">
              <w:t>the use of risk control measures as specified in the performance criteria and range statement</w:t>
            </w:r>
          </w:p>
          <w:p w:rsidR="00000000" w:rsidRPr="0049487A" w:rsidP="0049487A">
            <w:pPr>
              <w:pStyle w:val="ListBullet2"/>
            </w:pPr>
            <w:r w:rsidRPr="0049487A">
              <w:t>Apply sustainable energy principles and practices as specified in the performance criteria and range statement</w:t>
            </w:r>
          </w:p>
          <w:p w:rsidR="00000000" w:rsidRPr="0049487A" w:rsidP="0049487A">
            <w:pPr>
              <w:pStyle w:val="ListBullet2"/>
            </w:pPr>
            <w:r w:rsidRPr="0049487A">
              <w:t>Demonstrate an understanding of the required skills</w:t>
            </w:r>
            <w:r w:rsidRPr="0049487A">
              <w:t xml:space="preserve"> and knowledge as described in this unit.  It may be required by some jurisdictions that RTOs provide a percentile graded result for the purpose of regulatory or licensing requirements.</w:t>
            </w:r>
          </w:p>
          <w:p w:rsidR="00000000" w:rsidRPr="0049487A" w:rsidP="0049487A">
            <w:pPr>
              <w:pStyle w:val="ListBullet2"/>
            </w:pPr>
            <w:r w:rsidRPr="0049487A">
              <w:t>Demonstrate an appropriate level of skills enabling employment</w:t>
            </w:r>
          </w:p>
          <w:p w:rsidR="00000000" w:rsidRPr="0049487A" w:rsidP="0049487A">
            <w:pPr>
              <w:pStyle w:val="ListBullet2"/>
            </w:pPr>
            <w:r w:rsidRPr="0049487A">
              <w:t>Conduct</w:t>
            </w:r>
            <w:r w:rsidRPr="0049487A">
              <w:t xml:space="preserve"> work observing the relevant Anti Discrimination legislation, regulations, polices and workplace procedures</w:t>
            </w:r>
          </w:p>
          <w:p w:rsidR="00000000" w:rsidRPr="0049487A" w:rsidP="0049487A">
            <w:pPr>
              <w:pStyle w:val="ListBullet"/>
            </w:pPr>
            <w:r w:rsidRPr="0049487A">
              <w:t>Demonstrated consistent performance across a representative range of contexts from the prescribed items below:</w:t>
            </w:r>
          </w:p>
          <w:p w:rsidR="00000000" w:rsidP="0049487A">
            <w:pPr>
              <w:pStyle w:val="ListBullet2"/>
              <w:rPr>
                <w:lang w:val="en-NZ"/>
              </w:rPr>
            </w:pPr>
            <w:r w:rsidRPr="0049487A">
              <w:t>Manage automated systems projects a</w:t>
            </w:r>
            <w:r w:rsidRPr="0049487A">
              <w:t xml:space="preserve">s described in 8) and </w:t>
            </w:r>
            <w:r w:rsidRPr="0049487A">
              <w:t>including:</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A</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Establishing the scope of the project accurately,</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B</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Ascertaining the input a project</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C</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Developing effective management processes,</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D</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Managing resources and variations effectively</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E</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Resolving conflicts</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F</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Adopting risk management strategies</w:t>
            </w:r>
          </w:p>
        </w:tc>
      </w:tr>
      <w:tr w:rsidTr="00F976CF">
        <w:tblPrEx>
          <w:tblW w:w="0" w:type="auto"/>
          <w:tblLayout w:type="fixed"/>
          <w:tblCellMar>
            <w:left w:w="62" w:type="dxa"/>
            <w:right w:w="62" w:type="dxa"/>
          </w:tblCellMar>
          <w:tblLook w:val="0000"/>
        </w:tblPrEx>
        <w:trPr>
          <w:trHeight w:val="361"/>
        </w:trPr>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G</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Maintaining records and submitting progress reports</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H</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Meeting project outcomes</w:t>
            </w:r>
          </w:p>
        </w:tc>
      </w:tr>
      <w:tr w:rsidTr="00F976CF">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I</w:t>
            </w:r>
          </w:p>
        </w:tc>
        <w:tc>
          <w:tcPr>
            <w:tcW w:w="522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t>Dealing with unplanned events by drawing on required knowledge and skills to provide appropriate solutions incorporated in a holistic assessment with the above listed items</w:t>
            </w:r>
          </w:p>
        </w:tc>
      </w:tr>
      <w:tr w:rsidTr="00F976C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 xml:space="preserve">Note: </w:t>
            </w:r>
            <w:r w:rsidRPr="0049487A">
              <w:br/>
              <w:t>Successful completion of relevant vendor training may be used to contribute</w:t>
            </w:r>
            <w:r w:rsidRPr="0049487A">
              <w:t xml:space="preserve"> to evidence on which competency is deemed. In these cases the alignment of outcomes of vendor training with performance criteria and critical aspects of evidence shall be clearly identified.</w:t>
            </w:r>
          </w:p>
        </w:tc>
      </w:tr>
    </w:tbl>
    <w:p w:rsidR="00000000" w:rsidRPr="0049487A" w:rsidP="0049487A">
      <w:pPr>
        <w:pStyle w:val="BodyText"/>
      </w:pPr>
    </w:p>
    <w:p w:rsidR="00000000" w:rsidRPr="0049487A" w:rsidP="0049487A">
      <w:pPr>
        <w:pStyle w:val="BodyText"/>
      </w:pPr>
    </w:p>
    <w:tbl>
      <w:tblPr>
        <w:tblW w:w="0" w:type="auto"/>
        <w:tblLayout w:type="fixed"/>
        <w:tblCellMar>
          <w:left w:w="62" w:type="dxa"/>
          <w:right w:w="62" w:type="dxa"/>
        </w:tblCellMar>
        <w:tblLook w:val="0000"/>
      </w:tblPr>
      <w:tblGrid>
        <w:gridCol w:w="1890"/>
        <w:gridCol w:w="6570"/>
      </w:tblGrid>
      <w:tr w:rsidTr="00F976C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9.3)</w:t>
            </w:r>
          </w:p>
        </w:tc>
      </w:tr>
      <w:tr w:rsidTr="00F976C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This unit must be assessed as it relates to normal work practice using procedures, information and resources typical of a workplace. This should include:</w:t>
            </w:r>
          </w:p>
          <w:p w:rsidR="00000000" w:rsidRPr="0049487A" w:rsidP="0049487A">
            <w:pPr>
              <w:pStyle w:val="ListBullet"/>
            </w:pPr>
            <w:r w:rsidRPr="0049487A">
              <w:t>OHS policy and work procedures and instructions.</w:t>
            </w:r>
          </w:p>
          <w:p w:rsidR="00000000" w:rsidRPr="0049487A" w:rsidP="0049487A">
            <w:pPr>
              <w:pStyle w:val="ListBullet"/>
            </w:pPr>
            <w:r w:rsidRPr="0049487A">
              <w:t>Suitable work environment, facilities, equipment and</w:t>
            </w:r>
            <w:r w:rsidRPr="0049487A">
              <w:t xml:space="preserve"> materials to undertake actual work as prescribed by this unit.</w:t>
            </w:r>
          </w:p>
          <w:p w:rsidR="00000000" w:rsidRPr="0049487A" w:rsidP="0049487A">
            <w:pPr>
              <w:pStyle w:val="BodyText"/>
            </w:pPr>
            <w:r w:rsidRPr="0049487A">
              <w:t>These should be part of the formal learning/assessment environment.</w:t>
            </w:r>
          </w:p>
          <w:p w:rsidR="00000000" w:rsidRPr="0049487A" w:rsidP="0049487A">
            <w:pPr>
              <w:pStyle w:val="BodyText"/>
            </w:pPr>
            <w:r w:rsidRPr="0049487A">
              <w:t>Note:</w:t>
            </w:r>
          </w:p>
          <w:p w:rsidR="00000000" w:rsidRPr="0049487A" w:rsidP="0049487A">
            <w:pPr>
              <w:pStyle w:val="BodyText"/>
            </w:pPr>
            <w:r w:rsidRPr="0049487A">
              <w:t>Where simulation is considered a suitable strategy for assessment, the conditions must be authentic and as far as poss</w:t>
            </w:r>
            <w:r w:rsidRPr="0049487A">
              <w:t xml:space="preserve">ible reproduce and replicate the workplace and be consistent with the approved </w:t>
            </w:r>
            <w:r w:rsidRPr="0049487A">
              <w:t>industry simulation policy.</w:t>
            </w:r>
          </w:p>
          <w:p w:rsidR="00000000" w:rsidRPr="0049487A" w:rsidP="0049487A">
            <w:pPr>
              <w:pStyle w:val="BodyText"/>
            </w:pPr>
            <w:r w:rsidRPr="0049487A">
              <w:t>The resources used for assessment should reflect current industry practices in relation to managing automated systems projects.</w:t>
            </w:r>
          </w:p>
        </w:tc>
      </w:tr>
    </w:tbl>
    <w:p w:rsidR="00000000" w:rsidRPr="0049487A" w:rsidP="0049487A">
      <w:pPr>
        <w:pStyle w:val="BodyText"/>
      </w:pPr>
    </w:p>
    <w:tbl>
      <w:tblPr>
        <w:tblW w:w="0" w:type="auto"/>
        <w:tblLayout w:type="fixed"/>
        <w:tblCellMar>
          <w:left w:w="62" w:type="dxa"/>
          <w:right w:w="62" w:type="dxa"/>
        </w:tblCellMar>
        <w:tblLook w:val="0000"/>
      </w:tblPr>
      <w:tblGrid>
        <w:gridCol w:w="1890"/>
        <w:gridCol w:w="6570"/>
      </w:tblGrid>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9.4)</w:t>
            </w:r>
          </w:p>
        </w:tc>
      </w:tr>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This unit shall be assessed by methods given in Volume 1, Part 3 ‘Assessment Guidelines’.</w:t>
            </w:r>
          </w:p>
          <w:p w:rsidR="00000000" w:rsidRPr="0049487A" w:rsidP="0049487A">
            <w:pPr>
              <w:pStyle w:val="BodyText"/>
            </w:pPr>
            <w:r w:rsidRPr="0049487A">
              <w:t xml:space="preserve">Note: </w:t>
            </w:r>
          </w:p>
          <w:p w:rsidR="00000000" w:rsidRPr="0049487A" w:rsidP="0049487A">
            <w:pPr>
              <w:pStyle w:val="BodyText"/>
            </w:pPr>
            <w:r w:rsidRPr="0049487A">
              <w:t>Competent performance with inherent safe working practices is expected in the Industry to which this unit applies. This requires as</w:t>
            </w:r>
            <w:r w:rsidRPr="0049487A">
              <w:t>sessment in a structured environment which is intended primarily for learning/assessment and incorporates all necessary equipment and facilities for learners to develop and demonstrate the required skills and knowledge described in this unit.</w:t>
            </w:r>
          </w:p>
        </w:tc>
      </w:tr>
    </w:tbl>
    <w:p w:rsidR="00000000" w:rsidRPr="0049487A" w:rsidP="0049487A">
      <w:pPr>
        <w:pStyle w:val="BodyText"/>
      </w:pPr>
    </w:p>
    <w:tbl>
      <w:tblPr>
        <w:tblW w:w="0" w:type="auto"/>
        <w:tblLayout w:type="fixed"/>
        <w:tblCellMar>
          <w:left w:w="62" w:type="dxa"/>
          <w:right w:w="62" w:type="dxa"/>
        </w:tblCellMar>
        <w:tblLook w:val="0000"/>
      </w:tblPr>
      <w:tblGrid>
        <w:gridCol w:w="1890"/>
        <w:gridCol w:w="6570"/>
      </w:tblGrid>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 xml:space="preserve">Concurrent </w:t>
            </w:r>
            <w:r w:rsidRPr="0049487A">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9.5)</w:t>
            </w:r>
          </w:p>
        </w:tc>
      </w:tr>
      <w:tr w:rsidTr="00F976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There are no concurrent assessment recommendations for this unit.</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11" w:name="O_534058"/>
      <w:bookmarkEnd w:id="11"/>
      <w:r w:rsidRPr="0049487A">
        <w:t>Range Statement</w:t>
      </w:r>
    </w:p>
    <w:tbl>
      <w:tblPr>
        <w:tblW w:w="0" w:type="auto"/>
        <w:tblLayout w:type="fixed"/>
        <w:tblCellMar>
          <w:left w:w="62" w:type="dxa"/>
          <w:right w:w="62" w:type="dxa"/>
        </w:tblCellMar>
        <w:tblLook w:val="0000"/>
      </w:tblPr>
      <w:tblGrid>
        <w:gridCol w:w="8460"/>
      </w:tblGrid>
      <w:tr w:rsidTr="00F976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RANGE STATEMENT</w:t>
            </w:r>
          </w:p>
        </w:tc>
      </w:tr>
      <w:tr w:rsidTr="00F976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10)</w:t>
            </w:r>
            <w:r w:rsidRPr="0049487A">
              <w:t xml:space="preserve"> This relates to the unit as a whole</w:t>
            </w:r>
            <w:r w:rsidRPr="0049487A">
              <w:t xml:space="preserve"> providing the range of contexts and conditions to which the performance criteria apply. It allows for different work environments and situations that will affect performance.</w:t>
            </w:r>
          </w:p>
          <w:p w:rsidR="00000000" w:rsidRPr="0049487A" w:rsidP="0049487A">
            <w:pPr>
              <w:pStyle w:val="BodyText"/>
            </w:pPr>
            <w:r w:rsidRPr="0049487A">
              <w:t>This unit must be demonstrated in relation to managing an industry accepted medi</w:t>
            </w:r>
            <w:r w:rsidRPr="0049487A">
              <w:t>um sized automated systems project.</w:t>
            </w:r>
          </w:p>
          <w:p w:rsidR="00000000" w:rsidRPr="0049487A" w:rsidP="0049487A">
            <w:pPr>
              <w:pStyle w:val="BodyText"/>
            </w:pPr>
            <w:r w:rsidRPr="0049487A">
              <w:t xml:space="preserve">Generic terms used throughout this Vocational Standard shall be regarded as part of the Range Statement in which competency is demonstrated. The definition of these and other terms that apply are given in Volume 2, Part </w:t>
            </w:r>
            <w:r w:rsidRPr="0049487A">
              <w:t>2.1.</w:t>
            </w:r>
          </w:p>
        </w:tc>
      </w:tr>
    </w:tbl>
    <w:p w:rsidR="00000000" w:rsidRPr="0049487A" w:rsidP="0049487A">
      <w:pPr>
        <w:pStyle w:val="BodyText"/>
      </w:pPr>
    </w:p>
    <w:p w:rsidR="00000000" w:rsidRPr="0049487A" w:rsidP="0049487A">
      <w:pPr>
        <w:pStyle w:val="AllowPageBreak"/>
      </w:pPr>
    </w:p>
    <w:p w:rsidR="00000000" w:rsidRPr="0049487A" w:rsidP="0049487A">
      <w:pPr>
        <w:pStyle w:val="Heading1"/>
      </w:pPr>
      <w:bookmarkStart w:id="12" w:name="O_534057"/>
      <w:bookmarkEnd w:id="12"/>
      <w:r w:rsidRPr="0049487A">
        <w:t>Unit Sector(s)</w:t>
      </w:r>
    </w:p>
    <w:p w:rsidR="00000000" w:rsidRPr="0049487A" w:rsidP="0049487A">
      <w:pPr>
        <w:pStyle w:val="BodyText"/>
      </w:pPr>
      <w:r w:rsidRPr="0049487A">
        <w:t>Not applicable.</w:t>
      </w:r>
    </w:p>
    <w:p w:rsidR="00000000" w:rsidRPr="0049487A" w:rsidP="0049487A">
      <w:pPr>
        <w:pStyle w:val="AllowPageBreak"/>
      </w:pPr>
    </w:p>
    <w:p w:rsidR="00000000" w:rsidRPr="0049487A" w:rsidP="0049487A">
      <w:pPr>
        <w:pStyle w:val="Heading1"/>
      </w:pPr>
      <w:bookmarkStart w:id="13" w:name="O_534056"/>
      <w:bookmarkEnd w:id="13"/>
      <w:r w:rsidRPr="0049487A">
        <w:t>Competency Field</w:t>
      </w:r>
    </w:p>
    <w:tbl>
      <w:tblPr>
        <w:tblW w:w="0" w:type="auto"/>
        <w:tblLayout w:type="fixed"/>
        <w:tblCellMar>
          <w:left w:w="62" w:type="dxa"/>
          <w:right w:w="62" w:type="dxa"/>
        </w:tblCellMar>
        <w:tblLook w:val="0000"/>
      </w:tblPr>
      <w:tblGrid>
        <w:gridCol w:w="2700"/>
        <w:gridCol w:w="5760"/>
      </w:tblGrid>
      <w:tr w:rsidTr="00F976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487A">
            <w:pPr>
              <w:pStyle w:val="BodyText"/>
              <w:rPr>
                <w:lang w:val="en-NZ"/>
              </w:rPr>
            </w:pPr>
            <w:r w:rsidRPr="0049487A">
              <w:rPr>
                <w:rStyle w:val="SpecialBold"/>
              </w:rPr>
              <w:t xml:space="preserve">11) </w:t>
            </w:r>
          </w:p>
        </w:tc>
      </w:tr>
      <w:tr w:rsidTr="00F976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487A" w:rsidP="0049487A">
            <w:pPr>
              <w:pStyle w:val="BodyText"/>
            </w:pPr>
            <w:r w:rsidRPr="0049487A">
              <w:t>Instrumentation and Control</w:t>
            </w:r>
          </w:p>
        </w:tc>
      </w:tr>
    </w:tbl>
    <w:p w:rsidR="00000000" w:rsidRPr="0049487A" w:rsidP="0049487A">
      <w:pPr>
        <w:pStyle w:val="BodyText"/>
      </w:pPr>
    </w:p>
    <w:p w:rsidR="00000000" w:rsidRPr="0049487A" w:rsidP="0049487A"/>
    <w:sectPr w:rsidSect="00494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rsidRPr="00F976CF" w:rsidP="00F976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CF" w:rsidP="004948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76CF" w:rsidP="004948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976CF" w:rsidP="00494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rsidRPr="00F976CF" w:rsidP="00F976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CF" w:rsidRPr="002D2AF8" w:rsidP="0049487A">
    <w:pPr>
      <w:pStyle w:val="Header"/>
      <w:framePr w:wrap="around"/>
    </w:pPr>
    <w:r>
      <w:fldChar w:fldCharType="begin"/>
    </w:r>
    <w:r>
      <w:instrText xml:space="preserve"> TITLE   \* MERGEFORMAT </w:instrText>
    </w:r>
    <w:r>
      <w:fldChar w:fldCharType="separate"/>
    </w:r>
    <w:r>
      <w:t>UEENEEI136A Manage automated control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976CF" w:rsidP="00494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60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E2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01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87A"/>
    <w:pPr>
      <w:spacing w:before="360" w:after="60"/>
      <w:outlineLvl w:val="0"/>
    </w:pPr>
    <w:rPr>
      <w:sz w:val="32"/>
    </w:rPr>
  </w:style>
  <w:style w:type="paragraph" w:styleId="Heading2">
    <w:name w:val="heading 2"/>
    <w:basedOn w:val="HeadingBase"/>
    <w:next w:val="BodyText"/>
    <w:link w:val="Heading2Char"/>
    <w:qFormat/>
    <w:rsid w:val="0049487A"/>
    <w:pPr>
      <w:keepLines/>
      <w:spacing w:before="240" w:after="120"/>
      <w:outlineLvl w:val="1"/>
    </w:pPr>
    <w:rPr>
      <w:sz w:val="28"/>
      <w:szCs w:val="40"/>
    </w:rPr>
  </w:style>
  <w:style w:type="paragraph" w:styleId="Heading3">
    <w:name w:val="heading 3"/>
    <w:basedOn w:val="HeadingBase"/>
    <w:next w:val="BodyText"/>
    <w:link w:val="Heading3Char"/>
    <w:qFormat/>
    <w:rsid w:val="0049487A"/>
    <w:pPr>
      <w:spacing w:before="180" w:after="120"/>
      <w:outlineLvl w:val="2"/>
    </w:pPr>
    <w:rPr>
      <w:spacing w:val="-10"/>
      <w:kern w:val="32"/>
    </w:rPr>
  </w:style>
  <w:style w:type="paragraph" w:styleId="Heading4">
    <w:name w:val="heading 4"/>
    <w:basedOn w:val="HeadingBase"/>
    <w:next w:val="BodyText"/>
    <w:link w:val="Heading4Char"/>
    <w:qFormat/>
    <w:rsid w:val="0049487A"/>
    <w:pPr>
      <w:spacing w:before="160" w:after="120"/>
      <w:outlineLvl w:val="3"/>
    </w:pPr>
    <w:rPr>
      <w:sz w:val="22"/>
    </w:rPr>
  </w:style>
  <w:style w:type="paragraph" w:styleId="Heading5">
    <w:name w:val="heading 5"/>
    <w:basedOn w:val="HeadingBase"/>
    <w:next w:val="Normal"/>
    <w:link w:val="Heading5Char"/>
    <w:qFormat/>
    <w:rsid w:val="0049487A"/>
    <w:pPr>
      <w:spacing w:before="80"/>
      <w:outlineLvl w:val="4"/>
    </w:pPr>
    <w:rPr>
      <w:color w:val="918585"/>
      <w:sz w:val="20"/>
    </w:rPr>
  </w:style>
  <w:style w:type="paragraph" w:styleId="Heading6">
    <w:name w:val="heading 6"/>
    <w:basedOn w:val="HeadingBase"/>
    <w:next w:val="Normal"/>
    <w:link w:val="Heading6Char"/>
    <w:qFormat/>
    <w:rsid w:val="0049487A"/>
    <w:pPr>
      <w:spacing w:before="60"/>
      <w:outlineLvl w:val="5"/>
    </w:pPr>
    <w:rPr>
      <w:color w:val="918585"/>
      <w:sz w:val="20"/>
    </w:rPr>
  </w:style>
  <w:style w:type="paragraph" w:styleId="Heading7">
    <w:name w:val="heading 7"/>
    <w:basedOn w:val="Normal"/>
    <w:next w:val="Normal"/>
    <w:link w:val="Heading7Char"/>
    <w:qFormat/>
    <w:rsid w:val="0049487A"/>
    <w:pPr>
      <w:ind w:left="720"/>
      <w:outlineLvl w:val="6"/>
    </w:pPr>
    <w:rPr>
      <w:i/>
    </w:rPr>
  </w:style>
  <w:style w:type="paragraph" w:styleId="Heading8">
    <w:name w:val="heading 8"/>
    <w:basedOn w:val="Normal"/>
    <w:next w:val="Normal"/>
    <w:link w:val="Heading8Char"/>
    <w:qFormat/>
    <w:rsid w:val="0049487A"/>
    <w:pPr>
      <w:ind w:left="720"/>
      <w:outlineLvl w:val="7"/>
    </w:pPr>
    <w:rPr>
      <w:i/>
    </w:rPr>
  </w:style>
  <w:style w:type="paragraph" w:styleId="Heading9">
    <w:name w:val="heading 9"/>
    <w:basedOn w:val="Normal"/>
    <w:next w:val="Normal"/>
    <w:link w:val="Heading9Char"/>
    <w:qFormat/>
    <w:rsid w:val="0049487A"/>
    <w:pPr>
      <w:ind w:left="720"/>
      <w:outlineLvl w:val="8"/>
    </w:pPr>
    <w:rPr>
      <w:i/>
    </w:rPr>
  </w:style>
  <w:style w:type="character" w:default="1" w:styleId="DefaultParagraphFont">
    <w:name w:val="Default Paragraph Font"/>
    <w:uiPriority w:val="1"/>
    <w:unhideWhenUsed/>
    <w:rsid w:val="00494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87A"/>
  </w:style>
  <w:style w:type="character" w:customStyle="1" w:styleId="Heading1Char">
    <w:name w:val="Heading 1 Char"/>
    <w:basedOn w:val="DefaultParagraphFont"/>
    <w:link w:val="Heading1"/>
    <w:rsid w:val="0049487A"/>
    <w:rPr>
      <w:rFonts w:ascii="Times New Roman" w:eastAsia="Times New Roman" w:hAnsi="Times New Roman" w:cs="Times New Roman"/>
      <w:b/>
      <w:sz w:val="32"/>
      <w:szCs w:val="20"/>
      <w:lang w:eastAsia="en-US"/>
    </w:rPr>
  </w:style>
  <w:style w:type="paragraph" w:styleId="BodyText">
    <w:name w:val="Body Text"/>
    <w:basedOn w:val="Normal"/>
    <w:link w:val="BodyTextChar"/>
    <w:rsid w:val="004948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87A"/>
    <w:rPr>
      <w:rFonts w:ascii="Times New Roman" w:eastAsia="Times New Roman" w:hAnsi="Times New Roman" w:cs="Times New Roman"/>
      <w:sz w:val="24"/>
      <w:lang w:eastAsia="en-US"/>
    </w:rPr>
  </w:style>
  <w:style w:type="paragraph" w:styleId="ListBullet">
    <w:name w:val="List Bullet"/>
    <w:basedOn w:val="List"/>
    <w:rsid w:val="0049487A"/>
    <w:pPr>
      <w:numPr>
        <w:numId w:val="13"/>
      </w:numPr>
      <w:tabs>
        <w:tab w:val="clear" w:pos="340"/>
      </w:tabs>
      <w:spacing w:before="40" w:after="40"/>
    </w:pPr>
  </w:style>
  <w:style w:type="character" w:customStyle="1" w:styleId="SpecialBold">
    <w:name w:val="Special Bold"/>
    <w:basedOn w:val="DefaultParagraphFont"/>
    <w:rsid w:val="0049487A"/>
    <w:rPr>
      <w:b/>
      <w:spacing w:val="0"/>
    </w:rPr>
  </w:style>
  <w:style w:type="paragraph" w:styleId="ListBullet2">
    <w:name w:val="List Bullet 2"/>
    <w:basedOn w:val="List2"/>
    <w:rsid w:val="0049487A"/>
    <w:pPr>
      <w:numPr>
        <w:numId w:val="14"/>
      </w:numPr>
      <w:tabs>
        <w:tab w:val="clear" w:pos="680"/>
      </w:tabs>
    </w:pPr>
  </w:style>
  <w:style w:type="paragraph" w:customStyle="1" w:styleId="SuperHeading">
    <w:name w:val="SuperHeading"/>
    <w:basedOn w:val="Normal"/>
    <w:rsid w:val="0049487A"/>
    <w:pPr>
      <w:spacing w:before="240" w:after="120"/>
      <w:outlineLvl w:val="0"/>
    </w:pPr>
    <w:rPr>
      <w:rFonts w:ascii="Times New Roman" w:hAnsi="Times New Roman"/>
      <w:b/>
      <w:sz w:val="32"/>
    </w:rPr>
  </w:style>
  <w:style w:type="paragraph" w:customStyle="1" w:styleId="AllowPageBreak">
    <w:name w:val="AllowPageBreak"/>
    <w:rsid w:val="00494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87A"/>
    <w:rPr>
      <w:rFonts w:ascii="Courier New" w:eastAsia="Times New Roman" w:hAnsi="Courier New" w:cs="Times New Roman"/>
      <w:i/>
      <w:szCs w:val="20"/>
      <w:lang w:eastAsia="en-US"/>
    </w:rPr>
  </w:style>
  <w:style w:type="paragraph" w:customStyle="1" w:styleId="HeadingBase">
    <w:name w:val="Heading Base"/>
    <w:rsid w:val="00494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87A"/>
    <w:pPr>
      <w:tabs>
        <w:tab w:val="right" w:leader="dot" w:pos="9072"/>
      </w:tabs>
      <w:ind w:left="567"/>
    </w:pPr>
    <w:rPr>
      <w:szCs w:val="22"/>
    </w:rPr>
  </w:style>
  <w:style w:type="paragraph" w:customStyle="1" w:styleId="TOCBase">
    <w:name w:val="TOC Base"/>
    <w:rsid w:val="00494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87A"/>
    <w:pPr>
      <w:tabs>
        <w:tab w:val="right" w:leader="dot" w:pos="9072"/>
      </w:tabs>
      <w:spacing w:before="40" w:after="40"/>
      <w:ind w:left="284"/>
    </w:pPr>
    <w:rPr>
      <w:rFonts w:ascii="Times New Roman" w:hAnsi="Times New Roman"/>
    </w:rPr>
  </w:style>
  <w:style w:type="paragraph" w:styleId="TOC1">
    <w:name w:val="toc 1"/>
    <w:basedOn w:val="TOCBase"/>
    <w:next w:val="Normal"/>
    <w:rsid w:val="00494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87A"/>
    <w:rPr>
      <w:rFonts w:ascii="Times New Roman" w:eastAsia="Times New Roman" w:hAnsi="Times New Roman" w:cs="Times New Roman"/>
      <w:sz w:val="16"/>
      <w:lang w:eastAsia="en-US"/>
    </w:rPr>
  </w:style>
  <w:style w:type="paragraph" w:styleId="Title">
    <w:name w:val="Title"/>
    <w:basedOn w:val="HeadingBase"/>
    <w:link w:val="TitleChar"/>
    <w:qFormat/>
    <w:rsid w:val="0049487A"/>
    <w:pPr>
      <w:spacing w:before="5040"/>
      <w:jc w:val="center"/>
    </w:pPr>
    <w:rPr>
      <w:sz w:val="48"/>
      <w:szCs w:val="72"/>
      <w:lang w:val="en-US"/>
    </w:rPr>
  </w:style>
  <w:style w:type="character" w:customStyle="1" w:styleId="TitleChar">
    <w:name w:val="Title Char"/>
    <w:basedOn w:val="DefaultParagraphFont"/>
    <w:link w:val="Title"/>
    <w:rsid w:val="00494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87A"/>
    <w:pPr>
      <w:tabs>
        <w:tab w:val="left" w:pos="3600"/>
        <w:tab w:val="left" w:pos="3958"/>
      </w:tabs>
    </w:pPr>
  </w:style>
  <w:style w:type="paragraph" w:styleId="List">
    <w:name w:val="List"/>
    <w:basedOn w:val="BodyText"/>
    <w:next w:val="BodyText"/>
    <w:rsid w:val="0049487A"/>
    <w:pPr>
      <w:tabs>
        <w:tab w:val="left" w:pos="340"/>
      </w:tabs>
      <w:spacing w:before="60" w:after="60"/>
      <w:ind w:left="340" w:hanging="340"/>
    </w:pPr>
  </w:style>
  <w:style w:type="paragraph" w:customStyle="1" w:styleId="Note">
    <w:name w:val="Note"/>
    <w:basedOn w:val="BodyText"/>
    <w:rsid w:val="00494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87A"/>
    <w:pPr>
      <w:framePr w:wrap="auto" w:hAnchor="text" w:y="6049"/>
    </w:pPr>
    <w:rPr>
      <w:color w:val="000000"/>
      <w:sz w:val="40"/>
    </w:rPr>
  </w:style>
  <w:style w:type="paragraph" w:customStyle="1" w:styleId="TOCTitle">
    <w:name w:val="TOCTitle"/>
    <w:basedOn w:val="Heading1"/>
    <w:rsid w:val="0049487A"/>
    <w:pPr>
      <w:spacing w:after="240"/>
      <w:jc w:val="center"/>
      <w:outlineLvl w:val="9"/>
    </w:pPr>
    <w:rPr>
      <w:caps/>
    </w:rPr>
  </w:style>
  <w:style w:type="paragraph" w:customStyle="1" w:styleId="Version">
    <w:name w:val="Version"/>
    <w:rsid w:val="00494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87A"/>
    <w:pPr>
      <w:keepNext w:val="0"/>
      <w:tabs>
        <w:tab w:val="right" w:pos="4176"/>
      </w:tabs>
      <w:ind w:left="198" w:hanging="198"/>
    </w:pPr>
    <w:rPr>
      <w:rFonts w:ascii="Garamond" w:hAnsi="Garamond"/>
    </w:rPr>
  </w:style>
  <w:style w:type="paragraph" w:styleId="IndexHeading">
    <w:name w:val="index heading"/>
    <w:basedOn w:val="Normal"/>
    <w:next w:val="Index1"/>
    <w:semiHidden/>
    <w:rsid w:val="0049487A"/>
    <w:pPr>
      <w:spacing w:before="120" w:after="120"/>
    </w:pPr>
    <w:rPr>
      <w:rFonts w:ascii="Arial" w:hAnsi="Arial"/>
      <w:b/>
      <w:color w:val="918585"/>
      <w:sz w:val="24"/>
    </w:rPr>
  </w:style>
  <w:style w:type="paragraph" w:styleId="Header">
    <w:name w:val="header"/>
    <w:basedOn w:val="Normal"/>
    <w:link w:val="HeaderChar"/>
    <w:rsid w:val="00494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87A"/>
    <w:rPr>
      <w:rFonts w:ascii="Times New Roman" w:eastAsia="Times New Roman" w:hAnsi="Times New Roman" w:cs="Times New Roman"/>
      <w:sz w:val="16"/>
      <w:szCs w:val="20"/>
      <w:lang w:val="en-GB" w:eastAsia="en-US"/>
    </w:rPr>
  </w:style>
  <w:style w:type="paragraph" w:customStyle="1" w:styleId="Chapter">
    <w:name w:val="Chapter"/>
    <w:basedOn w:val="Normal"/>
    <w:rsid w:val="0049487A"/>
    <w:pPr>
      <w:spacing w:before="240"/>
    </w:pPr>
    <w:rPr>
      <w:rFonts w:ascii="Times New Roman" w:hAnsi="Times New Roman"/>
      <w:smallCaps/>
      <w:spacing w:val="80"/>
      <w:sz w:val="28"/>
    </w:rPr>
  </w:style>
  <w:style w:type="paragraph" w:customStyle="1" w:styleId="InChapter">
    <w:name w:val="InChapter"/>
    <w:basedOn w:val="Heading3"/>
    <w:rsid w:val="0049487A"/>
    <w:pPr>
      <w:spacing w:after="240"/>
      <w:outlineLvl w:val="9"/>
    </w:pPr>
    <w:rPr>
      <w:noProof/>
    </w:rPr>
  </w:style>
  <w:style w:type="paragraph" w:styleId="Index2">
    <w:name w:val="index 2"/>
    <w:basedOn w:val="Normal"/>
    <w:next w:val="Normal"/>
    <w:semiHidden/>
    <w:rsid w:val="0049487A"/>
    <w:pPr>
      <w:tabs>
        <w:tab w:val="right" w:pos="4176"/>
      </w:tabs>
      <w:ind w:left="568" w:hanging="284"/>
    </w:pPr>
    <w:rPr>
      <w:rFonts w:ascii="Garamond" w:hAnsi="Garamond"/>
    </w:rPr>
  </w:style>
  <w:style w:type="paragraph" w:customStyle="1" w:styleId="Byline">
    <w:name w:val="Byline"/>
    <w:rsid w:val="00494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87A"/>
    <w:pPr>
      <w:tabs>
        <w:tab w:val="clear" w:pos="3600"/>
        <w:tab w:val="clear" w:pos="3958"/>
      </w:tabs>
      <w:jc w:val="right"/>
    </w:pPr>
  </w:style>
  <w:style w:type="character" w:styleId="Emphasis">
    <w:name w:val="Emphasis"/>
    <w:basedOn w:val="DefaultParagraphFont"/>
    <w:qFormat/>
    <w:rsid w:val="0049487A"/>
    <w:rPr>
      <w:i/>
    </w:rPr>
  </w:style>
  <w:style w:type="paragraph" w:styleId="Caption">
    <w:name w:val="caption"/>
    <w:basedOn w:val="BodyText"/>
    <w:next w:val="Normal"/>
    <w:qFormat/>
    <w:rsid w:val="0049487A"/>
    <w:pPr>
      <w:framePr w:w="2268" w:hSpace="181" w:vSpace="181" w:wrap="around" w:vAnchor="text" w:hAnchor="page" w:x="1135" w:y="285" w:anchorLock="1"/>
    </w:pPr>
    <w:rPr>
      <w:i/>
    </w:rPr>
  </w:style>
  <w:style w:type="paragraph" w:customStyle="1" w:styleId="MiniTOCTitle">
    <w:name w:val="MiniTOCTitle"/>
    <w:basedOn w:val="Heading4"/>
    <w:rsid w:val="0049487A"/>
    <w:pPr>
      <w:spacing w:before="240"/>
      <w:outlineLvl w:val="9"/>
    </w:pPr>
    <w:rPr>
      <w:noProof/>
      <w:sz w:val="24"/>
    </w:rPr>
  </w:style>
  <w:style w:type="paragraph" w:customStyle="1" w:styleId="MiniTOCItem">
    <w:name w:val="MiniTOCItem"/>
    <w:basedOn w:val="ListBullet"/>
    <w:rsid w:val="0049487A"/>
    <w:pPr>
      <w:numPr>
        <w:numId w:val="0"/>
      </w:numPr>
      <w:tabs>
        <w:tab w:val="right" w:leader="dot" w:pos="6521"/>
      </w:tabs>
      <w:spacing w:before="0" w:after="0"/>
    </w:pPr>
  </w:style>
  <w:style w:type="paragraph" w:customStyle="1" w:styleId="TOFTitle">
    <w:name w:val="TOFTitle"/>
    <w:basedOn w:val="TOCTitle"/>
    <w:rsid w:val="0049487A"/>
  </w:style>
  <w:style w:type="paragraph" w:styleId="TableofFigures">
    <w:name w:val="table of figures"/>
    <w:basedOn w:val="Normal"/>
    <w:next w:val="Normal"/>
    <w:semiHidden/>
    <w:rsid w:val="0049487A"/>
    <w:pPr>
      <w:tabs>
        <w:tab w:val="right" w:leader="dot" w:pos="9072"/>
      </w:tabs>
      <w:ind w:left="970" w:hanging="403"/>
    </w:pPr>
    <w:rPr>
      <w:rFonts w:ascii="Times New Roman" w:hAnsi="Times New Roman"/>
      <w:b/>
    </w:rPr>
  </w:style>
  <w:style w:type="paragraph" w:styleId="ListNumber">
    <w:name w:val="List Number"/>
    <w:basedOn w:val="List"/>
    <w:rsid w:val="0049487A"/>
    <w:pPr>
      <w:numPr>
        <w:numId w:val="11"/>
      </w:numPr>
    </w:pPr>
  </w:style>
  <w:style w:type="character" w:customStyle="1" w:styleId="WingdingSymbols">
    <w:name w:val="Wingding Symbols"/>
    <w:rsid w:val="0049487A"/>
    <w:rPr>
      <w:rFonts w:ascii="Wingdings" w:hAnsi="Wingdings"/>
    </w:rPr>
  </w:style>
  <w:style w:type="paragraph" w:customStyle="1" w:styleId="TableHeading">
    <w:name w:val="Table Heading"/>
    <w:basedOn w:val="HeadingBase"/>
    <w:rsid w:val="0049487A"/>
    <w:pPr>
      <w:keepLines/>
      <w:pBdr>
        <w:bottom w:val="single" w:sz="6" w:space="1" w:color="918585"/>
      </w:pBdr>
      <w:spacing w:before="240"/>
    </w:pPr>
  </w:style>
  <w:style w:type="character" w:customStyle="1" w:styleId="HotSpot">
    <w:name w:val="HotSpot"/>
    <w:rsid w:val="0049487A"/>
    <w:rPr>
      <w:color w:val="0033CC"/>
      <w:u w:val="none"/>
    </w:rPr>
  </w:style>
  <w:style w:type="paragraph" w:customStyle="1" w:styleId="BodyTextRight">
    <w:name w:val="Body Text Right"/>
    <w:basedOn w:val="BodyText"/>
    <w:rsid w:val="0049487A"/>
    <w:pPr>
      <w:spacing w:before="0" w:after="0"/>
      <w:jc w:val="right"/>
    </w:pPr>
  </w:style>
  <w:style w:type="paragraph" w:styleId="Index3">
    <w:name w:val="index 3"/>
    <w:basedOn w:val="ListNumber2"/>
    <w:next w:val="Normal"/>
    <w:semiHidden/>
    <w:rsid w:val="0049487A"/>
    <w:pPr>
      <w:numPr>
        <w:numId w:val="0"/>
      </w:numPr>
      <w:tabs>
        <w:tab w:val="right" w:leader="dot" w:pos="4176"/>
      </w:tabs>
    </w:pPr>
  </w:style>
  <w:style w:type="paragraph" w:styleId="ListNumber2">
    <w:name w:val="List Number 2"/>
    <w:basedOn w:val="List2"/>
    <w:rsid w:val="0049487A"/>
    <w:pPr>
      <w:numPr>
        <w:numId w:val="10"/>
      </w:numPr>
      <w:tabs>
        <w:tab w:val="clear" w:pos="1060"/>
      </w:tabs>
    </w:pPr>
  </w:style>
  <w:style w:type="paragraph" w:customStyle="1" w:styleId="MarginNote">
    <w:name w:val="Margin Note"/>
    <w:basedOn w:val="BodyText"/>
    <w:rsid w:val="00494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87A"/>
    <w:rPr>
      <w:sz w:val="32"/>
    </w:rPr>
  </w:style>
  <w:style w:type="paragraph" w:customStyle="1" w:styleId="HeadingProcedure">
    <w:name w:val="Heading Procedure"/>
    <w:basedOn w:val="HeadingBase"/>
    <w:next w:val="Normal"/>
    <w:rsid w:val="0049487A"/>
    <w:pPr>
      <w:tabs>
        <w:tab w:val="left" w:pos="0"/>
      </w:tabs>
      <w:spacing w:before="120" w:after="60"/>
    </w:pPr>
    <w:rPr>
      <w:i/>
      <w:color w:val="918585"/>
      <w:sz w:val="22"/>
    </w:rPr>
  </w:style>
  <w:style w:type="paragraph" w:customStyle="1" w:styleId="TableBodyText">
    <w:name w:val="Table Body Text"/>
    <w:basedOn w:val="BodyText"/>
    <w:rsid w:val="0049487A"/>
    <w:pPr>
      <w:spacing w:before="60" w:after="60"/>
    </w:pPr>
  </w:style>
  <w:style w:type="paragraph" w:styleId="ListContinue">
    <w:name w:val="List Continue"/>
    <w:basedOn w:val="List"/>
    <w:rsid w:val="0049487A"/>
    <w:pPr>
      <w:ind w:firstLine="0"/>
    </w:pPr>
  </w:style>
  <w:style w:type="paragraph" w:customStyle="1" w:styleId="ListNote">
    <w:name w:val="List Note"/>
    <w:basedOn w:val="List"/>
    <w:rsid w:val="0049487A"/>
    <w:pPr>
      <w:pBdr>
        <w:top w:val="single" w:sz="6" w:space="2" w:color="918585"/>
        <w:bottom w:val="single" w:sz="6" w:space="2" w:color="918585"/>
      </w:pBdr>
      <w:tabs>
        <w:tab w:val="left" w:pos="1021"/>
      </w:tabs>
      <w:ind w:firstLine="0"/>
    </w:pPr>
  </w:style>
  <w:style w:type="paragraph" w:customStyle="1" w:styleId="Warning">
    <w:name w:val="Warning"/>
    <w:basedOn w:val="BodyText"/>
    <w:rsid w:val="0049487A"/>
    <w:pPr>
      <w:shd w:val="clear" w:color="auto" w:fill="D9D9D9"/>
      <w:tabs>
        <w:tab w:val="left" w:pos="992"/>
      </w:tabs>
      <w:ind w:left="119" w:right="119"/>
    </w:pPr>
    <w:rPr>
      <w:sz w:val="20"/>
    </w:rPr>
  </w:style>
  <w:style w:type="paragraph" w:customStyle="1" w:styleId="MarginIcons">
    <w:name w:val="Margin Icons"/>
    <w:basedOn w:val="BodyText"/>
    <w:rsid w:val="00494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87A"/>
    <w:rPr>
      <w:rFonts w:ascii="Courier New" w:hAnsi="Courier New"/>
    </w:rPr>
  </w:style>
  <w:style w:type="paragraph" w:customStyle="1" w:styleId="NoteBullet">
    <w:name w:val="Note Bullet"/>
    <w:basedOn w:val="Note"/>
    <w:rsid w:val="0049487A"/>
    <w:pPr>
      <w:tabs>
        <w:tab w:val="clear" w:pos="680"/>
      </w:tabs>
      <w:spacing w:before="60" w:after="60"/>
    </w:pPr>
  </w:style>
  <w:style w:type="paragraph" w:customStyle="1" w:styleId="SubHeading2">
    <w:name w:val="SubHeading2"/>
    <w:basedOn w:val="HeadingBase"/>
    <w:rsid w:val="0049487A"/>
    <w:pPr>
      <w:spacing w:before="240" w:after="60"/>
    </w:pPr>
    <w:rPr>
      <w:sz w:val="20"/>
    </w:rPr>
  </w:style>
  <w:style w:type="paragraph" w:customStyle="1" w:styleId="SubHeading1">
    <w:name w:val="SubHeading1"/>
    <w:basedOn w:val="HeadingBase"/>
    <w:rsid w:val="0049487A"/>
    <w:pPr>
      <w:spacing w:before="240" w:after="60"/>
    </w:pPr>
    <w:rPr>
      <w:color w:val="918585"/>
      <w:sz w:val="22"/>
    </w:rPr>
  </w:style>
  <w:style w:type="paragraph" w:customStyle="1" w:styleId="SideHeading">
    <w:name w:val="Side Heading"/>
    <w:basedOn w:val="HeadingBase"/>
    <w:rsid w:val="00494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87A"/>
    <w:pPr>
      <w:numPr>
        <w:numId w:val="12"/>
      </w:numPr>
    </w:pPr>
  </w:style>
  <w:style w:type="paragraph" w:styleId="PlainText">
    <w:name w:val="Plain Text"/>
    <w:basedOn w:val="Normal"/>
    <w:link w:val="PlainTextChar"/>
    <w:rsid w:val="0049487A"/>
    <w:rPr>
      <w:sz w:val="20"/>
    </w:rPr>
  </w:style>
  <w:style w:type="character" w:customStyle="1" w:styleId="PlainTextChar">
    <w:name w:val="Plain Text Char"/>
    <w:basedOn w:val="DefaultParagraphFont"/>
    <w:link w:val="PlainText"/>
    <w:rsid w:val="0049487A"/>
    <w:rPr>
      <w:rFonts w:ascii="Courier New" w:eastAsia="Times New Roman" w:hAnsi="Courier New" w:cs="Times New Roman"/>
      <w:sz w:val="20"/>
      <w:szCs w:val="20"/>
      <w:lang w:eastAsia="en-US"/>
    </w:rPr>
  </w:style>
  <w:style w:type="character" w:customStyle="1" w:styleId="MenuOption">
    <w:name w:val="Menu Option"/>
    <w:basedOn w:val="DefaultParagraphFont"/>
    <w:rsid w:val="0049487A"/>
    <w:rPr>
      <w:b/>
      <w:smallCaps/>
    </w:rPr>
  </w:style>
  <w:style w:type="paragraph" w:customStyle="1" w:styleId="TableListNumber">
    <w:name w:val="Table List Number"/>
    <w:basedOn w:val="ListNumber"/>
    <w:rsid w:val="0049487A"/>
    <w:pPr>
      <w:numPr>
        <w:numId w:val="0"/>
      </w:numPr>
    </w:pPr>
  </w:style>
  <w:style w:type="paragraph" w:styleId="TOC4">
    <w:name w:val="toc 4"/>
    <w:basedOn w:val="TOCBase"/>
    <w:next w:val="Normal"/>
    <w:semiHidden/>
    <w:rsid w:val="0049487A"/>
    <w:pPr>
      <w:tabs>
        <w:tab w:val="right" w:leader="dot" w:pos="9071"/>
      </w:tabs>
      <w:ind w:left="1701"/>
    </w:pPr>
  </w:style>
  <w:style w:type="paragraph" w:customStyle="1" w:styleId="ListAlpha">
    <w:name w:val="List Alpha"/>
    <w:basedOn w:val="List"/>
    <w:rsid w:val="0049487A"/>
    <w:pPr>
      <w:numPr>
        <w:numId w:val="9"/>
      </w:numPr>
    </w:pPr>
  </w:style>
  <w:style w:type="paragraph" w:customStyle="1" w:styleId="ListAlpha2">
    <w:name w:val="List Alpha 2"/>
    <w:basedOn w:val="List2"/>
    <w:rsid w:val="0049487A"/>
    <w:pPr>
      <w:numPr>
        <w:numId w:val="8"/>
      </w:numPr>
    </w:pPr>
  </w:style>
  <w:style w:type="paragraph" w:styleId="List2">
    <w:name w:val="List 2"/>
    <w:basedOn w:val="BodyText"/>
    <w:rsid w:val="0049487A"/>
    <w:pPr>
      <w:tabs>
        <w:tab w:val="left" w:pos="680"/>
      </w:tabs>
      <w:spacing w:before="60" w:after="60"/>
      <w:ind w:left="680" w:hanging="340"/>
    </w:pPr>
  </w:style>
  <w:style w:type="paragraph" w:styleId="List3">
    <w:name w:val="List 3"/>
    <w:basedOn w:val="BodyText"/>
    <w:rsid w:val="0049487A"/>
    <w:pPr>
      <w:tabs>
        <w:tab w:val="left" w:pos="1021"/>
      </w:tabs>
      <w:spacing w:before="60" w:after="60"/>
      <w:ind w:left="1020" w:hanging="340"/>
    </w:pPr>
  </w:style>
  <w:style w:type="paragraph" w:styleId="List4">
    <w:name w:val="List 4"/>
    <w:basedOn w:val="BodyText"/>
    <w:rsid w:val="0049487A"/>
    <w:pPr>
      <w:tabs>
        <w:tab w:val="left" w:pos="1361"/>
      </w:tabs>
      <w:spacing w:before="60" w:after="60"/>
      <w:ind w:left="1361" w:hanging="340"/>
    </w:pPr>
  </w:style>
  <w:style w:type="paragraph" w:styleId="List5">
    <w:name w:val="List 5"/>
    <w:basedOn w:val="BodyText"/>
    <w:rsid w:val="0049487A"/>
    <w:pPr>
      <w:tabs>
        <w:tab w:val="left" w:pos="1701"/>
      </w:tabs>
      <w:spacing w:before="60" w:after="60"/>
      <w:ind w:left="1701" w:hanging="340"/>
    </w:pPr>
  </w:style>
  <w:style w:type="paragraph" w:styleId="ListBullet3">
    <w:name w:val="List Bullet 3"/>
    <w:basedOn w:val="List3"/>
    <w:rsid w:val="0049487A"/>
    <w:pPr>
      <w:numPr>
        <w:numId w:val="15"/>
      </w:numPr>
      <w:tabs>
        <w:tab w:val="clear" w:pos="1021"/>
      </w:tabs>
      <w:ind w:left="1037" w:hanging="357"/>
    </w:pPr>
  </w:style>
  <w:style w:type="paragraph" w:styleId="ListBullet4">
    <w:name w:val="List Bullet 4"/>
    <w:basedOn w:val="List4"/>
    <w:rsid w:val="0049487A"/>
    <w:pPr>
      <w:numPr>
        <w:numId w:val="3"/>
      </w:numPr>
    </w:pPr>
  </w:style>
  <w:style w:type="paragraph" w:styleId="ListBullet5">
    <w:name w:val="List Bullet 5"/>
    <w:basedOn w:val="List5"/>
    <w:rsid w:val="0049487A"/>
    <w:pPr>
      <w:numPr>
        <w:numId w:val="4"/>
      </w:numPr>
    </w:pPr>
  </w:style>
  <w:style w:type="paragraph" w:styleId="ListContinue2">
    <w:name w:val="List Continue 2"/>
    <w:basedOn w:val="List2"/>
    <w:rsid w:val="0049487A"/>
    <w:pPr>
      <w:ind w:firstLine="0"/>
    </w:pPr>
  </w:style>
  <w:style w:type="paragraph" w:styleId="ListContinue3">
    <w:name w:val="List Continue 3"/>
    <w:basedOn w:val="List3"/>
    <w:rsid w:val="0049487A"/>
    <w:pPr>
      <w:ind w:left="1021" w:firstLine="0"/>
    </w:pPr>
  </w:style>
  <w:style w:type="paragraph" w:styleId="ListContinue4">
    <w:name w:val="List Continue 4"/>
    <w:basedOn w:val="List4"/>
    <w:rsid w:val="0049487A"/>
    <w:pPr>
      <w:ind w:firstLine="0"/>
    </w:pPr>
  </w:style>
  <w:style w:type="paragraph" w:styleId="ListContinue5">
    <w:name w:val="List Continue 5"/>
    <w:basedOn w:val="List5"/>
    <w:rsid w:val="0049487A"/>
    <w:pPr>
      <w:ind w:firstLine="0"/>
    </w:pPr>
  </w:style>
  <w:style w:type="paragraph" w:styleId="ListNumber3">
    <w:name w:val="List Number 3"/>
    <w:basedOn w:val="List3"/>
    <w:rsid w:val="0049487A"/>
    <w:pPr>
      <w:numPr>
        <w:numId w:val="5"/>
      </w:numPr>
    </w:pPr>
  </w:style>
  <w:style w:type="paragraph" w:styleId="ListNumber4">
    <w:name w:val="List Number 4"/>
    <w:basedOn w:val="List4"/>
    <w:rsid w:val="0049487A"/>
    <w:pPr>
      <w:numPr>
        <w:numId w:val="6"/>
      </w:numPr>
    </w:pPr>
  </w:style>
  <w:style w:type="paragraph" w:styleId="ListNumber5">
    <w:name w:val="List Number 5"/>
    <w:basedOn w:val="List5"/>
    <w:rsid w:val="0049487A"/>
    <w:pPr>
      <w:numPr>
        <w:numId w:val="7"/>
      </w:numPr>
    </w:pPr>
  </w:style>
  <w:style w:type="paragraph" w:styleId="BlockText">
    <w:name w:val="Block Text"/>
    <w:basedOn w:val="Normal"/>
    <w:rsid w:val="0049487A"/>
    <w:pPr>
      <w:spacing w:after="120"/>
      <w:ind w:left="1440" w:right="1440"/>
    </w:pPr>
  </w:style>
  <w:style w:type="character" w:customStyle="1" w:styleId="Subscript">
    <w:name w:val="Subscript"/>
    <w:basedOn w:val="DefaultParagraphFont"/>
    <w:rsid w:val="0049487A"/>
    <w:rPr>
      <w:sz w:val="16"/>
      <w:vertAlign w:val="subscript"/>
    </w:rPr>
  </w:style>
  <w:style w:type="character" w:customStyle="1" w:styleId="Superscript">
    <w:name w:val="Superscript"/>
    <w:basedOn w:val="DefaultParagraphFont"/>
    <w:rsid w:val="0049487A"/>
    <w:rPr>
      <w:sz w:val="16"/>
      <w:vertAlign w:val="superscript"/>
    </w:rPr>
  </w:style>
  <w:style w:type="character" w:customStyle="1" w:styleId="Symbols">
    <w:name w:val="Symbols"/>
    <w:basedOn w:val="DefaultParagraphFont"/>
    <w:rsid w:val="0049487A"/>
    <w:rPr>
      <w:rFonts w:ascii="Symbol" w:hAnsi="Symbol"/>
    </w:rPr>
  </w:style>
  <w:style w:type="character" w:customStyle="1" w:styleId="MenuOptions">
    <w:name w:val="Menu Options"/>
    <w:basedOn w:val="DefaultParagraphFont"/>
    <w:rsid w:val="0049487A"/>
    <w:rPr>
      <w:rFonts w:ascii="Arial Narrow" w:hAnsi="Arial Narrow"/>
      <w:smallCaps/>
    </w:rPr>
  </w:style>
  <w:style w:type="character" w:customStyle="1" w:styleId="Buttons">
    <w:name w:val="Buttons"/>
    <w:basedOn w:val="DefaultParagraphFont"/>
    <w:rsid w:val="0049487A"/>
    <w:rPr>
      <w:b/>
    </w:rPr>
  </w:style>
  <w:style w:type="character" w:customStyle="1" w:styleId="Underlined">
    <w:name w:val="Underlined"/>
    <w:basedOn w:val="DefaultParagraphFont"/>
    <w:rsid w:val="0049487A"/>
    <w:rPr>
      <w:u w:val="single"/>
    </w:rPr>
  </w:style>
  <w:style w:type="paragraph" w:customStyle="1" w:styleId="TableBodyTextRight">
    <w:name w:val="Table Body Text Right"/>
    <w:basedOn w:val="TableBodyText"/>
    <w:rsid w:val="0049487A"/>
    <w:pPr>
      <w:widowControl w:val="0"/>
      <w:autoSpaceDE w:val="0"/>
      <w:autoSpaceDN w:val="0"/>
      <w:adjustRightInd w:val="0"/>
      <w:jc w:val="right"/>
    </w:pPr>
    <w:rPr>
      <w:rFonts w:cs="Arial"/>
      <w:szCs w:val="18"/>
    </w:rPr>
  </w:style>
  <w:style w:type="paragraph" w:customStyle="1" w:styleId="CopyrightText">
    <w:name w:val="Copyright Text"/>
    <w:basedOn w:val="BodyText"/>
    <w:rsid w:val="0049487A"/>
    <w:rPr>
      <w:sz w:val="18"/>
    </w:rPr>
  </w:style>
  <w:style w:type="paragraph" w:customStyle="1" w:styleId="BodySmallRight">
    <w:name w:val="Body Small Right"/>
    <w:basedOn w:val="BodyTextRight"/>
    <w:rsid w:val="0049487A"/>
    <w:rPr>
      <w:sz w:val="18"/>
      <w:szCs w:val="18"/>
    </w:rPr>
  </w:style>
  <w:style w:type="paragraph" w:customStyle="1" w:styleId="MarginEdition">
    <w:name w:val="Margin Edition"/>
    <w:basedOn w:val="MarginNote"/>
    <w:rsid w:val="0049487A"/>
    <w:pPr>
      <w:spacing w:before="0" w:after="0"/>
    </w:pPr>
    <w:rPr>
      <w:rFonts w:ascii="Times New Roman" w:hAnsi="Times New Roman"/>
      <w:color w:val="999999"/>
    </w:rPr>
  </w:style>
  <w:style w:type="paragraph" w:customStyle="1" w:styleId="Spacer">
    <w:name w:val="Spacer"/>
    <w:basedOn w:val="Normal"/>
    <w:rsid w:val="0049487A"/>
    <w:rPr>
      <w:sz w:val="2"/>
      <w:szCs w:val="2"/>
    </w:rPr>
  </w:style>
  <w:style w:type="character" w:customStyle="1" w:styleId="Small">
    <w:name w:val="Small"/>
    <w:basedOn w:val="DefaultParagraphFont"/>
    <w:rsid w:val="0049487A"/>
    <w:rPr>
      <w:sz w:val="16"/>
    </w:rPr>
  </w:style>
  <w:style w:type="paragraph" w:customStyle="1" w:styleId="WideTable">
    <w:name w:val="Wide Table"/>
    <w:basedOn w:val="Normal"/>
    <w:rsid w:val="0049487A"/>
    <w:pPr>
      <w:ind w:left="-1418"/>
    </w:pPr>
    <w:rPr>
      <w:sz w:val="2"/>
      <w:szCs w:val="2"/>
    </w:rPr>
  </w:style>
  <w:style w:type="character" w:styleId="PageNumber">
    <w:name w:val="page number"/>
    <w:basedOn w:val="DefaultParagraphFont"/>
    <w:rsid w:val="0049487A"/>
  </w:style>
  <w:style w:type="paragraph" w:styleId="Quote">
    <w:name w:val="Quote"/>
    <w:basedOn w:val="Heading1"/>
    <w:link w:val="QuoteChar"/>
    <w:qFormat/>
    <w:rsid w:val="0049487A"/>
    <w:rPr>
      <w:b w:val="0"/>
      <w:sz w:val="72"/>
      <w:szCs w:val="72"/>
      <w:lang w:val="en-NZ"/>
    </w:rPr>
  </w:style>
  <w:style w:type="character" w:customStyle="1" w:styleId="QuoteChar">
    <w:name w:val="Quote Char"/>
    <w:basedOn w:val="DefaultParagraphFont"/>
    <w:link w:val="Quote"/>
    <w:rsid w:val="00494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87A"/>
    <w:pPr>
      <w:pageBreakBefore/>
    </w:pPr>
  </w:style>
  <w:style w:type="paragraph" w:customStyle="1" w:styleId="Border">
    <w:name w:val="Border"/>
    <w:basedOn w:val="Normal"/>
    <w:qFormat/>
    <w:rsid w:val="00494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87A"/>
    <w:rPr>
      <w:b/>
      <w:bCs/>
      <w:i/>
      <w:iCs/>
      <w:color w:val="auto"/>
    </w:rPr>
  </w:style>
  <w:style w:type="paragraph" w:styleId="IntenseQuote">
    <w:name w:val="Intense Quote"/>
    <w:basedOn w:val="Normal"/>
    <w:next w:val="Normal"/>
    <w:link w:val="IntenseQuoteChar"/>
    <w:uiPriority w:val="30"/>
    <w:qFormat/>
    <w:rsid w:val="00494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87A"/>
    <w:rPr>
      <w:smallCaps/>
      <w:color w:val="auto"/>
      <w:u w:val="single"/>
    </w:rPr>
  </w:style>
  <w:style w:type="character" w:styleId="IntenseReference">
    <w:name w:val="Intense Reference"/>
    <w:basedOn w:val="DefaultParagraphFont"/>
    <w:uiPriority w:val="32"/>
    <w:qFormat/>
    <w:rsid w:val="0049487A"/>
    <w:rPr>
      <w:b/>
      <w:bCs/>
      <w:smallCaps/>
      <w:color w:val="auto"/>
      <w:spacing w:val="5"/>
      <w:u w:val="single"/>
    </w:rPr>
  </w:style>
  <w:style w:type="paragraph" w:customStyle="1" w:styleId="2ColumnHeading">
    <w:name w:val="2Column Heading"/>
    <w:basedOn w:val="BodyText"/>
    <w:qFormat/>
    <w:rsid w:val="0049487A"/>
    <w:pPr>
      <w:spacing w:after="60"/>
      <w:ind w:left="-2268"/>
    </w:pPr>
    <w:rPr>
      <w:b/>
    </w:rPr>
  </w:style>
  <w:style w:type="paragraph" w:customStyle="1" w:styleId="Heading1TOC">
    <w:name w:val="Heading1 TOC"/>
    <w:basedOn w:val="Normal"/>
    <w:qFormat/>
    <w:rsid w:val="0049487A"/>
    <w:pPr>
      <w:spacing w:before="240" w:after="120"/>
    </w:pPr>
    <w:rPr>
      <w:rFonts w:ascii="Times New Roman" w:hAnsi="Times New Roman"/>
      <w:b/>
      <w:sz w:val="32"/>
    </w:rPr>
  </w:style>
  <w:style w:type="paragraph" w:customStyle="1" w:styleId="Heading2TOC">
    <w:name w:val="Heading2 TOC"/>
    <w:basedOn w:val="Normal"/>
    <w:qFormat/>
    <w:rsid w:val="0049487A"/>
    <w:pPr>
      <w:spacing w:before="240" w:after="60"/>
    </w:pPr>
    <w:rPr>
      <w:rFonts w:ascii="Times New Roman" w:hAnsi="Times New Roman"/>
      <w:b/>
      <w:sz w:val="28"/>
    </w:rPr>
  </w:style>
  <w:style w:type="character" w:customStyle="1" w:styleId="Underline">
    <w:name w:val="Underline"/>
    <w:basedOn w:val="DefaultParagraphFont"/>
    <w:qFormat/>
    <w:rsid w:val="0049487A"/>
    <w:rPr>
      <w:u w:val="single"/>
    </w:rPr>
  </w:style>
  <w:style w:type="character" w:customStyle="1" w:styleId="BoldandItalics">
    <w:name w:val="Bold and Italics"/>
    <w:qFormat/>
    <w:rsid w:val="0049487A"/>
    <w:rPr>
      <w:b/>
      <w:i/>
      <w:u w:val="none"/>
    </w:rPr>
  </w:style>
  <w:style w:type="paragraph" w:styleId="BalloonText">
    <w:name w:val="Balloon Text"/>
    <w:basedOn w:val="Normal"/>
    <w:link w:val="BalloonTextChar"/>
    <w:rsid w:val="0049487A"/>
    <w:rPr>
      <w:rFonts w:ascii="Tahoma" w:hAnsi="Tahoma" w:cs="Tahoma"/>
      <w:sz w:val="16"/>
      <w:szCs w:val="16"/>
    </w:rPr>
  </w:style>
  <w:style w:type="character" w:customStyle="1" w:styleId="BalloonTextChar">
    <w:name w:val="Balloon Text Char"/>
    <w:basedOn w:val="DefaultParagraphFont"/>
    <w:link w:val="BalloonText"/>
    <w:rsid w:val="00494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8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87A"/>
    <w:rPr>
      <w:b/>
      <w:color w:val="660033"/>
      <w:spacing w:val="0"/>
    </w:rPr>
  </w:style>
  <w:style w:type="paragraph" w:customStyle="1" w:styleId="Nameditemlist">
    <w:name w:val="Named item list"/>
    <w:basedOn w:val="BodyText"/>
    <w:qFormat/>
    <w:rsid w:val="004948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2010</Words>
  <Characters>12810</Characters>
  <Application>Microsoft Office Word</Application>
  <DocSecurity>0</DocSecurity>
  <Lines>512</Lines>
  <Paragraphs>284</Paragraphs>
  <ScaleCrop>false</ScaleCrop>
  <Company>Author-it Software Corporation Ltd.</Company>
  <LinksUpToDate>false</LinksUpToDate>
  <CharactersWithSpaces>14536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UEENEEI136A Manage automated control systems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2013-03-07T18:11:00Z</dcterms:created>
  <dcterms:modified xsi:type="dcterms:W3CDTF">2013-03-07T18:11:00Z</dcterms:modified>
</cp:coreProperties>
</file>