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5E28" w:rsidP="00ED5E28">
      <w:pPr>
        <w:pStyle w:val="Title"/>
      </w:pPr>
      <w:bookmarkStart w:id="0" w:name="_GoBack"/>
      <w:bookmarkEnd w:id="0"/>
      <w:r>
        <w:fldChar w:fldCharType="begin"/>
      </w:r>
      <w:r>
        <w:instrText xml:space="preserve"> TITLE   \* MERGEFORMAT </w:instrText>
      </w:r>
      <w:r>
        <w:fldChar w:fldCharType="separate"/>
      </w:r>
      <w:r>
        <w:t>UEENEEI133A Set up scientific analysis measuring and control instruments</w:t>
      </w:r>
      <w:r>
        <w:fldChar w:fldCharType="end"/>
      </w:r>
    </w:p>
    <w:p w:rsidR="00ED5E28" w:rsidP="00ED5E28">
      <w:pPr>
        <w:pStyle w:val="Version"/>
        <w:sectPr w:rsidSect="003A343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A3439" w:rsidP="003A3439">
      <w:pPr>
        <w:pStyle w:val="SuperHeading"/>
      </w:pPr>
      <w:r w:rsidRPr="003A3439">
        <w:t>UEENEEI133A Set up scientific analysis measuring and control instruments</w:t>
      </w:r>
    </w:p>
    <w:p w:rsidR="00000000" w:rsidRPr="003A3439" w:rsidP="003A3439">
      <w:pPr>
        <w:pStyle w:val="Heading1"/>
      </w:pPr>
      <w:bookmarkStart w:id="1" w:name="O_533983"/>
      <w:bookmarkEnd w:id="1"/>
      <w:r w:rsidRPr="003A3439">
        <w:t>Modification History</w:t>
      </w:r>
    </w:p>
    <w:tbl>
      <w:tblPr>
        <w:tblW w:w="9639" w:type="dxa"/>
        <w:tblLayout w:type="fixed"/>
        <w:tblCellMar>
          <w:left w:w="62" w:type="dxa"/>
          <w:right w:w="62" w:type="dxa"/>
        </w:tblCellMar>
        <w:tblLook w:val="0000"/>
      </w:tblPr>
      <w:tblGrid>
        <w:gridCol w:w="819"/>
        <w:gridCol w:w="818"/>
        <w:gridCol w:w="1482"/>
        <w:gridCol w:w="5429"/>
        <w:gridCol w:w="1091"/>
      </w:tblGrid>
      <w:tr w:rsidTr="00ED5E28">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3439">
            <w:pPr>
              <w:pStyle w:val="BodyText"/>
              <w:rPr>
                <w:lang w:val="en-NZ"/>
              </w:rPr>
            </w:pPr>
            <w:r w:rsidRPr="003A3439">
              <w:t xml:space="preserve">Release </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3439">
            <w:pPr>
              <w:pStyle w:val="BodyText"/>
              <w:rPr>
                <w:lang w:val="en-NZ"/>
              </w:rPr>
            </w:pPr>
            <w:r w:rsidRPr="003A3439">
              <w:t>Action</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3439">
            <w:pPr>
              <w:pStyle w:val="BodyText"/>
              <w:rPr>
                <w:lang w:val="en-NZ"/>
              </w:rPr>
            </w:pPr>
            <w:r w:rsidRPr="003A3439">
              <w:t>Core/Elective</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3439">
            <w:pPr>
              <w:pStyle w:val="BodyText"/>
              <w:rPr>
                <w:lang w:val="en-NZ"/>
              </w:rPr>
            </w:pPr>
            <w:r w:rsidRPr="003A3439">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3439">
            <w:pPr>
              <w:pStyle w:val="BodyText"/>
              <w:rPr>
                <w:lang w:val="en-NZ"/>
              </w:rPr>
            </w:pPr>
            <w:r w:rsidRPr="003A3439">
              <w:t>Points</w:t>
            </w:r>
          </w:p>
        </w:tc>
      </w:tr>
      <w:tr w:rsidTr="00ED5E28">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3439">
            <w:pPr>
              <w:pStyle w:val="BodyText"/>
              <w:rPr>
                <w:lang w:val="en-NZ"/>
              </w:rPr>
            </w:pPr>
            <w:r w:rsidRPr="003A3439">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3439">
            <w:pPr>
              <w:pStyle w:val="BodyText"/>
              <w:rPr>
                <w:lang w:val="en-NZ"/>
              </w:rPr>
            </w:pPr>
            <w:r w:rsidRPr="003A3439">
              <w:t>Edit</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3439">
            <w:pPr>
              <w:pStyle w:val="BodyText"/>
              <w:rPr>
                <w:lang w:val="en-NZ"/>
              </w:rPr>
            </w:pPr>
            <w:r w:rsidRPr="003A3439">
              <w:t>N/A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3439">
            <w:pPr>
              <w:pStyle w:val="BodyText"/>
              <w:rPr>
                <w:lang w:val="en-NZ"/>
              </w:rPr>
            </w:pPr>
            <w:r w:rsidRPr="003A3439">
              <w:t>Show full pre-req chain in the unit</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3439">
            <w:pPr>
              <w:pStyle w:val="BodyText"/>
              <w:rPr>
                <w:lang w:val="en-NZ"/>
              </w:rPr>
            </w:pPr>
          </w:p>
        </w:tc>
      </w:tr>
      <w:tr w:rsidTr="00ED5E28">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3439">
            <w:pPr>
              <w:pStyle w:val="BodyText"/>
              <w:rPr>
                <w:lang w:val="en-NZ"/>
              </w:rPr>
            </w:pPr>
            <w:r w:rsidRPr="003A3439">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3439">
            <w:pPr>
              <w:pStyle w:val="BodyText"/>
              <w:rPr>
                <w:lang w:val="en-NZ"/>
              </w:rPr>
            </w:pPr>
            <w:r w:rsidRPr="003A3439">
              <w:t>Edit</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3439">
            <w:pPr>
              <w:pStyle w:val="BodyText"/>
              <w:rPr>
                <w:lang w:val="en-NZ"/>
              </w:rPr>
            </w:pPr>
            <w:r w:rsidRPr="003A3439">
              <w:t>N/A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3439">
            <w:pPr>
              <w:pStyle w:val="BodyText"/>
              <w:rPr>
                <w:lang w:val="en-NZ"/>
              </w:rPr>
            </w:pPr>
            <w:r w:rsidRPr="003A3439">
              <w:t>Replaced "essential knowledge and associated skills" with "required skills and knowledge"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3439">
            <w:pPr>
              <w:pStyle w:val="BodyText"/>
              <w:rPr>
                <w:lang w:val="en-NZ"/>
              </w:rPr>
            </w:pPr>
          </w:p>
        </w:tc>
      </w:tr>
      <w:tr w:rsidTr="00ED5E28">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3439">
            <w:pPr>
              <w:pStyle w:val="BodyText"/>
              <w:rPr>
                <w:lang w:val="en-NZ"/>
              </w:rPr>
            </w:pPr>
            <w:r w:rsidRPr="003A3439">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3439">
            <w:pPr>
              <w:pStyle w:val="BodyText"/>
              <w:rPr>
                <w:lang w:val="en-NZ"/>
              </w:rPr>
            </w:pPr>
            <w:r w:rsidRPr="003A3439">
              <w:t>Edit</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3439">
            <w:pPr>
              <w:pStyle w:val="BodyText"/>
              <w:rPr>
                <w:lang w:val="en-NZ"/>
              </w:rPr>
            </w:pPr>
            <w:r w:rsidRPr="003A3439">
              <w:t>N/A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3439">
            <w:pPr>
              <w:pStyle w:val="BodyText"/>
              <w:rPr>
                <w:lang w:val="en-NZ"/>
              </w:rPr>
            </w:pPr>
            <w:r w:rsidRPr="003A3439">
              <w:t xml:space="preserve">Inserted topic numbering in Required Skills and Knowledge </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3439" w:rsidP="003A3439">
            <w:pPr>
              <w:pStyle w:val="BodyText"/>
            </w:pPr>
          </w:p>
        </w:tc>
      </w:tr>
    </w:tbl>
    <w:p w:rsidR="00000000" w:rsidRPr="003A3439" w:rsidP="003A3439">
      <w:pPr>
        <w:pStyle w:val="BodyText"/>
      </w:pPr>
    </w:p>
    <w:p w:rsidR="00000000" w:rsidRPr="003A3439" w:rsidP="003A3439">
      <w:pPr>
        <w:pStyle w:val="AllowPageBreak"/>
      </w:pPr>
    </w:p>
    <w:p w:rsidR="00000000" w:rsidRPr="003A3439" w:rsidP="003A3439">
      <w:pPr>
        <w:pStyle w:val="Heading1"/>
      </w:pPr>
      <w:bookmarkStart w:id="2" w:name="O_533982"/>
      <w:bookmarkEnd w:id="2"/>
      <w:r w:rsidRPr="003A3439">
        <w:t>Unit Descriptor</w:t>
      </w:r>
    </w:p>
    <w:tbl>
      <w:tblPr>
        <w:tblW w:w="0" w:type="auto"/>
        <w:tblLayout w:type="fixed"/>
        <w:tblCellMar>
          <w:left w:w="62" w:type="dxa"/>
          <w:right w:w="62" w:type="dxa"/>
        </w:tblCellMar>
        <w:tblLook w:val="0000"/>
      </w:tblPr>
      <w:tblGrid>
        <w:gridCol w:w="2700"/>
        <w:gridCol w:w="5760"/>
      </w:tblGrid>
      <w:tr w:rsidTr="00ED5E2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A3439" w:rsidP="003A3439">
            <w:pPr>
              <w:pStyle w:val="BodyText"/>
            </w:pPr>
            <w:r w:rsidRPr="003A3439">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3A3439">
            <w:pPr>
              <w:pStyle w:val="BodyText"/>
              <w:rPr>
                <w:lang w:val="en-NZ"/>
              </w:rPr>
            </w:pPr>
            <w:r w:rsidRPr="003A3439">
              <w:rPr>
                <w:rStyle w:val="SpecialBold"/>
              </w:rPr>
              <w:t>1)</w:t>
            </w:r>
            <w:r w:rsidRPr="003A3439">
              <w:t xml:space="preserve"> </w:t>
            </w:r>
            <w:r w:rsidRPr="003A3439">
              <w:rPr>
                <w:rStyle w:val="SpecialBold"/>
              </w:rPr>
              <w:t>Scope:</w:t>
            </w:r>
          </w:p>
        </w:tc>
      </w:tr>
      <w:tr w:rsidTr="00ED5E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3A3439">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3A3439">
            <w:pPr>
              <w:pStyle w:val="BodyText"/>
              <w:rPr>
                <w:lang w:val="en-NZ"/>
              </w:rPr>
            </w:pPr>
            <w:r w:rsidRPr="003A3439">
              <w:rPr>
                <w:rStyle w:val="SpecialBold"/>
              </w:rPr>
              <w:t>1.1) Descriptor</w:t>
            </w:r>
          </w:p>
        </w:tc>
      </w:tr>
      <w:tr w:rsidTr="00ED5E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A3439" w:rsidP="003A3439">
            <w:pPr>
              <w:pStyle w:val="BodyText"/>
            </w:pPr>
            <w:r w:rsidRPr="003A3439">
              <w:t xml:space="preserve">This unit </w:t>
            </w:r>
            <w:r w:rsidRPr="003A3439">
              <w:t>covers the calibration of instruments for measuring materials characteristics as it applies to the control of processes. It encompasses working safely and to standards, following set-up and calibration procedures, testing and reporting.</w:t>
            </w:r>
          </w:p>
        </w:tc>
      </w:tr>
    </w:tbl>
    <w:p w:rsidR="00000000" w:rsidRPr="003A3439" w:rsidP="003A3439">
      <w:pPr>
        <w:pStyle w:val="BodyText"/>
      </w:pPr>
    </w:p>
    <w:p w:rsidR="00000000" w:rsidRPr="003A3439" w:rsidP="003A3439">
      <w:pPr>
        <w:pStyle w:val="AllowPageBreak"/>
      </w:pPr>
    </w:p>
    <w:p w:rsidR="00000000" w:rsidRPr="003A3439" w:rsidP="003A3439">
      <w:pPr>
        <w:pStyle w:val="Heading1"/>
      </w:pPr>
      <w:bookmarkStart w:id="3" w:name="O_533981"/>
      <w:bookmarkEnd w:id="3"/>
      <w:r w:rsidRPr="003A3439">
        <w:t>Application of the Unit</w:t>
      </w:r>
    </w:p>
    <w:tbl>
      <w:tblPr>
        <w:tblW w:w="0" w:type="auto"/>
        <w:tblLayout w:type="fixed"/>
        <w:tblCellMar>
          <w:left w:w="62" w:type="dxa"/>
          <w:right w:w="62" w:type="dxa"/>
        </w:tblCellMar>
        <w:tblLook w:val="0000"/>
      </w:tblPr>
      <w:tblGrid>
        <w:gridCol w:w="2672"/>
        <w:gridCol w:w="5699"/>
      </w:tblGrid>
      <w:tr w:rsidTr="00ED5E28">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3A3439" w:rsidP="003A3439">
            <w:pPr>
              <w:pStyle w:val="BodyText"/>
            </w:pPr>
            <w:r w:rsidRPr="003A3439">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3A3439">
            <w:pPr>
              <w:pStyle w:val="BodyText"/>
              <w:rPr>
                <w:lang w:val="en-NZ"/>
              </w:rPr>
            </w:pPr>
            <w:r w:rsidRPr="003A3439">
              <w:rPr>
                <w:rStyle w:val="SpecialBold"/>
              </w:rPr>
              <w:t>2)</w:t>
            </w:r>
          </w:p>
        </w:tc>
      </w:tr>
      <w:tr w:rsidTr="00ED5E28">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3A3439" w:rsidP="003A3439">
            <w:pPr>
              <w:pStyle w:val="BodyText"/>
            </w:pPr>
            <w:r w:rsidRPr="003A3439">
              <w:t>This unit is intended for competency development entry-level employment-based programs incorporated in approved contracts of training. It may be used to augment previously acquired competencies.</w:t>
            </w:r>
          </w:p>
        </w:tc>
      </w:tr>
    </w:tbl>
    <w:p w:rsidR="00000000" w:rsidRPr="003A3439" w:rsidP="003A3439">
      <w:pPr>
        <w:pStyle w:val="BodyText"/>
      </w:pPr>
    </w:p>
    <w:p w:rsidR="00000000" w:rsidRPr="003A3439" w:rsidP="003A3439">
      <w:pPr>
        <w:pStyle w:val="AllowPageBreak"/>
      </w:pPr>
    </w:p>
    <w:p w:rsidR="00000000" w:rsidRPr="003A3439" w:rsidP="003A3439">
      <w:pPr>
        <w:pStyle w:val="Heading1"/>
      </w:pPr>
      <w:bookmarkStart w:id="4" w:name="O_533980"/>
      <w:bookmarkEnd w:id="4"/>
      <w:r w:rsidRPr="003A3439">
        <w:t>Licensing/Regulatory Information</w:t>
      </w:r>
    </w:p>
    <w:tbl>
      <w:tblPr>
        <w:tblW w:w="0" w:type="auto"/>
        <w:tblLayout w:type="fixed"/>
        <w:tblCellMar>
          <w:left w:w="62" w:type="dxa"/>
          <w:right w:w="62" w:type="dxa"/>
        </w:tblCellMar>
        <w:tblLook w:val="0000"/>
      </w:tblPr>
      <w:tblGrid>
        <w:gridCol w:w="2700"/>
        <w:gridCol w:w="5760"/>
      </w:tblGrid>
      <w:tr w:rsidTr="00ED5E2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A3439" w:rsidP="003A3439">
            <w:pPr>
              <w:pStyle w:val="BodyText"/>
            </w:pPr>
            <w:r w:rsidRPr="003A3439">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3A3439">
            <w:pPr>
              <w:pStyle w:val="BodyText"/>
              <w:rPr>
                <w:lang w:val="en-NZ"/>
              </w:rPr>
            </w:pPr>
            <w:r w:rsidRPr="003A3439">
              <w:rPr>
                <w:rStyle w:val="SpecialBold"/>
              </w:rPr>
              <w:t xml:space="preserve">3) </w:t>
            </w:r>
          </w:p>
        </w:tc>
      </w:tr>
      <w:tr w:rsidTr="00ED5E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A3439" w:rsidP="003A3439">
            <w:pPr>
              <w:pStyle w:val="BodyText"/>
            </w:pPr>
            <w:r w:rsidRPr="003A3439">
              <w:t xml:space="preserve">The skills and knowledge described in this unit do not require a license to practice in the workplace. However, practice in this unit is subject </w:t>
            </w:r>
            <w:r w:rsidRPr="003A3439">
              <w:t>to regulations directly related to occupational health and safety and where applicable contracts of training such as apprenticeships.</w:t>
            </w:r>
          </w:p>
          <w:p w:rsidR="00000000" w:rsidRPr="003A3439" w:rsidP="003A3439">
            <w:pPr>
              <w:pStyle w:val="BodyText"/>
            </w:pPr>
            <w:r w:rsidRPr="003A3439">
              <w:t xml:space="preserve">Note: </w:t>
            </w:r>
          </w:p>
          <w:p w:rsidR="00000000" w:rsidRPr="003A3439" w:rsidP="003A3439">
            <w:pPr>
              <w:pStyle w:val="BodyText"/>
            </w:pPr>
            <w:r w:rsidRPr="003A3439">
              <w:t>1. Compliance with permits may be required in various jurisdictions and typically relates to the operation of plant</w:t>
            </w:r>
            <w:r w:rsidRPr="003A3439">
              <w:t>, machinery and equipment such as elevating work platforms, powder operated fixing tools, power operated tools, vehicles, road signage and traffic control and lifting equipment. Permits may also be required for some work environments such as confined space</w:t>
            </w:r>
            <w:r w:rsidRPr="003A3439">
              <w:t>s, working aloft, near live electrical apparatus and site rehabilitation.</w:t>
            </w:r>
          </w:p>
          <w:p w:rsidR="00000000" w:rsidRPr="003A3439" w:rsidP="003A3439">
            <w:pPr>
              <w:pStyle w:val="BodyText"/>
            </w:pPr>
            <w:r w:rsidRPr="003A3439">
              <w:t>2. Compliance may be required in various jurisdictions relating to currency in First Aid, confined space and lifting and risk safety measures.</w:t>
            </w:r>
          </w:p>
        </w:tc>
      </w:tr>
    </w:tbl>
    <w:p w:rsidR="00000000" w:rsidRPr="003A3439" w:rsidP="003A3439">
      <w:pPr>
        <w:pStyle w:val="BodyText"/>
      </w:pPr>
    </w:p>
    <w:p w:rsidR="00000000" w:rsidRPr="003A3439" w:rsidP="003A3439">
      <w:pPr>
        <w:pStyle w:val="AllowPageBreak"/>
      </w:pPr>
    </w:p>
    <w:p w:rsidR="00000000" w:rsidRPr="003A3439" w:rsidP="003A3439">
      <w:pPr>
        <w:pStyle w:val="Heading1"/>
      </w:pPr>
      <w:bookmarkStart w:id="5" w:name="O_533979"/>
      <w:bookmarkEnd w:id="5"/>
      <w:r w:rsidRPr="003A3439">
        <w:t>Pre-Requisites</w:t>
      </w:r>
    </w:p>
    <w:tbl>
      <w:tblPr>
        <w:tblW w:w="0" w:type="auto"/>
        <w:tblLayout w:type="fixed"/>
        <w:tblCellMar>
          <w:left w:w="62" w:type="dxa"/>
          <w:right w:w="62" w:type="dxa"/>
        </w:tblCellMar>
        <w:tblLook w:val="0000"/>
      </w:tblPr>
      <w:tblGrid>
        <w:gridCol w:w="2638"/>
        <w:gridCol w:w="1800"/>
        <w:gridCol w:w="3960"/>
      </w:tblGrid>
      <w:tr w:rsidTr="003A3439">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3A3439" w:rsidP="003A3439">
            <w:pPr>
              <w:pStyle w:val="BodyText"/>
            </w:pPr>
            <w:r w:rsidRPr="003A3439">
              <w:rPr>
                <w:rStyle w:val="SpecialBold"/>
              </w:rPr>
              <w:t>Prere</w:t>
            </w:r>
            <w:r w:rsidRPr="003A3439">
              <w:rPr>
                <w:rStyle w:val="SpecialBold"/>
              </w:rPr>
              <w:t>quisite Unit(s)</w:t>
            </w:r>
          </w:p>
        </w:tc>
        <w:tc>
          <w:tcPr>
            <w:tcW w:w="5760" w:type="dxa"/>
            <w:gridSpan w:val="2"/>
            <w:tcBorders>
              <w:top w:val="nil"/>
              <w:left w:val="nil"/>
              <w:bottom w:val="nil"/>
              <w:right w:val="nil"/>
            </w:tcBorders>
            <w:tcMar>
              <w:top w:w="0" w:type="dxa"/>
              <w:left w:w="62" w:type="dxa"/>
              <w:bottom w:w="0" w:type="dxa"/>
              <w:right w:w="62" w:type="dxa"/>
            </w:tcMar>
          </w:tcPr>
          <w:p w:rsidR="00000000" w:rsidP="003A3439">
            <w:pPr>
              <w:pStyle w:val="BodyText"/>
              <w:rPr>
                <w:lang w:val="en-NZ"/>
              </w:rPr>
            </w:pPr>
            <w:r w:rsidRPr="003A3439">
              <w:rPr>
                <w:rStyle w:val="SpecialBold"/>
              </w:rPr>
              <w:t xml:space="preserve">4) </w:t>
            </w:r>
          </w:p>
        </w:tc>
      </w:tr>
      <w:tr w:rsidTr="003A3439">
        <w:tblPrEx>
          <w:tblW w:w="0" w:type="auto"/>
          <w:tblLayout w:type="fixed"/>
          <w:tblCellMar>
            <w:left w:w="62" w:type="dxa"/>
            <w:right w:w="62" w:type="dxa"/>
          </w:tblCellMar>
          <w:tblLook w:val="0000"/>
        </w:tblPrEx>
        <w:trPr>
          <w:trHeight w:val="361"/>
        </w:trPr>
        <w:tc>
          <w:tcPr>
            <w:tcW w:w="2638" w:type="dxa"/>
            <w:tcBorders>
              <w:top w:val="nil"/>
              <w:left w:val="nil"/>
              <w:bottom w:val="nil"/>
              <w:right w:val="nil"/>
            </w:tcBorders>
            <w:tcMar>
              <w:top w:w="0" w:type="dxa"/>
              <w:left w:w="62" w:type="dxa"/>
              <w:bottom w:w="0" w:type="dxa"/>
              <w:right w:w="62" w:type="dxa"/>
            </w:tcMar>
          </w:tcPr>
          <w:p w:rsidR="00000000" w:rsidRPr="003A3439" w:rsidP="003A3439">
            <w:pPr>
              <w:pStyle w:val="BodyText"/>
            </w:pPr>
            <w:r w:rsidRPr="003A3439">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3A3439">
            <w:pPr>
              <w:pStyle w:val="BodyText"/>
              <w:rPr>
                <w:lang w:val="en-NZ"/>
              </w:rPr>
            </w:pPr>
            <w:r w:rsidRPr="003A3439">
              <w:rPr>
                <w:rStyle w:val="SpecialBold"/>
              </w:rPr>
              <w:t>4.1)</w:t>
            </w:r>
          </w:p>
        </w:tc>
      </w:tr>
      <w:tr w:rsidTr="003A3439">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3A3439">
            <w:pPr>
              <w:pStyle w:val="BodyText"/>
              <w:rPr>
                <w:lang w:val="en-NZ"/>
              </w:rPr>
            </w:pPr>
            <w:r w:rsidRPr="003A3439">
              <w:t>Granting of competency in this unit shall be made only after competency in the following unit(s) has/have been confirmed.</w:t>
            </w:r>
          </w:p>
        </w:tc>
      </w:tr>
      <w:tr w:rsidTr="003A3439">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3A3439">
            <w:pPr>
              <w:pStyle w:val="BodyText"/>
              <w:rPr>
                <w:lang w:val="en-NZ"/>
              </w:rPr>
            </w:pPr>
            <w:r w:rsidRPr="003A3439">
              <w:t>Unit Code</w:t>
            </w:r>
          </w:p>
        </w:tc>
        <w:tc>
          <w:tcPr>
            <w:tcW w:w="3960" w:type="dxa"/>
            <w:tcBorders>
              <w:top w:val="nil"/>
              <w:left w:val="nil"/>
              <w:bottom w:val="nil"/>
              <w:right w:val="nil"/>
            </w:tcBorders>
            <w:tcMar>
              <w:top w:w="0" w:type="dxa"/>
              <w:left w:w="62" w:type="dxa"/>
              <w:bottom w:w="0" w:type="dxa"/>
              <w:right w:w="62" w:type="dxa"/>
            </w:tcMar>
          </w:tcPr>
          <w:p w:rsidR="00000000" w:rsidP="003A3439">
            <w:pPr>
              <w:pStyle w:val="BodyText"/>
              <w:rPr>
                <w:lang w:val="en-NZ"/>
              </w:rPr>
            </w:pPr>
            <w:r w:rsidRPr="003A3439">
              <w:t>Unit Title</w:t>
            </w:r>
          </w:p>
        </w:tc>
      </w:tr>
      <w:tr w:rsidTr="003A3439">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3A3439">
            <w:pPr>
              <w:pStyle w:val="BodyText"/>
              <w:rPr>
                <w:lang w:val="en-NZ"/>
              </w:rPr>
            </w:pPr>
            <w:r w:rsidRPr="003A3439">
              <w:t>UEENEEE101A</w:t>
            </w:r>
          </w:p>
        </w:tc>
        <w:tc>
          <w:tcPr>
            <w:tcW w:w="3960" w:type="dxa"/>
            <w:tcBorders>
              <w:top w:val="nil"/>
              <w:left w:val="nil"/>
              <w:bottom w:val="nil"/>
              <w:right w:val="nil"/>
            </w:tcBorders>
            <w:tcMar>
              <w:top w:w="0" w:type="dxa"/>
              <w:left w:w="62" w:type="dxa"/>
              <w:bottom w:w="0" w:type="dxa"/>
              <w:right w:w="62" w:type="dxa"/>
            </w:tcMar>
            <w:vAlign w:val="bottom"/>
          </w:tcPr>
          <w:p w:rsidR="00000000" w:rsidP="003A3439">
            <w:pPr>
              <w:pStyle w:val="BodyText"/>
              <w:rPr>
                <w:lang w:val="en-NZ"/>
              </w:rPr>
            </w:pPr>
            <w:r w:rsidRPr="003A3439">
              <w:t>Apply Occupational Health and Safety regulations, codes and practices in the workplace</w:t>
            </w:r>
          </w:p>
        </w:tc>
      </w:tr>
      <w:tr w:rsidTr="003A3439">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3A3439">
            <w:pPr>
              <w:pStyle w:val="BodyText"/>
              <w:rPr>
                <w:lang w:val="en-NZ"/>
              </w:rPr>
            </w:pPr>
            <w:r w:rsidRPr="003A3439">
              <w:t>UEENEEE104A</w:t>
            </w:r>
          </w:p>
        </w:tc>
        <w:tc>
          <w:tcPr>
            <w:tcW w:w="3960" w:type="dxa"/>
            <w:tcBorders>
              <w:top w:val="nil"/>
              <w:left w:val="nil"/>
              <w:bottom w:val="nil"/>
              <w:right w:val="nil"/>
            </w:tcBorders>
            <w:tcMar>
              <w:top w:w="0" w:type="dxa"/>
              <w:left w:w="62" w:type="dxa"/>
              <w:bottom w:w="0" w:type="dxa"/>
              <w:right w:w="62" w:type="dxa"/>
            </w:tcMar>
          </w:tcPr>
          <w:p w:rsidR="00000000" w:rsidP="003A3439">
            <w:pPr>
              <w:pStyle w:val="BodyText"/>
              <w:rPr>
                <w:lang w:val="en-NZ"/>
              </w:rPr>
            </w:pPr>
            <w:r w:rsidRPr="003A3439">
              <w:t>Solve problems in d.c. circuits</w:t>
            </w:r>
          </w:p>
        </w:tc>
      </w:tr>
      <w:tr w:rsidTr="003A3439">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bottom"/>
          </w:tcPr>
          <w:p w:rsidR="00000000" w:rsidP="003A3439">
            <w:pPr>
              <w:pStyle w:val="BodyText"/>
              <w:rPr>
                <w:lang w:val="en-NZ"/>
              </w:rPr>
            </w:pPr>
            <w:r w:rsidRPr="003A3439">
              <w:t>UEENEEE107A</w:t>
            </w:r>
          </w:p>
        </w:tc>
        <w:tc>
          <w:tcPr>
            <w:tcW w:w="3960" w:type="dxa"/>
            <w:tcBorders>
              <w:top w:val="nil"/>
              <w:left w:val="nil"/>
              <w:bottom w:val="nil"/>
              <w:right w:val="nil"/>
            </w:tcBorders>
            <w:tcMar>
              <w:top w:w="0" w:type="dxa"/>
              <w:left w:w="62" w:type="dxa"/>
              <w:bottom w:w="0" w:type="dxa"/>
              <w:right w:w="62" w:type="dxa"/>
            </w:tcMar>
            <w:vAlign w:val="bottom"/>
          </w:tcPr>
          <w:p w:rsidR="00000000" w:rsidP="003A3439">
            <w:pPr>
              <w:pStyle w:val="BodyText"/>
              <w:rPr>
                <w:lang w:val="en-NZ"/>
              </w:rPr>
            </w:pPr>
            <w:r w:rsidRPr="003A3439">
              <w:t>Use drawings, diagrams, schedules, standards, codes and specifications</w:t>
            </w:r>
          </w:p>
        </w:tc>
      </w:tr>
      <w:tr w:rsidTr="003A3439">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3A3439">
            <w:pPr>
              <w:pStyle w:val="BodyText"/>
              <w:rPr>
                <w:lang w:val="en-NZ"/>
              </w:rPr>
            </w:pPr>
            <w:r w:rsidRPr="003A3439">
              <w:t>UEENEEI101A</w:t>
            </w:r>
          </w:p>
        </w:tc>
        <w:tc>
          <w:tcPr>
            <w:tcW w:w="3960" w:type="dxa"/>
            <w:tcBorders>
              <w:top w:val="nil"/>
              <w:left w:val="nil"/>
              <w:bottom w:val="nil"/>
              <w:right w:val="nil"/>
            </w:tcBorders>
            <w:tcMar>
              <w:top w:w="0" w:type="dxa"/>
              <w:left w:w="62" w:type="dxa"/>
              <w:bottom w:w="0" w:type="dxa"/>
              <w:right w:w="62" w:type="dxa"/>
            </w:tcMar>
          </w:tcPr>
          <w:p w:rsidR="00000000" w:rsidRPr="003A3439" w:rsidP="003A3439">
            <w:pPr>
              <w:pStyle w:val="BodyText"/>
            </w:pPr>
            <w:r w:rsidRPr="003A3439">
              <w:t xml:space="preserve">Use instrumentation drawings, specification, standards and equipment </w:t>
            </w:r>
            <w:r w:rsidRPr="003A3439">
              <w:t>manuals</w:t>
            </w:r>
          </w:p>
        </w:tc>
      </w:tr>
    </w:tbl>
    <w:p w:rsidR="00000000" w:rsidRPr="003A3439" w:rsidP="003A3439">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ED5E28">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3A3439" w:rsidP="003A3439">
            <w:pPr>
              <w:pStyle w:val="BodyText"/>
            </w:pPr>
            <w:r w:rsidRPr="003A3439">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3A3439">
            <w:pPr>
              <w:pStyle w:val="BodyText"/>
              <w:rPr>
                <w:lang w:val="en-NZ"/>
              </w:rPr>
            </w:pPr>
            <w:r w:rsidRPr="003A3439">
              <w:rPr>
                <w:rStyle w:val="SpecialBold"/>
              </w:rPr>
              <w:t xml:space="preserve">4.2) </w:t>
            </w:r>
          </w:p>
        </w:tc>
      </w:tr>
      <w:tr w:rsidTr="00ED5E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3A3439">
            <w:pPr>
              <w:pStyle w:val="BodyText"/>
              <w:rPr>
                <w:lang w:val="en-NZ"/>
              </w:rPr>
            </w:pPr>
            <w:r w:rsidRPr="003A3439">
              <w:t>Participants are best equipped to achieve competency in this unit if they have reading, writing and numeracy skills indicated by the following scales. Description of each scale is given in Volume 2, Part 3 ‘Literacy and Numeracy’</w:t>
            </w:r>
          </w:p>
        </w:tc>
      </w:tr>
      <w:tr w:rsidTr="00ED5E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3A3439">
            <w:pPr>
              <w:pStyle w:val="BodyText"/>
              <w:rPr>
                <w:lang w:val="en-NZ"/>
              </w:rPr>
            </w:pPr>
            <w:r w:rsidRPr="003A3439">
              <w:t>Reading</w:t>
            </w:r>
          </w:p>
        </w:tc>
        <w:tc>
          <w:tcPr>
            <w:tcW w:w="810" w:type="dxa"/>
            <w:tcBorders>
              <w:top w:val="nil"/>
              <w:left w:val="nil"/>
              <w:bottom w:val="nil"/>
              <w:right w:val="nil"/>
            </w:tcBorders>
            <w:tcMar>
              <w:top w:w="0" w:type="dxa"/>
              <w:left w:w="62" w:type="dxa"/>
              <w:bottom w:w="0" w:type="dxa"/>
              <w:right w:w="62" w:type="dxa"/>
            </w:tcMar>
          </w:tcPr>
          <w:p w:rsidR="00000000" w:rsidP="003A3439">
            <w:pPr>
              <w:pStyle w:val="BodyText"/>
              <w:rPr>
                <w:lang w:val="en-NZ"/>
              </w:rPr>
            </w:pPr>
            <w:r w:rsidRPr="003A3439">
              <w:t>3</w:t>
            </w:r>
          </w:p>
        </w:tc>
        <w:tc>
          <w:tcPr>
            <w:tcW w:w="990" w:type="dxa"/>
            <w:tcBorders>
              <w:top w:val="nil"/>
              <w:left w:val="nil"/>
              <w:bottom w:val="nil"/>
              <w:right w:val="nil"/>
            </w:tcBorders>
            <w:tcMar>
              <w:top w:w="0" w:type="dxa"/>
              <w:left w:w="62" w:type="dxa"/>
              <w:bottom w:w="0" w:type="dxa"/>
              <w:right w:w="62" w:type="dxa"/>
            </w:tcMar>
          </w:tcPr>
          <w:p w:rsidR="00000000" w:rsidP="003A3439">
            <w:pPr>
              <w:pStyle w:val="BodyText"/>
              <w:rPr>
                <w:lang w:val="en-NZ"/>
              </w:rPr>
            </w:pPr>
            <w:r w:rsidRPr="003A3439">
              <w:t>Writing</w:t>
            </w:r>
          </w:p>
        </w:tc>
        <w:tc>
          <w:tcPr>
            <w:tcW w:w="900" w:type="dxa"/>
            <w:tcBorders>
              <w:top w:val="nil"/>
              <w:left w:val="nil"/>
              <w:bottom w:val="nil"/>
              <w:right w:val="nil"/>
            </w:tcBorders>
            <w:tcMar>
              <w:top w:w="0" w:type="dxa"/>
              <w:left w:w="62" w:type="dxa"/>
              <w:bottom w:w="0" w:type="dxa"/>
              <w:right w:w="62" w:type="dxa"/>
            </w:tcMar>
          </w:tcPr>
          <w:p w:rsidR="00000000" w:rsidP="003A3439">
            <w:pPr>
              <w:pStyle w:val="BodyText"/>
              <w:rPr>
                <w:lang w:val="en-NZ"/>
              </w:rPr>
            </w:pPr>
            <w:r w:rsidRPr="003A3439">
              <w:t>3</w:t>
            </w:r>
          </w:p>
        </w:tc>
        <w:tc>
          <w:tcPr>
            <w:tcW w:w="1260" w:type="dxa"/>
            <w:tcBorders>
              <w:top w:val="nil"/>
              <w:left w:val="nil"/>
              <w:bottom w:val="nil"/>
              <w:right w:val="nil"/>
            </w:tcBorders>
            <w:tcMar>
              <w:top w:w="0" w:type="dxa"/>
              <w:left w:w="62" w:type="dxa"/>
              <w:bottom w:w="0" w:type="dxa"/>
              <w:right w:w="62" w:type="dxa"/>
            </w:tcMar>
          </w:tcPr>
          <w:p w:rsidR="00000000" w:rsidP="003A3439">
            <w:pPr>
              <w:pStyle w:val="BodyText"/>
              <w:rPr>
                <w:lang w:val="en-NZ"/>
              </w:rPr>
            </w:pPr>
            <w:r w:rsidRPr="003A3439">
              <w:t>Numeracy</w:t>
            </w:r>
          </w:p>
        </w:tc>
        <w:tc>
          <w:tcPr>
            <w:tcW w:w="720" w:type="dxa"/>
            <w:tcBorders>
              <w:top w:val="nil"/>
              <w:left w:val="nil"/>
              <w:bottom w:val="nil"/>
              <w:right w:val="nil"/>
            </w:tcBorders>
            <w:tcMar>
              <w:top w:w="0" w:type="dxa"/>
              <w:left w:w="62" w:type="dxa"/>
              <w:bottom w:w="0" w:type="dxa"/>
              <w:right w:w="62" w:type="dxa"/>
            </w:tcMar>
          </w:tcPr>
          <w:p w:rsidR="00000000" w:rsidRPr="003A3439" w:rsidP="003A3439">
            <w:pPr>
              <w:pStyle w:val="BodyText"/>
            </w:pPr>
            <w:r w:rsidRPr="003A3439">
              <w:t>3</w:t>
            </w:r>
          </w:p>
        </w:tc>
      </w:tr>
    </w:tbl>
    <w:p w:rsidR="00000000" w:rsidRPr="003A3439" w:rsidP="003A3439">
      <w:pPr>
        <w:pStyle w:val="BodyText"/>
      </w:pPr>
    </w:p>
    <w:p w:rsidR="00000000" w:rsidRPr="003A3439" w:rsidP="003A3439">
      <w:pPr>
        <w:pStyle w:val="AllowPageBreak"/>
      </w:pPr>
    </w:p>
    <w:p w:rsidR="00000000" w:rsidRPr="003A3439" w:rsidP="003A3439">
      <w:pPr>
        <w:pStyle w:val="Heading1"/>
      </w:pPr>
      <w:bookmarkStart w:id="6" w:name="O_533978"/>
      <w:bookmarkEnd w:id="6"/>
      <w:r w:rsidRPr="003A3439">
        <w:t>Employability Skills Information</w:t>
      </w:r>
    </w:p>
    <w:tbl>
      <w:tblPr>
        <w:tblW w:w="0" w:type="auto"/>
        <w:tblLayout w:type="fixed"/>
        <w:tblCellMar>
          <w:left w:w="62" w:type="dxa"/>
          <w:right w:w="62" w:type="dxa"/>
        </w:tblCellMar>
        <w:tblLook w:val="0000"/>
      </w:tblPr>
      <w:tblGrid>
        <w:gridCol w:w="2700"/>
        <w:gridCol w:w="5760"/>
      </w:tblGrid>
      <w:tr w:rsidTr="00ED5E2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A3439" w:rsidP="003A3439">
            <w:pPr>
              <w:pStyle w:val="BodyText"/>
            </w:pPr>
            <w:r w:rsidRPr="003A3439">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3A3439">
            <w:pPr>
              <w:pStyle w:val="BodyText"/>
              <w:rPr>
                <w:lang w:val="en-NZ"/>
              </w:rPr>
            </w:pPr>
            <w:r w:rsidRPr="003A3439">
              <w:rPr>
                <w:rStyle w:val="SpecialBold"/>
              </w:rPr>
              <w:t xml:space="preserve">5) </w:t>
            </w:r>
          </w:p>
        </w:tc>
      </w:tr>
      <w:tr w:rsidTr="00ED5E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A3439" w:rsidP="003A3439">
            <w:pPr>
              <w:pStyle w:val="BodyText"/>
            </w:pPr>
            <w:r w:rsidRPr="003A3439">
              <w:t xml:space="preserve">The required outcomes described in this unit of competency contain applicable facets of Employability Skills. The Employability Skills Summary </w:t>
            </w:r>
            <w:r w:rsidRPr="003A3439">
              <w:t>of the qualification in which this unit of competency is packaged will assist in identifying Employability Skill requirements.</w:t>
            </w:r>
          </w:p>
        </w:tc>
      </w:tr>
    </w:tbl>
    <w:p w:rsidR="00000000" w:rsidRPr="003A3439" w:rsidP="003A3439">
      <w:pPr>
        <w:pStyle w:val="BodyText"/>
      </w:pPr>
    </w:p>
    <w:p w:rsidR="00000000" w:rsidRPr="003A3439" w:rsidP="003A3439">
      <w:pPr>
        <w:pStyle w:val="AllowPageBreak"/>
      </w:pPr>
    </w:p>
    <w:p w:rsidR="00000000" w:rsidRPr="003A3439" w:rsidP="003A3439">
      <w:pPr>
        <w:pStyle w:val="Heading1"/>
      </w:pPr>
      <w:bookmarkStart w:id="7" w:name="O_533977"/>
      <w:bookmarkEnd w:id="7"/>
      <w:r w:rsidRPr="003A3439">
        <w:t>Elements and Performance Criteria Pre-Content</w:t>
      </w:r>
    </w:p>
    <w:tbl>
      <w:tblPr>
        <w:tblW w:w="0" w:type="auto"/>
        <w:tblLayout w:type="fixed"/>
        <w:tblCellMar>
          <w:left w:w="62" w:type="dxa"/>
          <w:right w:w="62" w:type="dxa"/>
        </w:tblCellMar>
        <w:tblLook w:val="0000"/>
      </w:tblPr>
      <w:tblGrid>
        <w:gridCol w:w="2700"/>
        <w:gridCol w:w="5760"/>
      </w:tblGrid>
      <w:tr w:rsidTr="00ED5E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A3439">
            <w:pPr>
              <w:pStyle w:val="BodyText"/>
              <w:rPr>
                <w:lang w:val="en-NZ"/>
              </w:rPr>
            </w:pPr>
            <w:r w:rsidRPr="003A3439">
              <w:rPr>
                <w:rStyle w:val="SpecialBold"/>
              </w:rPr>
              <w:t>6)</w:t>
            </w:r>
            <w:r w:rsidRPr="003A3439">
              <w:t xml:space="preserve"> Elements describe the </w:t>
            </w:r>
            <w:r w:rsidRPr="003A3439">
              <w:t>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3A3439" w:rsidP="003A3439">
            <w:pPr>
              <w:pStyle w:val="BodyText"/>
            </w:pPr>
            <w:r w:rsidRPr="003A3439">
              <w:t>Performance Criteria describe the required performance needed to demonstrate achievement of the element. Assessment of performance is to be consistent with the Evidence Guide.</w:t>
            </w:r>
          </w:p>
        </w:tc>
      </w:tr>
    </w:tbl>
    <w:p w:rsidR="00000000" w:rsidRPr="003A3439" w:rsidP="003A3439">
      <w:pPr>
        <w:pStyle w:val="BodyText"/>
      </w:pPr>
    </w:p>
    <w:p w:rsidR="00000000" w:rsidRPr="003A3439" w:rsidP="003A3439">
      <w:pPr>
        <w:pStyle w:val="AllowPageBreak"/>
      </w:pPr>
    </w:p>
    <w:p w:rsidR="00000000" w:rsidRPr="003A3439" w:rsidP="003A3439">
      <w:pPr>
        <w:pStyle w:val="Heading1"/>
      </w:pPr>
      <w:bookmarkStart w:id="8" w:name="O_533976"/>
      <w:bookmarkEnd w:id="8"/>
      <w:r w:rsidRPr="003A3439">
        <w:t>Elements and</w:t>
      </w:r>
      <w:r w:rsidRPr="003A3439">
        <w:t xml:space="preserve"> Performance Criteria</w:t>
      </w:r>
    </w:p>
    <w:tbl>
      <w:tblPr>
        <w:tblW w:w="0" w:type="auto"/>
        <w:tblLayout w:type="fixed"/>
        <w:tblCellMar>
          <w:left w:w="62" w:type="dxa"/>
          <w:right w:w="62" w:type="dxa"/>
        </w:tblCellMar>
        <w:tblLook w:val="0000"/>
      </w:tblPr>
      <w:tblGrid>
        <w:gridCol w:w="404"/>
        <w:gridCol w:w="2296"/>
        <w:gridCol w:w="900"/>
        <w:gridCol w:w="4860"/>
      </w:tblGrid>
      <w:tr w:rsidTr="00ED5E28">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3A3439" w:rsidP="003A3439">
            <w:pPr>
              <w:pStyle w:val="BodyText"/>
            </w:pPr>
            <w:r w:rsidRPr="003A3439">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3A3439">
            <w:pPr>
              <w:pStyle w:val="BodyText"/>
              <w:rPr>
                <w:lang w:val="en-NZ"/>
              </w:rPr>
            </w:pPr>
            <w:r w:rsidRPr="003A3439">
              <w:rPr>
                <w:rStyle w:val="SpecialBold"/>
              </w:rPr>
              <w:t>PERFORMANCE CRITERIA</w:t>
            </w:r>
          </w:p>
        </w:tc>
      </w:tr>
      <w:tr w:rsidTr="00ED5E2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A3439">
            <w:pPr>
              <w:pStyle w:val="BodyText"/>
              <w:rPr>
                <w:lang w:val="en-NZ"/>
              </w:rPr>
            </w:pPr>
            <w:r w:rsidRPr="003A3439">
              <w:t>1</w:t>
            </w:r>
          </w:p>
        </w:tc>
        <w:tc>
          <w:tcPr>
            <w:tcW w:w="2296" w:type="dxa"/>
            <w:vMerge w:val="restart"/>
            <w:tcBorders>
              <w:top w:val="nil"/>
              <w:left w:val="nil"/>
              <w:bottom w:val="nil"/>
              <w:right w:val="nil"/>
            </w:tcBorders>
            <w:tcMar>
              <w:top w:w="0" w:type="dxa"/>
              <w:left w:w="62" w:type="dxa"/>
              <w:bottom w:w="0" w:type="dxa"/>
              <w:right w:w="62" w:type="dxa"/>
            </w:tcMar>
          </w:tcPr>
          <w:p w:rsidR="00000000" w:rsidP="003A3439">
            <w:pPr>
              <w:pStyle w:val="BodyText"/>
              <w:rPr>
                <w:lang w:val="en-NZ"/>
              </w:rPr>
            </w:pPr>
            <w:r w:rsidRPr="003A3439">
              <w:t>Prepare to set-up scientific analysis measuring instruments</w:t>
            </w:r>
          </w:p>
        </w:tc>
        <w:tc>
          <w:tcPr>
            <w:tcW w:w="900" w:type="dxa"/>
            <w:tcBorders>
              <w:top w:val="nil"/>
              <w:left w:val="nil"/>
              <w:bottom w:val="nil"/>
              <w:right w:val="nil"/>
            </w:tcBorders>
            <w:tcMar>
              <w:top w:w="0" w:type="dxa"/>
              <w:left w:w="62" w:type="dxa"/>
              <w:bottom w:w="0" w:type="dxa"/>
              <w:right w:w="62" w:type="dxa"/>
            </w:tcMar>
          </w:tcPr>
          <w:p w:rsidR="00000000" w:rsidP="003A3439">
            <w:pPr>
              <w:pStyle w:val="BodyText"/>
              <w:rPr>
                <w:lang w:val="en-NZ"/>
              </w:rPr>
            </w:pPr>
            <w:r w:rsidRPr="003A3439">
              <w:t>1.1</w:t>
            </w:r>
          </w:p>
        </w:tc>
        <w:tc>
          <w:tcPr>
            <w:tcW w:w="4860" w:type="dxa"/>
            <w:tcBorders>
              <w:top w:val="nil"/>
              <w:left w:val="nil"/>
              <w:bottom w:val="nil"/>
              <w:right w:val="nil"/>
            </w:tcBorders>
            <w:tcMar>
              <w:top w:w="0" w:type="dxa"/>
              <w:left w:w="62" w:type="dxa"/>
              <w:bottom w:w="0" w:type="dxa"/>
              <w:right w:w="62" w:type="dxa"/>
            </w:tcMar>
          </w:tcPr>
          <w:p w:rsidR="00000000" w:rsidP="003A3439">
            <w:pPr>
              <w:pStyle w:val="BodyText"/>
              <w:rPr>
                <w:lang w:val="en-NZ"/>
              </w:rPr>
            </w:pPr>
            <w:r w:rsidRPr="003A3439">
              <w:t>OHS procedures for a given work area are identified, obtained and understood</w:t>
            </w:r>
          </w:p>
        </w:tc>
      </w:tr>
      <w:tr w:rsidTr="00ED5E2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A3439">
            <w:pPr>
              <w:pStyle w:val="BodyText"/>
              <w:rPr>
                <w:lang w:val="en-NZ"/>
              </w:rPr>
            </w:pPr>
            <w:r w:rsidRPr="003A3439">
              <w:t>1.2</w:t>
            </w:r>
          </w:p>
        </w:tc>
        <w:tc>
          <w:tcPr>
            <w:tcW w:w="4860" w:type="dxa"/>
            <w:tcBorders>
              <w:top w:val="nil"/>
              <w:left w:val="nil"/>
              <w:bottom w:val="nil"/>
              <w:right w:val="nil"/>
            </w:tcBorders>
            <w:tcMar>
              <w:top w:w="0" w:type="dxa"/>
              <w:left w:w="62" w:type="dxa"/>
              <w:bottom w:w="0" w:type="dxa"/>
              <w:right w:w="62" w:type="dxa"/>
            </w:tcMar>
          </w:tcPr>
          <w:p w:rsidR="00000000" w:rsidP="003A3439">
            <w:pPr>
              <w:pStyle w:val="BodyText"/>
              <w:rPr>
                <w:lang w:val="en-NZ"/>
              </w:rPr>
            </w:pPr>
            <w:r w:rsidRPr="003A3439">
              <w:t>Established OHS risk control measures and procedures are followed in preparation for the work.</w:t>
            </w:r>
          </w:p>
        </w:tc>
      </w:tr>
      <w:tr w:rsidTr="00ED5E2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A3439">
            <w:pPr>
              <w:pStyle w:val="BodyText"/>
              <w:rPr>
                <w:lang w:val="en-NZ"/>
              </w:rPr>
            </w:pPr>
            <w:r w:rsidRPr="003A3439">
              <w:t>1.3</w:t>
            </w:r>
          </w:p>
        </w:tc>
        <w:tc>
          <w:tcPr>
            <w:tcW w:w="4860" w:type="dxa"/>
            <w:tcBorders>
              <w:top w:val="nil"/>
              <w:left w:val="nil"/>
              <w:bottom w:val="nil"/>
              <w:right w:val="nil"/>
            </w:tcBorders>
            <w:tcMar>
              <w:top w:w="0" w:type="dxa"/>
              <w:left w:w="62" w:type="dxa"/>
              <w:bottom w:w="0" w:type="dxa"/>
              <w:right w:w="62" w:type="dxa"/>
            </w:tcMar>
          </w:tcPr>
          <w:p w:rsidR="00000000" w:rsidP="003A3439">
            <w:pPr>
              <w:pStyle w:val="BodyText"/>
              <w:rPr>
                <w:lang w:val="en-NZ"/>
              </w:rPr>
            </w:pPr>
            <w:r w:rsidRPr="003A3439">
              <w:t>Safety hazards that have not previously been identified are noted, and established risk control measures are implemented.</w:t>
            </w:r>
          </w:p>
        </w:tc>
      </w:tr>
      <w:tr w:rsidTr="00ED5E2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A3439">
            <w:pPr>
              <w:pStyle w:val="BodyText"/>
              <w:rPr>
                <w:lang w:val="en-NZ"/>
              </w:rPr>
            </w:pPr>
            <w:r w:rsidRPr="003A3439">
              <w:t>1.4</w:t>
            </w:r>
          </w:p>
        </w:tc>
        <w:tc>
          <w:tcPr>
            <w:tcW w:w="4860" w:type="dxa"/>
            <w:tcBorders>
              <w:top w:val="nil"/>
              <w:left w:val="nil"/>
              <w:bottom w:val="nil"/>
              <w:right w:val="nil"/>
            </w:tcBorders>
            <w:tcMar>
              <w:top w:w="0" w:type="dxa"/>
              <w:left w:w="62" w:type="dxa"/>
              <w:bottom w:w="0" w:type="dxa"/>
              <w:right w:w="62" w:type="dxa"/>
            </w:tcMar>
          </w:tcPr>
          <w:p w:rsidR="00000000" w:rsidP="003A3439">
            <w:pPr>
              <w:pStyle w:val="BodyText"/>
              <w:rPr>
                <w:lang w:val="en-NZ"/>
              </w:rPr>
            </w:pPr>
            <w:r w:rsidRPr="003A3439">
              <w:t>Appropriate personnel are consulted to ensure the work is coordinated effectively with others involved on the work site</w:t>
            </w:r>
          </w:p>
        </w:tc>
      </w:tr>
      <w:tr w:rsidTr="00ED5E2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A3439">
            <w:pPr>
              <w:pStyle w:val="BodyText"/>
              <w:rPr>
                <w:lang w:val="en-NZ"/>
              </w:rPr>
            </w:pPr>
            <w:r w:rsidRPr="003A3439">
              <w:t>1.5</w:t>
            </w:r>
          </w:p>
        </w:tc>
        <w:tc>
          <w:tcPr>
            <w:tcW w:w="4860" w:type="dxa"/>
            <w:tcBorders>
              <w:top w:val="nil"/>
              <w:left w:val="nil"/>
              <w:bottom w:val="nil"/>
              <w:right w:val="nil"/>
            </w:tcBorders>
            <w:tcMar>
              <w:top w:w="0" w:type="dxa"/>
              <w:left w:w="62" w:type="dxa"/>
              <w:bottom w:w="0" w:type="dxa"/>
              <w:right w:w="62" w:type="dxa"/>
            </w:tcMar>
          </w:tcPr>
          <w:p w:rsidR="00000000" w:rsidP="003A3439">
            <w:pPr>
              <w:pStyle w:val="BodyText"/>
              <w:rPr>
                <w:lang w:val="en-NZ"/>
              </w:rPr>
            </w:pPr>
            <w:r w:rsidRPr="003A3439">
              <w:t>Measurement parameters are identified by reviewing process requirements and instrument manufacturer’s service manual.</w:t>
            </w:r>
          </w:p>
        </w:tc>
      </w:tr>
      <w:tr w:rsidTr="00ED5E2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A3439">
            <w:pPr>
              <w:pStyle w:val="BodyText"/>
              <w:rPr>
                <w:lang w:val="en-NZ"/>
              </w:rPr>
            </w:pPr>
            <w:r w:rsidRPr="003A3439">
              <w:t>1.6</w:t>
            </w:r>
          </w:p>
        </w:tc>
        <w:tc>
          <w:tcPr>
            <w:tcW w:w="4860" w:type="dxa"/>
            <w:tcBorders>
              <w:top w:val="nil"/>
              <w:left w:val="nil"/>
              <w:bottom w:val="nil"/>
              <w:right w:val="nil"/>
            </w:tcBorders>
            <w:tcMar>
              <w:top w:w="0" w:type="dxa"/>
              <w:left w:w="62" w:type="dxa"/>
              <w:bottom w:w="0" w:type="dxa"/>
              <w:right w:w="62" w:type="dxa"/>
            </w:tcMar>
          </w:tcPr>
          <w:p w:rsidR="00000000" w:rsidP="003A3439">
            <w:pPr>
              <w:pStyle w:val="BodyText"/>
              <w:rPr>
                <w:lang w:val="en-NZ"/>
              </w:rPr>
            </w:pPr>
            <w:r w:rsidRPr="003A3439">
              <w:t>Tools, equipment and testing devices needed for the work are obtained in accordance with established procedures and checked for correct operation and safety</w:t>
            </w:r>
          </w:p>
        </w:tc>
      </w:tr>
      <w:tr w:rsidTr="00ED5E2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A3439">
            <w:pPr>
              <w:pStyle w:val="BodyText"/>
              <w:rPr>
                <w:lang w:val="en-NZ"/>
              </w:rPr>
            </w:pPr>
            <w:r w:rsidRPr="003A3439">
              <w:t>1.7</w:t>
            </w:r>
          </w:p>
        </w:tc>
        <w:tc>
          <w:tcPr>
            <w:tcW w:w="4860" w:type="dxa"/>
            <w:tcBorders>
              <w:top w:val="nil"/>
              <w:left w:val="nil"/>
              <w:bottom w:val="nil"/>
              <w:right w:val="nil"/>
            </w:tcBorders>
            <w:tcMar>
              <w:top w:w="0" w:type="dxa"/>
              <w:left w:w="62" w:type="dxa"/>
              <w:bottom w:w="0" w:type="dxa"/>
              <w:right w:w="62" w:type="dxa"/>
            </w:tcMar>
          </w:tcPr>
          <w:p w:rsidR="00000000" w:rsidP="003A3439">
            <w:pPr>
              <w:pStyle w:val="BodyText"/>
              <w:rPr>
                <w:lang w:val="en-NZ"/>
              </w:rPr>
            </w:pPr>
            <w:r w:rsidRPr="003A3439">
              <w:t>Preparatory work is checked to ensure no damage has occurred and that work complies with req</w:t>
            </w:r>
            <w:r w:rsidRPr="003A3439">
              <w:t>uirements</w:t>
            </w:r>
          </w:p>
        </w:tc>
      </w:tr>
      <w:tr w:rsidTr="00ED5E2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A3439">
            <w:pPr>
              <w:pStyle w:val="BodyText"/>
              <w:rPr>
                <w:lang w:val="en-NZ"/>
              </w:rPr>
            </w:pPr>
            <w:r w:rsidRPr="003A3439">
              <w:t>1.8</w:t>
            </w:r>
          </w:p>
        </w:tc>
        <w:tc>
          <w:tcPr>
            <w:tcW w:w="4860" w:type="dxa"/>
            <w:tcBorders>
              <w:top w:val="nil"/>
              <w:left w:val="nil"/>
              <w:bottom w:val="nil"/>
              <w:right w:val="nil"/>
            </w:tcBorders>
            <w:tcMar>
              <w:top w:w="0" w:type="dxa"/>
              <w:left w:w="62" w:type="dxa"/>
              <w:bottom w:w="0" w:type="dxa"/>
              <w:right w:w="62" w:type="dxa"/>
            </w:tcMar>
          </w:tcPr>
          <w:p w:rsidR="00000000" w:rsidP="003A3439">
            <w:pPr>
              <w:pStyle w:val="BodyText"/>
              <w:rPr>
                <w:lang w:val="en-NZ"/>
              </w:rPr>
            </w:pPr>
            <w:r w:rsidRPr="003A3439">
              <w:t>The need to test or measure live is determined in strict accordance with OHS requirements and when necessary conducted within established safety procedures</w:t>
            </w:r>
          </w:p>
        </w:tc>
      </w:tr>
      <w:tr w:rsidTr="00ED5E2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A3439">
            <w:pPr>
              <w:pStyle w:val="BodyText"/>
              <w:rPr>
                <w:lang w:val="en-NZ"/>
              </w:rPr>
            </w:pPr>
            <w:r w:rsidRPr="003A3439">
              <w:t>1.9</w:t>
            </w:r>
          </w:p>
        </w:tc>
        <w:tc>
          <w:tcPr>
            <w:tcW w:w="4860" w:type="dxa"/>
            <w:tcBorders>
              <w:top w:val="nil"/>
              <w:left w:val="nil"/>
              <w:bottom w:val="nil"/>
              <w:right w:val="nil"/>
            </w:tcBorders>
            <w:tcMar>
              <w:top w:w="0" w:type="dxa"/>
              <w:left w:w="62" w:type="dxa"/>
              <w:bottom w:w="0" w:type="dxa"/>
              <w:right w:w="62" w:type="dxa"/>
            </w:tcMar>
          </w:tcPr>
          <w:p w:rsidR="00000000" w:rsidP="003A3439">
            <w:pPr>
              <w:pStyle w:val="BodyText"/>
              <w:rPr>
                <w:lang w:val="en-NZ"/>
              </w:rPr>
            </w:pPr>
            <w:r w:rsidRPr="003A3439">
              <w:t>Circuits/machines/plant are checked as being isolated where necessary in str</w:t>
            </w:r>
            <w:r w:rsidRPr="003A3439">
              <w:t>ict accordance OHS requirements and procedures</w:t>
            </w:r>
          </w:p>
        </w:tc>
      </w:tr>
      <w:tr w:rsidTr="00ED5E2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A3439">
            <w:pPr>
              <w:pStyle w:val="BodyText"/>
              <w:rPr>
                <w:lang w:val="en-NZ"/>
              </w:rPr>
            </w:pPr>
            <w:r w:rsidRPr="003A3439">
              <w:t>2</w:t>
            </w:r>
          </w:p>
        </w:tc>
        <w:tc>
          <w:tcPr>
            <w:tcW w:w="2296" w:type="dxa"/>
            <w:vMerge w:val="restart"/>
            <w:tcBorders>
              <w:top w:val="nil"/>
              <w:left w:val="nil"/>
              <w:bottom w:val="nil"/>
              <w:right w:val="nil"/>
            </w:tcBorders>
            <w:tcMar>
              <w:top w:w="0" w:type="dxa"/>
              <w:left w:w="62" w:type="dxa"/>
              <w:bottom w:w="0" w:type="dxa"/>
              <w:right w:w="62" w:type="dxa"/>
            </w:tcMar>
          </w:tcPr>
          <w:p w:rsidR="00000000" w:rsidP="003A3439">
            <w:pPr>
              <w:pStyle w:val="BodyText"/>
              <w:rPr>
                <w:lang w:val="en-NZ"/>
              </w:rPr>
            </w:pPr>
            <w:r w:rsidRPr="003A3439">
              <w:t>Set-up scientific analysis measuring instruments</w:t>
            </w:r>
          </w:p>
        </w:tc>
        <w:tc>
          <w:tcPr>
            <w:tcW w:w="900" w:type="dxa"/>
            <w:tcBorders>
              <w:top w:val="nil"/>
              <w:left w:val="nil"/>
              <w:bottom w:val="nil"/>
              <w:right w:val="nil"/>
            </w:tcBorders>
            <w:tcMar>
              <w:top w:w="0" w:type="dxa"/>
              <w:left w:w="62" w:type="dxa"/>
              <w:bottom w:w="0" w:type="dxa"/>
              <w:right w:w="62" w:type="dxa"/>
            </w:tcMar>
          </w:tcPr>
          <w:p w:rsidR="00000000" w:rsidP="003A3439">
            <w:pPr>
              <w:pStyle w:val="BodyText"/>
              <w:rPr>
                <w:lang w:val="en-NZ"/>
              </w:rPr>
            </w:pPr>
            <w:r w:rsidRPr="003A3439">
              <w:t>2.1</w:t>
            </w:r>
          </w:p>
        </w:tc>
        <w:tc>
          <w:tcPr>
            <w:tcW w:w="4860" w:type="dxa"/>
            <w:tcBorders>
              <w:top w:val="nil"/>
              <w:left w:val="nil"/>
              <w:bottom w:val="nil"/>
              <w:right w:val="nil"/>
            </w:tcBorders>
            <w:tcMar>
              <w:top w:w="0" w:type="dxa"/>
              <w:left w:w="62" w:type="dxa"/>
              <w:bottom w:w="0" w:type="dxa"/>
              <w:right w:w="62" w:type="dxa"/>
            </w:tcMar>
          </w:tcPr>
          <w:p w:rsidR="00000000" w:rsidP="003A3439">
            <w:pPr>
              <w:pStyle w:val="BodyText"/>
              <w:rPr>
                <w:lang w:val="en-NZ"/>
              </w:rPr>
            </w:pPr>
            <w:r w:rsidRPr="003A3439">
              <w:t>OHS risk control measures and procedures for carrying out the work are followed.</w:t>
            </w:r>
          </w:p>
        </w:tc>
      </w:tr>
      <w:tr w:rsidTr="00ED5E2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A3439">
            <w:pPr>
              <w:pStyle w:val="BodyText"/>
              <w:rPr>
                <w:lang w:val="en-NZ"/>
              </w:rPr>
            </w:pPr>
            <w:r w:rsidRPr="003A3439">
              <w:t>2.2</w:t>
            </w:r>
          </w:p>
        </w:tc>
        <w:tc>
          <w:tcPr>
            <w:tcW w:w="4860" w:type="dxa"/>
            <w:tcBorders>
              <w:top w:val="nil"/>
              <w:left w:val="nil"/>
              <w:bottom w:val="nil"/>
              <w:right w:val="nil"/>
            </w:tcBorders>
            <w:tcMar>
              <w:top w:w="0" w:type="dxa"/>
              <w:left w:w="62" w:type="dxa"/>
              <w:bottom w:w="0" w:type="dxa"/>
              <w:right w:w="62" w:type="dxa"/>
            </w:tcMar>
          </w:tcPr>
          <w:p w:rsidR="00000000" w:rsidP="003A3439">
            <w:pPr>
              <w:pStyle w:val="BodyText"/>
              <w:rPr>
                <w:lang w:val="en-NZ"/>
              </w:rPr>
            </w:pPr>
            <w:r w:rsidRPr="003A3439">
              <w:t>Testing/measuring devices are connected and set up in accordance with requirements for a particular control system.</w:t>
            </w:r>
          </w:p>
        </w:tc>
      </w:tr>
      <w:tr w:rsidTr="00ED5E2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A3439">
            <w:pPr>
              <w:pStyle w:val="BodyText"/>
              <w:rPr>
                <w:lang w:val="en-NZ"/>
              </w:rPr>
            </w:pPr>
            <w:r w:rsidRPr="003A3439">
              <w:t>2.3</w:t>
            </w:r>
          </w:p>
        </w:tc>
        <w:tc>
          <w:tcPr>
            <w:tcW w:w="4860" w:type="dxa"/>
            <w:tcBorders>
              <w:top w:val="nil"/>
              <w:left w:val="nil"/>
              <w:bottom w:val="nil"/>
              <w:right w:val="nil"/>
            </w:tcBorders>
            <w:tcMar>
              <w:top w:w="0" w:type="dxa"/>
              <w:left w:w="62" w:type="dxa"/>
              <w:bottom w:w="0" w:type="dxa"/>
              <w:right w:w="62" w:type="dxa"/>
            </w:tcMar>
          </w:tcPr>
          <w:p w:rsidR="00000000" w:rsidP="003A3439">
            <w:pPr>
              <w:pStyle w:val="BodyText"/>
              <w:rPr>
                <w:lang w:val="en-NZ"/>
              </w:rPr>
            </w:pPr>
            <w:r w:rsidRPr="003A3439">
              <w:t>Measuring instruments are set up and adjusted in accordance with process requirements and instrument manufacturer service manual.</w:t>
            </w:r>
          </w:p>
        </w:tc>
      </w:tr>
      <w:tr w:rsidTr="00ED5E2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A3439">
            <w:pPr>
              <w:pStyle w:val="BodyText"/>
              <w:rPr>
                <w:lang w:val="en-NZ"/>
              </w:rPr>
            </w:pPr>
            <w:r w:rsidRPr="003A3439">
              <w:t>2.4</w:t>
            </w:r>
          </w:p>
        </w:tc>
        <w:tc>
          <w:tcPr>
            <w:tcW w:w="4860" w:type="dxa"/>
            <w:tcBorders>
              <w:top w:val="nil"/>
              <w:left w:val="nil"/>
              <w:bottom w:val="nil"/>
              <w:right w:val="nil"/>
            </w:tcBorders>
            <w:tcMar>
              <w:top w:w="0" w:type="dxa"/>
              <w:left w:w="62" w:type="dxa"/>
              <w:bottom w:w="0" w:type="dxa"/>
              <w:right w:w="62" w:type="dxa"/>
            </w:tcMar>
          </w:tcPr>
          <w:p w:rsidR="00000000" w:rsidP="003A3439">
            <w:pPr>
              <w:pStyle w:val="BodyText"/>
              <w:rPr>
                <w:lang w:val="en-NZ"/>
              </w:rPr>
            </w:pPr>
            <w:r w:rsidRPr="003A3439">
              <w:t>Established methods for dealing with unexpected situations are discussed with appropriate person or persons and documented.</w:t>
            </w:r>
          </w:p>
        </w:tc>
      </w:tr>
      <w:tr w:rsidTr="00ED5E2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A3439">
            <w:pPr>
              <w:pStyle w:val="BodyText"/>
              <w:rPr>
                <w:lang w:val="en-NZ"/>
              </w:rPr>
            </w:pPr>
            <w:r w:rsidRPr="003A3439">
              <w:t>2.5</w:t>
            </w:r>
          </w:p>
        </w:tc>
        <w:tc>
          <w:tcPr>
            <w:tcW w:w="4860" w:type="dxa"/>
            <w:tcBorders>
              <w:top w:val="nil"/>
              <w:left w:val="nil"/>
              <w:bottom w:val="nil"/>
              <w:right w:val="nil"/>
            </w:tcBorders>
            <w:tcMar>
              <w:top w:w="0" w:type="dxa"/>
              <w:left w:w="62" w:type="dxa"/>
              <w:bottom w:w="0" w:type="dxa"/>
              <w:right w:w="62" w:type="dxa"/>
            </w:tcMar>
          </w:tcPr>
          <w:p w:rsidR="00000000" w:rsidP="003A3439">
            <w:pPr>
              <w:pStyle w:val="BodyText"/>
              <w:rPr>
                <w:lang w:val="en-NZ"/>
              </w:rPr>
            </w:pPr>
            <w:r w:rsidRPr="003A3439">
              <w:t>Unexpected situations are dealt with safely and with the approval of an authorised person.</w:t>
            </w:r>
          </w:p>
        </w:tc>
      </w:tr>
      <w:tr w:rsidTr="00ED5E2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A3439">
            <w:pPr>
              <w:pStyle w:val="BodyText"/>
              <w:rPr>
                <w:lang w:val="en-NZ"/>
              </w:rPr>
            </w:pPr>
            <w:r w:rsidRPr="003A3439">
              <w:t>2.6</w:t>
            </w:r>
          </w:p>
        </w:tc>
        <w:tc>
          <w:tcPr>
            <w:tcW w:w="4860" w:type="dxa"/>
            <w:tcBorders>
              <w:top w:val="nil"/>
              <w:left w:val="nil"/>
              <w:bottom w:val="nil"/>
              <w:right w:val="nil"/>
            </w:tcBorders>
            <w:tcMar>
              <w:top w:w="0" w:type="dxa"/>
              <w:left w:w="62" w:type="dxa"/>
              <w:bottom w:w="0" w:type="dxa"/>
              <w:right w:w="62" w:type="dxa"/>
            </w:tcMar>
          </w:tcPr>
          <w:p w:rsidR="00000000" w:rsidP="003A3439">
            <w:pPr>
              <w:pStyle w:val="BodyText"/>
              <w:rPr>
                <w:lang w:val="en-NZ"/>
              </w:rPr>
            </w:pPr>
            <w:r w:rsidRPr="003A3439">
              <w:t>Setting-up is carried o</w:t>
            </w:r>
            <w:r w:rsidRPr="003A3439">
              <w:t>ut efficiently without waste of materials or damage to apparatus, the surrounding environment or services and using sustainable energy principles.</w:t>
            </w:r>
          </w:p>
        </w:tc>
      </w:tr>
      <w:tr w:rsidTr="00ED5E2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A3439">
            <w:pPr>
              <w:pStyle w:val="BodyText"/>
              <w:rPr>
                <w:lang w:val="en-NZ"/>
              </w:rPr>
            </w:pPr>
            <w:r w:rsidRPr="003A3439">
              <w:t>3</w:t>
            </w:r>
          </w:p>
        </w:tc>
        <w:tc>
          <w:tcPr>
            <w:tcW w:w="2296" w:type="dxa"/>
            <w:vMerge w:val="restart"/>
            <w:tcBorders>
              <w:top w:val="nil"/>
              <w:left w:val="nil"/>
              <w:bottom w:val="nil"/>
              <w:right w:val="nil"/>
            </w:tcBorders>
            <w:tcMar>
              <w:top w:w="0" w:type="dxa"/>
              <w:left w:w="62" w:type="dxa"/>
              <w:bottom w:w="0" w:type="dxa"/>
              <w:right w:w="62" w:type="dxa"/>
            </w:tcMar>
          </w:tcPr>
          <w:p w:rsidR="00000000" w:rsidP="003A3439">
            <w:pPr>
              <w:pStyle w:val="BodyText"/>
              <w:rPr>
                <w:lang w:val="en-NZ"/>
              </w:rPr>
            </w:pPr>
            <w:r w:rsidRPr="003A3439">
              <w:t>Completion and report set-up activities</w:t>
            </w:r>
          </w:p>
        </w:tc>
        <w:tc>
          <w:tcPr>
            <w:tcW w:w="900" w:type="dxa"/>
            <w:tcBorders>
              <w:top w:val="nil"/>
              <w:left w:val="nil"/>
              <w:bottom w:val="nil"/>
              <w:right w:val="nil"/>
            </w:tcBorders>
            <w:tcMar>
              <w:top w:w="0" w:type="dxa"/>
              <w:left w:w="62" w:type="dxa"/>
              <w:bottom w:w="0" w:type="dxa"/>
              <w:right w:w="62" w:type="dxa"/>
            </w:tcMar>
          </w:tcPr>
          <w:p w:rsidR="00000000" w:rsidP="003A3439">
            <w:pPr>
              <w:pStyle w:val="BodyText"/>
              <w:rPr>
                <w:lang w:val="en-NZ"/>
              </w:rPr>
            </w:pPr>
            <w:r w:rsidRPr="003A3439">
              <w:t>3.1</w:t>
            </w:r>
          </w:p>
        </w:tc>
        <w:tc>
          <w:tcPr>
            <w:tcW w:w="4860" w:type="dxa"/>
            <w:tcBorders>
              <w:top w:val="nil"/>
              <w:left w:val="nil"/>
              <w:bottom w:val="nil"/>
              <w:right w:val="nil"/>
            </w:tcBorders>
            <w:tcMar>
              <w:top w:w="0" w:type="dxa"/>
              <w:left w:w="62" w:type="dxa"/>
              <w:bottom w:w="0" w:type="dxa"/>
              <w:right w:w="62" w:type="dxa"/>
            </w:tcMar>
          </w:tcPr>
          <w:p w:rsidR="00000000" w:rsidP="003A3439">
            <w:pPr>
              <w:pStyle w:val="BodyText"/>
              <w:rPr>
                <w:lang w:val="en-NZ"/>
              </w:rPr>
            </w:pPr>
            <w:r w:rsidRPr="003A3439">
              <w:t>OHS risk control work completion measures and procedures are f</w:t>
            </w:r>
            <w:r w:rsidRPr="003A3439">
              <w:t>ollowed.</w:t>
            </w:r>
          </w:p>
        </w:tc>
      </w:tr>
      <w:tr w:rsidTr="00ED5E2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A3439">
            <w:pPr>
              <w:pStyle w:val="BodyText"/>
              <w:rPr>
                <w:lang w:val="en-NZ"/>
              </w:rPr>
            </w:pPr>
            <w:r w:rsidRPr="003A3439">
              <w:t>3.2</w:t>
            </w:r>
          </w:p>
        </w:tc>
        <w:tc>
          <w:tcPr>
            <w:tcW w:w="4860" w:type="dxa"/>
            <w:tcBorders>
              <w:top w:val="nil"/>
              <w:left w:val="nil"/>
              <w:bottom w:val="nil"/>
              <w:right w:val="nil"/>
            </w:tcBorders>
            <w:tcMar>
              <w:top w:w="0" w:type="dxa"/>
              <w:left w:w="62" w:type="dxa"/>
              <w:bottom w:w="0" w:type="dxa"/>
              <w:right w:w="62" w:type="dxa"/>
            </w:tcMar>
          </w:tcPr>
          <w:p w:rsidR="00000000" w:rsidP="003A3439">
            <w:pPr>
              <w:pStyle w:val="BodyText"/>
              <w:rPr>
                <w:lang w:val="en-NZ"/>
              </w:rPr>
            </w:pPr>
            <w:r w:rsidRPr="003A3439">
              <w:t>Work site is cleaned and made safe in accordance with established procedures.</w:t>
            </w:r>
          </w:p>
        </w:tc>
      </w:tr>
      <w:tr w:rsidTr="00ED5E28">
        <w:tblPrEx>
          <w:tblW w:w="0" w:type="auto"/>
          <w:tblLayout w:type="fixed"/>
          <w:tblCellMar>
            <w:left w:w="62" w:type="dxa"/>
            <w:right w:w="62" w:type="dxa"/>
          </w:tblCellMar>
          <w:tblLook w:val="0000"/>
        </w:tblPrEx>
        <w:trPr>
          <w:trHeight w:val="885"/>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A3439">
            <w:pPr>
              <w:pStyle w:val="BodyText"/>
              <w:rPr>
                <w:lang w:val="en-NZ"/>
              </w:rPr>
            </w:pPr>
            <w:r w:rsidRPr="003A3439">
              <w:t>3.3</w:t>
            </w:r>
          </w:p>
        </w:tc>
        <w:tc>
          <w:tcPr>
            <w:tcW w:w="4860" w:type="dxa"/>
            <w:tcBorders>
              <w:top w:val="nil"/>
              <w:left w:val="nil"/>
              <w:bottom w:val="nil"/>
              <w:right w:val="nil"/>
            </w:tcBorders>
            <w:tcMar>
              <w:top w:w="0" w:type="dxa"/>
              <w:left w:w="62" w:type="dxa"/>
              <w:bottom w:w="0" w:type="dxa"/>
              <w:right w:w="62" w:type="dxa"/>
            </w:tcMar>
          </w:tcPr>
          <w:p w:rsidR="00000000" w:rsidRPr="003A3439" w:rsidP="003A3439">
            <w:pPr>
              <w:pStyle w:val="BodyText"/>
            </w:pPr>
            <w:r w:rsidRPr="003A3439">
              <w:t>Adjustment settings are documented and appropriate person(s) notified in accordance with established procedures</w:t>
            </w:r>
          </w:p>
        </w:tc>
      </w:tr>
    </w:tbl>
    <w:p w:rsidR="00000000" w:rsidRPr="003A3439" w:rsidP="003A3439">
      <w:pPr>
        <w:pStyle w:val="BodyText"/>
      </w:pPr>
    </w:p>
    <w:p w:rsidR="00000000" w:rsidRPr="003A3439" w:rsidP="003A3439">
      <w:pPr>
        <w:pStyle w:val="AllowPageBreak"/>
      </w:pPr>
    </w:p>
    <w:p w:rsidR="00000000" w:rsidRPr="003A3439" w:rsidP="003A3439">
      <w:pPr>
        <w:pStyle w:val="Heading1"/>
      </w:pPr>
      <w:bookmarkStart w:id="9" w:name="O_533975"/>
      <w:bookmarkEnd w:id="9"/>
      <w:r w:rsidRPr="003A3439">
        <w:t>Required Skills and Knowledge</w:t>
      </w:r>
    </w:p>
    <w:tbl>
      <w:tblPr>
        <w:tblW w:w="0" w:type="auto"/>
        <w:tblLayout w:type="fixed"/>
        <w:tblCellMar>
          <w:left w:w="62" w:type="dxa"/>
          <w:right w:w="62" w:type="dxa"/>
        </w:tblCellMar>
        <w:tblLook w:val="0000"/>
      </w:tblPr>
      <w:tblGrid>
        <w:gridCol w:w="1530"/>
        <w:gridCol w:w="6930"/>
      </w:tblGrid>
      <w:tr w:rsidTr="00ED5E28">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3A3439">
            <w:pPr>
              <w:pStyle w:val="BodyText"/>
              <w:rPr>
                <w:lang w:val="en-NZ"/>
              </w:rPr>
            </w:pPr>
            <w:r w:rsidRPr="003A3439">
              <w:rPr>
                <w:rStyle w:val="SpecialBold"/>
              </w:rPr>
              <w:t>REQUIRED SKILLS AND KNOWLEDGE</w:t>
            </w:r>
          </w:p>
        </w:tc>
      </w:tr>
      <w:tr w:rsidTr="00ED5E28">
        <w:tblPrEx>
          <w:tblW w:w="0" w:type="auto"/>
          <w:tblLayout w:type="fixed"/>
          <w:tblCellMar>
            <w:left w:w="62" w:type="dxa"/>
            <w:right w:w="62" w:type="dxa"/>
          </w:tblCellMar>
          <w:tblLook w:val="0000"/>
        </w:tblPrEx>
        <w:trPr>
          <w:trHeight w:val="226"/>
        </w:trPr>
        <w:tc>
          <w:tcPr>
            <w:tcW w:w="8460" w:type="dxa"/>
            <w:gridSpan w:val="2"/>
            <w:tcBorders>
              <w:top w:val="nil"/>
              <w:left w:val="nil"/>
              <w:bottom w:val="nil"/>
              <w:right w:val="nil"/>
            </w:tcBorders>
            <w:tcMar>
              <w:top w:w="0" w:type="dxa"/>
              <w:left w:w="62" w:type="dxa"/>
              <w:bottom w:w="0" w:type="dxa"/>
              <w:right w:w="62" w:type="dxa"/>
            </w:tcMar>
          </w:tcPr>
          <w:p w:rsidR="00000000" w:rsidRPr="003A3439" w:rsidP="003A3439">
            <w:pPr>
              <w:pStyle w:val="BodyText"/>
            </w:pPr>
            <w:r w:rsidRPr="003A3439">
              <w:rPr>
                <w:rStyle w:val="SpecialBold"/>
              </w:rPr>
              <w:t>8)</w:t>
            </w:r>
            <w:r w:rsidRPr="003A3439">
              <w:t xml:space="preserve"> This describes the required skills and knowledge and their level, required for this unit.</w:t>
            </w:r>
          </w:p>
          <w:p w:rsidR="00000000" w:rsidRPr="003A3439" w:rsidP="003A3439">
            <w:pPr>
              <w:pStyle w:val="BodyText"/>
            </w:pPr>
            <w:r w:rsidRPr="003A3439">
              <w:t xml:space="preserve">Evidence shall show that knowledge has been acquired of safe working practices and setting up process measuring and control instruments for scientific analysis. </w:t>
            </w:r>
          </w:p>
          <w:p w:rsidR="00000000" w:rsidP="003A3439">
            <w:pPr>
              <w:pStyle w:val="BodyText"/>
              <w:rPr>
                <w:lang w:val="en-NZ"/>
              </w:rPr>
            </w:pPr>
            <w:r w:rsidRPr="003A3439">
              <w:t>All knowledge and skills detailed in this unit should be contextualised to current industry pr</w:t>
            </w:r>
            <w:r w:rsidRPr="003A3439">
              <w:t>actices and technologies.</w:t>
            </w:r>
          </w:p>
        </w:tc>
      </w:tr>
      <w:tr w:rsidTr="00ED5E28">
        <w:tblPrEx>
          <w:tblW w:w="0" w:type="auto"/>
          <w:tblLayout w:type="fixed"/>
          <w:tblCellMar>
            <w:left w:w="62" w:type="dxa"/>
            <w:right w:w="62" w:type="dxa"/>
          </w:tblCellMar>
          <w:tblLook w:val="0000"/>
        </w:tblPrEx>
        <w:trPr>
          <w:trHeight w:val="166"/>
        </w:trPr>
        <w:tc>
          <w:tcPr>
            <w:tcW w:w="1530" w:type="dxa"/>
            <w:tcBorders>
              <w:top w:val="nil"/>
              <w:left w:val="nil"/>
              <w:bottom w:val="nil"/>
              <w:right w:val="nil"/>
            </w:tcBorders>
            <w:tcMar>
              <w:top w:w="0" w:type="dxa"/>
              <w:left w:w="62" w:type="dxa"/>
              <w:bottom w:w="0" w:type="dxa"/>
              <w:right w:w="62" w:type="dxa"/>
            </w:tcMar>
          </w:tcPr>
          <w:p w:rsidR="00000000" w:rsidRPr="003A3439" w:rsidP="003A3439">
            <w:pPr>
              <w:pStyle w:val="BodyText"/>
            </w:pPr>
            <w:r w:rsidRPr="003A3439">
              <w:rPr>
                <w:rStyle w:val="SpecialBold"/>
              </w:rPr>
              <w:t>KS01-EI133A</w:t>
            </w:r>
          </w:p>
        </w:tc>
        <w:tc>
          <w:tcPr>
            <w:tcW w:w="6930" w:type="dxa"/>
            <w:tcBorders>
              <w:top w:val="nil"/>
              <w:left w:val="nil"/>
              <w:bottom w:val="nil"/>
              <w:right w:val="nil"/>
            </w:tcBorders>
            <w:tcMar>
              <w:top w:w="0" w:type="dxa"/>
              <w:left w:w="62" w:type="dxa"/>
              <w:bottom w:w="0" w:type="dxa"/>
              <w:right w:w="62" w:type="dxa"/>
            </w:tcMar>
          </w:tcPr>
          <w:p w:rsidR="00000000" w:rsidP="003A3439">
            <w:pPr>
              <w:pStyle w:val="BodyText"/>
              <w:rPr>
                <w:lang w:val="en-NZ"/>
              </w:rPr>
            </w:pPr>
            <w:r w:rsidRPr="003A3439">
              <w:rPr>
                <w:rStyle w:val="SpecialBold"/>
              </w:rPr>
              <w:t>Scientific analysis</w:t>
            </w:r>
          </w:p>
        </w:tc>
      </w:tr>
      <w:tr w:rsidTr="00ED5E28">
        <w:tblPrEx>
          <w:tblW w:w="0" w:type="auto"/>
          <w:tblLayout w:type="fixed"/>
          <w:tblCellMar>
            <w:left w:w="62" w:type="dxa"/>
            <w:right w:w="62" w:type="dxa"/>
          </w:tblCellMar>
          <w:tblLook w:val="0000"/>
        </w:tblPrEx>
        <w:trPr>
          <w:trHeight w:val="226"/>
        </w:trPr>
        <w:tc>
          <w:tcPr>
            <w:tcW w:w="1530" w:type="dxa"/>
            <w:tcBorders>
              <w:top w:val="nil"/>
              <w:left w:val="nil"/>
              <w:bottom w:val="nil"/>
              <w:right w:val="nil"/>
            </w:tcBorders>
            <w:tcMar>
              <w:top w:w="0" w:type="dxa"/>
              <w:left w:w="62" w:type="dxa"/>
              <w:bottom w:w="0" w:type="dxa"/>
              <w:right w:w="62" w:type="dxa"/>
            </w:tcMar>
          </w:tcPr>
          <w:p w:rsidR="00000000" w:rsidP="003A3439">
            <w:pPr>
              <w:pStyle w:val="BodyText"/>
              <w:rPr>
                <w:lang w:val="en-NZ"/>
              </w:rPr>
            </w:pPr>
            <w:r w:rsidRPr="003A3439">
              <w:t>T1</w:t>
            </w:r>
          </w:p>
        </w:tc>
        <w:tc>
          <w:tcPr>
            <w:tcW w:w="6930" w:type="dxa"/>
            <w:tcBorders>
              <w:top w:val="nil"/>
              <w:left w:val="nil"/>
              <w:bottom w:val="nil"/>
              <w:right w:val="nil"/>
            </w:tcBorders>
            <w:tcMar>
              <w:top w:w="0" w:type="dxa"/>
              <w:left w:w="62" w:type="dxa"/>
              <w:bottom w:w="0" w:type="dxa"/>
              <w:right w:w="62" w:type="dxa"/>
            </w:tcMar>
          </w:tcPr>
          <w:p w:rsidR="00000000" w:rsidP="003A3439">
            <w:pPr>
              <w:pStyle w:val="BodyText"/>
              <w:rPr>
                <w:lang w:val="en-NZ"/>
              </w:rPr>
            </w:pPr>
            <w:r w:rsidRPr="003A3439">
              <w:t>Evidence shall show an understanding of scientific analysis to an extent indicated by the following aspects:</w:t>
            </w:r>
          </w:p>
        </w:tc>
      </w:tr>
      <w:tr w:rsidTr="00ED5E28">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rsidP="003A3439">
            <w:pPr>
              <w:pStyle w:val="BodyText"/>
              <w:rPr>
                <w:lang w:val="en-NZ"/>
              </w:rPr>
            </w:pPr>
            <w:r w:rsidRPr="003A3439">
              <w:t>T2</w:t>
            </w:r>
          </w:p>
        </w:tc>
        <w:tc>
          <w:tcPr>
            <w:tcW w:w="6930" w:type="dxa"/>
            <w:tcBorders>
              <w:top w:val="nil"/>
              <w:left w:val="nil"/>
              <w:bottom w:val="nil"/>
              <w:right w:val="nil"/>
            </w:tcBorders>
            <w:tcMar>
              <w:top w:w="0" w:type="dxa"/>
              <w:left w:w="62" w:type="dxa"/>
              <w:bottom w:w="0" w:type="dxa"/>
              <w:right w:w="62" w:type="dxa"/>
            </w:tcMar>
          </w:tcPr>
          <w:p w:rsidR="00000000" w:rsidP="003A3439">
            <w:pPr>
              <w:pStyle w:val="BodyText"/>
              <w:rPr>
                <w:lang w:val="en-NZ"/>
              </w:rPr>
            </w:pPr>
            <w:r w:rsidRPr="003A3439">
              <w:t>Wavelength characteristics of the electromagnetic spectrum and radiation sources</w:t>
            </w:r>
          </w:p>
        </w:tc>
      </w:tr>
      <w:tr w:rsidTr="00ED5E28">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rsidP="003A3439">
            <w:pPr>
              <w:pStyle w:val="BodyText"/>
              <w:rPr>
                <w:lang w:val="en-NZ"/>
              </w:rPr>
            </w:pPr>
            <w:r w:rsidRPr="003A3439">
              <w:t>T3</w:t>
            </w:r>
          </w:p>
        </w:tc>
        <w:tc>
          <w:tcPr>
            <w:tcW w:w="6930" w:type="dxa"/>
            <w:tcBorders>
              <w:top w:val="nil"/>
              <w:left w:val="nil"/>
              <w:bottom w:val="nil"/>
              <w:right w:val="nil"/>
            </w:tcBorders>
            <w:tcMar>
              <w:top w:w="0" w:type="dxa"/>
              <w:left w:w="62" w:type="dxa"/>
              <w:bottom w:w="0" w:type="dxa"/>
              <w:right w:w="62" w:type="dxa"/>
            </w:tcMar>
          </w:tcPr>
          <w:p w:rsidR="00000000" w:rsidRPr="003A3439" w:rsidP="003A3439">
            <w:pPr>
              <w:pStyle w:val="BodyText"/>
            </w:pPr>
            <w:r w:rsidRPr="003A3439">
              <w:t>Basic principles of refraction and dispersion encompassing:</w:t>
            </w:r>
          </w:p>
          <w:p w:rsidR="00000000" w:rsidRPr="003A3439" w:rsidP="003A3439">
            <w:pPr>
              <w:pStyle w:val="ListBullet2"/>
            </w:pPr>
            <w:r w:rsidRPr="003A3439">
              <w:t>Wavelength and bandwidth of monochromatic devices.</w:t>
            </w:r>
          </w:p>
          <w:p w:rsidR="00000000" w:rsidRPr="003A3439" w:rsidP="003A3439">
            <w:pPr>
              <w:pStyle w:val="ListBullet2"/>
            </w:pPr>
            <w:r w:rsidRPr="003A3439">
              <w:t>Principle of operation of an absorption spectrometer</w:t>
            </w:r>
          </w:p>
          <w:p w:rsidR="00000000" w:rsidP="003A3439">
            <w:pPr>
              <w:pStyle w:val="ListBullet2"/>
              <w:rPr>
                <w:lang w:val="en-NZ"/>
              </w:rPr>
            </w:pPr>
            <w:r w:rsidRPr="003A3439">
              <w:t>Principle of operation of an emission spectrometer</w:t>
            </w:r>
          </w:p>
        </w:tc>
      </w:tr>
      <w:tr w:rsidTr="00ED5E28">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rsidP="003A3439">
            <w:pPr>
              <w:pStyle w:val="BodyText"/>
              <w:rPr>
                <w:lang w:val="en-NZ"/>
              </w:rPr>
            </w:pPr>
            <w:r w:rsidRPr="003A3439">
              <w:t>T4</w:t>
            </w:r>
          </w:p>
        </w:tc>
        <w:tc>
          <w:tcPr>
            <w:tcW w:w="6930" w:type="dxa"/>
            <w:tcBorders>
              <w:top w:val="nil"/>
              <w:left w:val="nil"/>
              <w:bottom w:val="nil"/>
              <w:right w:val="nil"/>
            </w:tcBorders>
            <w:tcMar>
              <w:top w:w="0" w:type="dxa"/>
              <w:left w:w="62" w:type="dxa"/>
              <w:bottom w:w="0" w:type="dxa"/>
              <w:right w:w="62" w:type="dxa"/>
            </w:tcMar>
          </w:tcPr>
          <w:p w:rsidR="00000000" w:rsidRPr="003A3439" w:rsidP="003A3439">
            <w:pPr>
              <w:pStyle w:val="BodyText"/>
            </w:pPr>
            <w:r w:rsidRPr="003A3439">
              <w:t>Principle of operation of an atomic absorption spectrometer encompassing:</w:t>
            </w:r>
          </w:p>
          <w:p w:rsidR="00000000" w:rsidRPr="003A3439" w:rsidP="003A3439">
            <w:pPr>
              <w:pStyle w:val="ListBullet2"/>
            </w:pPr>
            <w:r w:rsidRPr="003A3439">
              <w:t>Principle of operation of a gas chromatography</w:t>
            </w:r>
          </w:p>
          <w:p w:rsidR="00000000" w:rsidRPr="003A3439" w:rsidP="003A3439">
            <w:pPr>
              <w:pStyle w:val="ListBullet2"/>
            </w:pPr>
            <w:r w:rsidRPr="003A3439">
              <w:t>Principle of operation of a liquid chromatography</w:t>
            </w:r>
          </w:p>
          <w:p w:rsidR="00000000" w:rsidRPr="003A3439" w:rsidP="003A3439">
            <w:pPr>
              <w:pStyle w:val="ListBullet2"/>
            </w:pPr>
            <w:r w:rsidRPr="003A3439">
              <w:t>Principles of operation of ba</w:t>
            </w:r>
            <w:r w:rsidRPr="003A3439">
              <w:t>sic sample preparative instruments</w:t>
            </w:r>
          </w:p>
        </w:tc>
      </w:tr>
    </w:tbl>
    <w:p w:rsidR="00000000" w:rsidRPr="003A3439" w:rsidP="003A3439">
      <w:pPr>
        <w:pStyle w:val="BodyText"/>
      </w:pPr>
    </w:p>
    <w:p w:rsidR="00000000" w:rsidRPr="003A3439" w:rsidP="003A3439">
      <w:pPr>
        <w:pStyle w:val="AllowPageBreak"/>
      </w:pPr>
    </w:p>
    <w:p w:rsidR="00000000" w:rsidRPr="003A3439" w:rsidP="003A3439">
      <w:pPr>
        <w:pStyle w:val="Heading1"/>
      </w:pPr>
      <w:bookmarkStart w:id="10" w:name="O_533974"/>
      <w:bookmarkEnd w:id="10"/>
      <w:r w:rsidRPr="003A3439">
        <w:t>Evidence Guide</w:t>
      </w:r>
    </w:p>
    <w:tbl>
      <w:tblPr>
        <w:tblW w:w="0" w:type="auto"/>
        <w:tblLayout w:type="fixed"/>
        <w:tblCellMar>
          <w:left w:w="62" w:type="dxa"/>
          <w:right w:w="62" w:type="dxa"/>
        </w:tblCellMar>
        <w:tblLook w:val="0000"/>
      </w:tblPr>
      <w:tblGrid>
        <w:gridCol w:w="8460"/>
      </w:tblGrid>
      <w:tr w:rsidTr="00ED5E2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A3439">
            <w:pPr>
              <w:pStyle w:val="BodyText"/>
              <w:rPr>
                <w:lang w:val="en-NZ"/>
              </w:rPr>
            </w:pPr>
            <w:r w:rsidRPr="003A3439">
              <w:rPr>
                <w:rStyle w:val="SpecialBold"/>
              </w:rPr>
              <w:t>EVIDENCE GUIDE</w:t>
            </w:r>
          </w:p>
        </w:tc>
      </w:tr>
      <w:tr w:rsidTr="00ED5E2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3A3439" w:rsidP="003A3439">
            <w:pPr>
              <w:pStyle w:val="BodyText"/>
            </w:pPr>
            <w:r w:rsidRPr="003A3439">
              <w:rPr>
                <w:rStyle w:val="SpecialBold"/>
              </w:rPr>
              <w:t>9)</w:t>
            </w:r>
            <w:r w:rsidRPr="003A3439">
              <w:t xml:space="preserve"> This provides essential advice for assessment of the unit and must be read in conjunction with the </w:t>
            </w:r>
            <w:r w:rsidRPr="003A3439">
              <w:t>performance criteria and the range statement of the unit and the Training Package Assessment Guidelines.</w:t>
            </w:r>
          </w:p>
          <w:p w:rsidR="00000000" w:rsidRPr="003A3439" w:rsidP="003A3439">
            <w:pPr>
              <w:pStyle w:val="BodyText"/>
            </w:pPr>
            <w:r w:rsidRPr="003A3439">
              <w:t xml:space="preserve">The Evidence Guide forms an integral part of this unit. It must be used in conjunction with all parts of the unit and performed in accordance with the </w:t>
            </w:r>
            <w:r w:rsidRPr="003A3439">
              <w:t>Assessment Guidelines of this Training Package.</w:t>
            </w:r>
          </w:p>
        </w:tc>
      </w:tr>
    </w:tbl>
    <w:p w:rsidR="00000000" w:rsidRPr="003A3439" w:rsidP="003A3439">
      <w:pPr>
        <w:pStyle w:val="BodyText"/>
      </w:pPr>
    </w:p>
    <w:tbl>
      <w:tblPr>
        <w:tblW w:w="0" w:type="auto"/>
        <w:tblLayout w:type="fixed"/>
        <w:tblCellMar>
          <w:left w:w="62" w:type="dxa"/>
          <w:right w:w="62" w:type="dxa"/>
        </w:tblCellMar>
        <w:tblLook w:val="0000"/>
      </w:tblPr>
      <w:tblGrid>
        <w:gridCol w:w="1890"/>
        <w:gridCol w:w="6570"/>
      </w:tblGrid>
      <w:tr w:rsidTr="00ED5E2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3A3439" w:rsidP="003A3439">
            <w:pPr>
              <w:pStyle w:val="BodyText"/>
            </w:pPr>
            <w:r w:rsidRPr="003A3439">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3A3439">
            <w:pPr>
              <w:pStyle w:val="BodyText"/>
              <w:rPr>
                <w:lang w:val="en-NZ"/>
              </w:rPr>
            </w:pPr>
            <w:r w:rsidRPr="003A3439">
              <w:rPr>
                <w:rStyle w:val="SpecialBold"/>
              </w:rPr>
              <w:t>9.1)</w:t>
            </w:r>
          </w:p>
        </w:tc>
      </w:tr>
      <w:tr w:rsidTr="00ED5E2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A3439" w:rsidP="003A3439">
            <w:pPr>
              <w:pStyle w:val="BodyText"/>
            </w:pPr>
            <w:r w:rsidRPr="003A3439">
              <w:t xml:space="preserve">Longitudinal competency development approaches to assessment, such as Profiling, require data to be reliably gathered in a form that can be </w:t>
            </w:r>
            <w:r w:rsidRPr="003A3439">
              <w:t>consistently interpreted over time. This approach is best utilised in Apprenticeship programs and reduces assessment intervention. It is the industry-preferred model for apprenticeships. However, where summative (or final) assessment is used it is to inclu</w:t>
            </w:r>
            <w:r w:rsidRPr="003A3439">
              <w:t>de the application of the competency in the normal work environment or, at a minimum, the application of the competency in a realistically simulated work environment. In some circumstances, assessment in part or full can occur outside the workplace. Howeve</w:t>
            </w:r>
            <w:r w:rsidRPr="003A3439">
              <w:t>r, it must be in accordance with industry and regulatory policy.</w:t>
            </w:r>
          </w:p>
          <w:p w:rsidR="00000000" w:rsidRPr="003A3439" w:rsidP="003A3439">
            <w:pPr>
              <w:pStyle w:val="BodyText"/>
            </w:pPr>
            <w:r w:rsidRPr="003A3439">
              <w:t>Methods chosen for a particular assessment will be influenced by various factors. These include the extent of the assessment, the most effective locations for the assessment activities to tak</w:t>
            </w:r>
            <w:r w:rsidRPr="003A3439">
              <w:t>e place, access to physical resources, additional safety measures that may be required and the critical nature of the competencies being assessed.</w:t>
            </w:r>
          </w:p>
          <w:p w:rsidR="00000000" w:rsidRPr="003A3439" w:rsidP="003A3439">
            <w:pPr>
              <w:pStyle w:val="BodyText"/>
            </w:pPr>
            <w:r w:rsidRPr="003A3439">
              <w:t>The critical safety nature of working with electricity, electrical equipment, gas or any other hazardous subs</w:t>
            </w:r>
            <w:r w:rsidRPr="003A3439">
              <w:t>tance/material carries risk in deeming a person competent. Sources of evidence need to be ‘rich’ in nature to minimise error in judgment.</w:t>
            </w:r>
          </w:p>
          <w:p w:rsidR="00000000" w:rsidRPr="003A3439" w:rsidP="003A3439">
            <w:pPr>
              <w:pStyle w:val="BodyText"/>
            </w:pPr>
            <w:r w:rsidRPr="003A3439">
              <w:t>Activities associated with normal everyday work influence how/how much the data gathered will contribute to its ‘richn</w:t>
            </w:r>
            <w:r w:rsidRPr="003A3439">
              <w:t>ess’. Some skills are more critical to safety and operational requirements while the same skills may be more or less frequently practised. These points are raised for the assessors to consider when choosing an assessment method and developing assessment in</w:t>
            </w:r>
            <w:r w:rsidRPr="003A3439">
              <w:t>struments. Sample assessment instruments are included for Assessors in the Assessment Guidelines of this Training Package.</w:t>
            </w:r>
          </w:p>
        </w:tc>
      </w:tr>
    </w:tbl>
    <w:p w:rsidR="00000000" w:rsidRPr="003A3439" w:rsidP="003A3439">
      <w:pPr>
        <w:pStyle w:val="BodyText"/>
      </w:pPr>
    </w:p>
    <w:tbl>
      <w:tblPr>
        <w:tblW w:w="0" w:type="auto"/>
        <w:tblLayout w:type="fixed"/>
        <w:tblCellMar>
          <w:left w:w="62" w:type="dxa"/>
          <w:right w:w="62" w:type="dxa"/>
        </w:tblCellMar>
        <w:tblLook w:val="0000"/>
      </w:tblPr>
      <w:tblGrid>
        <w:gridCol w:w="1890"/>
        <w:gridCol w:w="1260"/>
        <w:gridCol w:w="5310"/>
      </w:tblGrid>
      <w:tr w:rsidTr="00ED5E2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3A3439" w:rsidP="003A3439">
            <w:pPr>
              <w:pStyle w:val="BodyText"/>
            </w:pPr>
            <w:r w:rsidRPr="003A3439">
              <w:rPr>
                <w:rStyle w:val="SpecialBold"/>
              </w:rPr>
              <w:t>Critical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3A3439">
            <w:pPr>
              <w:pStyle w:val="BodyText"/>
              <w:rPr>
                <w:lang w:val="en-NZ"/>
              </w:rPr>
            </w:pPr>
            <w:r w:rsidRPr="003A3439">
              <w:rPr>
                <w:rStyle w:val="SpecialBold"/>
              </w:rPr>
              <w:t>9.2)</w:t>
            </w:r>
          </w:p>
        </w:tc>
      </w:tr>
      <w:tr w:rsidTr="00ED5E2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3A3439" w:rsidP="003A3439">
            <w:pPr>
              <w:pStyle w:val="BodyText"/>
            </w:pPr>
            <w:r w:rsidRPr="003A3439">
              <w:t>Before the critical aspects of evidence are co</w:t>
            </w:r>
            <w:r w:rsidRPr="003A3439">
              <w:t>nsidered all prerequisites must be met.</w:t>
            </w:r>
          </w:p>
          <w:p w:rsidR="00000000" w:rsidRPr="003A3439" w:rsidP="003A3439">
            <w:pPr>
              <w:pStyle w:val="BodyText"/>
            </w:pPr>
            <w:r w:rsidRPr="003A3439">
              <w:t xml:space="preserve">Evidence for competence in this unit shall be considered holistically.  Each Element and associated performance criteria must be demonstrated on at least two occasions in accordance with the ‘Assessment Guidelines – </w:t>
            </w:r>
            <w:r w:rsidRPr="003A3439">
              <w:t>UEE11’.  Evidence shall also comprise:</w:t>
            </w:r>
          </w:p>
          <w:p w:rsidR="00000000" w:rsidRPr="003A3439" w:rsidP="003A3439">
            <w:pPr>
              <w:pStyle w:val="ListBullet"/>
            </w:pPr>
            <w:r w:rsidRPr="003A3439">
              <w:t>A representative body of performance criteria demonstrated within the timeframes typically expected of the discipline, work function and industrial environment. In particular this shall incorporate evidence that show</w:t>
            </w:r>
            <w:r w:rsidRPr="003A3439">
              <w:t>s a candidate is able to:</w:t>
            </w:r>
          </w:p>
          <w:p w:rsidR="00000000" w:rsidRPr="003A3439" w:rsidP="003A3439">
            <w:pPr>
              <w:pStyle w:val="ListBullet2"/>
            </w:pPr>
            <w:r w:rsidRPr="003A3439">
              <w:t>Implement Occupational Health and Safety workplace procedures and practices, including the use of risk control measures as specified in the performance criteria and range statement</w:t>
            </w:r>
          </w:p>
          <w:p w:rsidR="00000000" w:rsidRPr="003A3439" w:rsidP="003A3439">
            <w:pPr>
              <w:pStyle w:val="ListBullet2"/>
            </w:pPr>
            <w:r w:rsidRPr="003A3439">
              <w:t>Apply sustainable energy principles and practices as specified in the performance criteria and range statement</w:t>
            </w:r>
          </w:p>
          <w:p w:rsidR="00000000" w:rsidRPr="003A3439" w:rsidP="003A3439">
            <w:pPr>
              <w:pStyle w:val="ListBullet2"/>
            </w:pPr>
            <w:r w:rsidRPr="003A3439">
              <w:t xml:space="preserve">Demonstrate an understanding of the required skills and knowledge as described in this unit.  It may be required by some jurisdictions that RTOs </w:t>
            </w:r>
            <w:r w:rsidRPr="003A3439">
              <w:t>provide a percentile graded result for the purpose of regulatory or licensing requirements.</w:t>
            </w:r>
          </w:p>
          <w:p w:rsidR="00000000" w:rsidRPr="003A3439" w:rsidP="003A3439">
            <w:pPr>
              <w:pStyle w:val="ListBullet2"/>
            </w:pPr>
            <w:r w:rsidRPr="003A3439">
              <w:t>Demonstrate an appropriate level of skills enabling employment</w:t>
            </w:r>
          </w:p>
          <w:p w:rsidR="00000000" w:rsidRPr="003A3439" w:rsidP="003A3439">
            <w:pPr>
              <w:pStyle w:val="ListBullet2"/>
            </w:pPr>
            <w:r w:rsidRPr="003A3439">
              <w:t>Conduct work observing the relevant Anti Discrimination legislation, regulations, polices and workpla</w:t>
            </w:r>
            <w:r w:rsidRPr="003A3439">
              <w:t>ce procedures</w:t>
            </w:r>
          </w:p>
          <w:p w:rsidR="00000000" w:rsidRPr="003A3439" w:rsidP="003A3439">
            <w:pPr>
              <w:pStyle w:val="ListBullet"/>
            </w:pPr>
            <w:r w:rsidRPr="003A3439">
              <w:t>Demonstrated consistent performance across a representative range of contexts from the prescribed items below:</w:t>
            </w:r>
          </w:p>
          <w:p w:rsidR="00000000" w:rsidP="003A3439">
            <w:pPr>
              <w:pStyle w:val="ListBullet2"/>
              <w:rPr>
                <w:lang w:val="en-NZ"/>
              </w:rPr>
            </w:pPr>
            <w:r w:rsidRPr="003A3439">
              <w:t>Set up scientific analysis measuring and control instruments as listed as described in 8) and including:</w:t>
            </w:r>
          </w:p>
        </w:tc>
      </w:tr>
      <w:tr w:rsidTr="00ED5E28">
        <w:tblPrEx>
          <w:tblW w:w="0" w:type="auto"/>
          <w:tblLayout w:type="fixed"/>
          <w:tblCellMar>
            <w:left w:w="62" w:type="dxa"/>
            <w:right w:w="62" w:type="dxa"/>
          </w:tblCellMar>
          <w:tblLook w:val="0000"/>
        </w:tblPrEx>
        <w:trPr>
          <w:trHeight w:val="31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nil"/>
              <w:left w:val="nil"/>
              <w:bottom w:val="nil"/>
              <w:right w:val="nil"/>
            </w:tcBorders>
            <w:tcMar>
              <w:top w:w="0" w:type="dxa"/>
              <w:left w:w="62" w:type="dxa"/>
              <w:bottom w:w="0" w:type="dxa"/>
              <w:right w:w="62" w:type="dxa"/>
            </w:tcMar>
          </w:tcPr>
          <w:p w:rsidR="00000000" w:rsidP="003A3439">
            <w:pPr>
              <w:pStyle w:val="BodyText"/>
              <w:rPr>
                <w:lang w:val="en-NZ"/>
              </w:rPr>
            </w:pPr>
            <w:r w:rsidRPr="003A3439">
              <w:t>A</w:t>
            </w:r>
          </w:p>
        </w:tc>
        <w:tc>
          <w:tcPr>
            <w:tcW w:w="5310" w:type="dxa"/>
            <w:tcBorders>
              <w:top w:val="nil"/>
              <w:left w:val="nil"/>
              <w:bottom w:val="nil"/>
              <w:right w:val="nil"/>
            </w:tcBorders>
            <w:tcMar>
              <w:top w:w="0" w:type="dxa"/>
              <w:left w:w="62" w:type="dxa"/>
              <w:bottom w:w="0" w:type="dxa"/>
              <w:right w:w="62" w:type="dxa"/>
            </w:tcMar>
          </w:tcPr>
          <w:p w:rsidR="00000000" w:rsidP="003A3439">
            <w:pPr>
              <w:pStyle w:val="BodyText"/>
              <w:rPr>
                <w:lang w:val="en-NZ"/>
              </w:rPr>
            </w:pPr>
            <w:r w:rsidRPr="003A3439">
              <w:t>Identifying measurement parameters</w:t>
            </w:r>
          </w:p>
        </w:tc>
      </w:tr>
      <w:tr w:rsidTr="00ED5E2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nil"/>
              <w:left w:val="nil"/>
              <w:bottom w:val="nil"/>
              <w:right w:val="nil"/>
            </w:tcBorders>
            <w:tcMar>
              <w:top w:w="0" w:type="dxa"/>
              <w:left w:w="62" w:type="dxa"/>
              <w:bottom w:w="0" w:type="dxa"/>
              <w:right w:w="62" w:type="dxa"/>
            </w:tcMar>
          </w:tcPr>
          <w:p w:rsidR="00000000" w:rsidP="003A3439">
            <w:pPr>
              <w:pStyle w:val="BodyText"/>
              <w:rPr>
                <w:lang w:val="en-NZ"/>
              </w:rPr>
            </w:pPr>
            <w:r w:rsidRPr="003A3439">
              <w:t>B</w:t>
            </w:r>
          </w:p>
        </w:tc>
        <w:tc>
          <w:tcPr>
            <w:tcW w:w="5310" w:type="dxa"/>
            <w:tcBorders>
              <w:top w:val="nil"/>
              <w:left w:val="nil"/>
              <w:bottom w:val="nil"/>
              <w:right w:val="nil"/>
            </w:tcBorders>
            <w:tcMar>
              <w:top w:w="0" w:type="dxa"/>
              <w:left w:w="62" w:type="dxa"/>
              <w:bottom w:w="0" w:type="dxa"/>
              <w:right w:w="62" w:type="dxa"/>
            </w:tcMar>
          </w:tcPr>
          <w:p w:rsidR="00000000" w:rsidP="003A3439">
            <w:pPr>
              <w:pStyle w:val="BodyText"/>
              <w:rPr>
                <w:lang w:val="en-NZ"/>
              </w:rPr>
            </w:pPr>
            <w:r w:rsidRPr="003A3439">
              <w:t>Setting-up and adjusting in accordance with process requirements and instrument manufacturer’s service manual</w:t>
            </w:r>
          </w:p>
        </w:tc>
      </w:tr>
      <w:tr w:rsidTr="00ED5E2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nil"/>
              <w:left w:val="nil"/>
              <w:bottom w:val="nil"/>
              <w:right w:val="nil"/>
            </w:tcBorders>
            <w:tcMar>
              <w:top w:w="0" w:type="dxa"/>
              <w:left w:w="62" w:type="dxa"/>
              <w:bottom w:w="0" w:type="dxa"/>
              <w:right w:w="62" w:type="dxa"/>
            </w:tcMar>
          </w:tcPr>
          <w:p w:rsidR="00000000" w:rsidP="003A3439">
            <w:pPr>
              <w:pStyle w:val="BodyText"/>
              <w:rPr>
                <w:lang w:val="en-NZ"/>
              </w:rPr>
            </w:pPr>
            <w:r w:rsidRPr="003A3439">
              <w:t>C</w:t>
            </w:r>
          </w:p>
        </w:tc>
        <w:tc>
          <w:tcPr>
            <w:tcW w:w="5310" w:type="dxa"/>
            <w:tcBorders>
              <w:top w:val="nil"/>
              <w:left w:val="nil"/>
              <w:bottom w:val="nil"/>
              <w:right w:val="nil"/>
            </w:tcBorders>
            <w:tcMar>
              <w:top w:w="0" w:type="dxa"/>
              <w:left w:w="62" w:type="dxa"/>
              <w:bottom w:w="0" w:type="dxa"/>
              <w:right w:w="62" w:type="dxa"/>
            </w:tcMar>
          </w:tcPr>
          <w:p w:rsidR="00000000" w:rsidP="003A3439">
            <w:pPr>
              <w:pStyle w:val="BodyText"/>
              <w:rPr>
                <w:lang w:val="en-NZ"/>
              </w:rPr>
            </w:pPr>
            <w:r w:rsidRPr="003A3439">
              <w:t>Documenting adjustment settings with established procedures</w:t>
            </w:r>
          </w:p>
        </w:tc>
      </w:tr>
      <w:tr w:rsidTr="00ED5E2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nil"/>
              <w:left w:val="nil"/>
              <w:bottom w:val="nil"/>
              <w:right w:val="nil"/>
            </w:tcBorders>
            <w:tcMar>
              <w:top w:w="0" w:type="dxa"/>
              <w:left w:w="62" w:type="dxa"/>
              <w:bottom w:w="0" w:type="dxa"/>
              <w:right w:w="62" w:type="dxa"/>
            </w:tcMar>
          </w:tcPr>
          <w:p w:rsidR="00000000" w:rsidP="003A3439">
            <w:pPr>
              <w:pStyle w:val="BodyText"/>
              <w:rPr>
                <w:lang w:val="en-NZ"/>
              </w:rPr>
            </w:pPr>
            <w:r w:rsidRPr="003A3439">
              <w:t>D</w:t>
            </w:r>
          </w:p>
        </w:tc>
        <w:tc>
          <w:tcPr>
            <w:tcW w:w="5310" w:type="dxa"/>
            <w:tcBorders>
              <w:top w:val="nil"/>
              <w:left w:val="nil"/>
              <w:bottom w:val="nil"/>
              <w:right w:val="nil"/>
            </w:tcBorders>
            <w:tcMar>
              <w:top w:w="0" w:type="dxa"/>
              <w:left w:w="62" w:type="dxa"/>
              <w:bottom w:w="0" w:type="dxa"/>
              <w:right w:w="62" w:type="dxa"/>
            </w:tcMar>
          </w:tcPr>
          <w:p w:rsidR="00000000" w:rsidP="003A3439">
            <w:pPr>
              <w:pStyle w:val="BodyText"/>
              <w:rPr>
                <w:lang w:val="en-NZ"/>
              </w:rPr>
            </w:pPr>
            <w:r w:rsidRPr="003A3439">
              <w:t>Dealing with unplanned events by drawing on the required skills and knowledge to provide appropriate solutions incorporated in a holistic assessment with the above listed items</w:t>
            </w:r>
          </w:p>
        </w:tc>
      </w:tr>
      <w:tr w:rsidTr="00ED5E2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3A3439" w:rsidP="003A3439">
            <w:pPr>
              <w:pStyle w:val="BodyText"/>
            </w:pPr>
            <w:r w:rsidRPr="003A3439">
              <w:t xml:space="preserve">Note: </w:t>
            </w:r>
          </w:p>
          <w:p w:rsidR="00000000" w:rsidRPr="003A3439" w:rsidP="003A3439">
            <w:pPr>
              <w:pStyle w:val="BodyText"/>
            </w:pPr>
            <w:r w:rsidRPr="003A3439">
              <w:t>Successful completion of relevant vendor training may be used to contr</w:t>
            </w:r>
            <w:r w:rsidRPr="003A3439">
              <w:t>ibute to evidence on which competency is deemed. In these cases the alignment of outcomes of vendor training with performance criteria and critical aspects of evidence shall be clearly identified.</w:t>
            </w:r>
          </w:p>
        </w:tc>
      </w:tr>
    </w:tbl>
    <w:p w:rsidR="00000000" w:rsidRPr="003A3439" w:rsidP="003A3439">
      <w:pPr>
        <w:pStyle w:val="BodyText"/>
      </w:pPr>
    </w:p>
    <w:tbl>
      <w:tblPr>
        <w:tblW w:w="0" w:type="auto"/>
        <w:tblLayout w:type="fixed"/>
        <w:tblCellMar>
          <w:left w:w="62" w:type="dxa"/>
          <w:right w:w="62" w:type="dxa"/>
        </w:tblCellMar>
        <w:tblLook w:val="0000"/>
      </w:tblPr>
      <w:tblGrid>
        <w:gridCol w:w="1890"/>
        <w:gridCol w:w="6570"/>
      </w:tblGrid>
      <w:tr w:rsidTr="00ED5E28">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3A3439" w:rsidP="003A3439">
            <w:pPr>
              <w:pStyle w:val="BodyText"/>
            </w:pPr>
            <w:r w:rsidRPr="003A3439">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3A3439">
            <w:pPr>
              <w:pStyle w:val="BodyText"/>
              <w:rPr>
                <w:lang w:val="en-NZ"/>
              </w:rPr>
            </w:pPr>
            <w:r w:rsidRPr="003A3439">
              <w:rPr>
                <w:rStyle w:val="SpecialBold"/>
              </w:rPr>
              <w:t>9.3)</w:t>
            </w:r>
          </w:p>
        </w:tc>
      </w:tr>
      <w:tr w:rsidTr="00ED5E28">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A3439" w:rsidP="003A3439">
            <w:pPr>
              <w:pStyle w:val="BodyText"/>
            </w:pPr>
            <w:r w:rsidRPr="003A3439">
              <w:t>This unit must be assessed as it relates to normal work practice using procedures, information and resources typical of a workplace. This should include:</w:t>
            </w:r>
          </w:p>
          <w:p w:rsidR="00000000" w:rsidRPr="003A3439" w:rsidP="003A3439">
            <w:pPr>
              <w:pStyle w:val="ListBullet2"/>
            </w:pPr>
            <w:r w:rsidRPr="003A3439">
              <w:t>OHS policy and work procedures and instructions.</w:t>
            </w:r>
          </w:p>
          <w:p w:rsidR="00000000" w:rsidRPr="003A3439" w:rsidP="003A3439">
            <w:pPr>
              <w:pStyle w:val="ListBullet2"/>
            </w:pPr>
            <w:r w:rsidRPr="003A3439">
              <w:t>Suitable work environment, facilities, equipment and</w:t>
            </w:r>
            <w:r w:rsidRPr="003A3439">
              <w:t xml:space="preserve"> materials to undertake actual work as prescribed by this unit.</w:t>
            </w:r>
          </w:p>
          <w:p w:rsidR="00000000" w:rsidRPr="003A3439" w:rsidP="003A3439">
            <w:pPr>
              <w:pStyle w:val="BodyText"/>
            </w:pPr>
            <w:r w:rsidRPr="003A3439">
              <w:t>These should be part of the formal learning/assessment environment.</w:t>
            </w:r>
          </w:p>
          <w:p w:rsidR="00000000" w:rsidRPr="003A3439" w:rsidP="003A3439">
            <w:pPr>
              <w:pStyle w:val="BodyText"/>
            </w:pPr>
            <w:r w:rsidRPr="003A3439">
              <w:t>Note:</w:t>
            </w:r>
          </w:p>
          <w:p w:rsidR="00000000" w:rsidRPr="003A3439" w:rsidP="003A3439">
            <w:pPr>
              <w:pStyle w:val="BodyText"/>
            </w:pPr>
            <w:r w:rsidRPr="003A3439">
              <w:t>Where simulation is considered a suitable strategy for assessment, the conditions must be authentic and as far as poss</w:t>
            </w:r>
            <w:r w:rsidRPr="003A3439">
              <w:t>ible reproduce and replicate the workplace and be consistent with the approved industry simulation policy.</w:t>
            </w:r>
          </w:p>
          <w:p w:rsidR="00000000" w:rsidRPr="003A3439" w:rsidP="003A3439">
            <w:pPr>
              <w:pStyle w:val="BodyText"/>
            </w:pPr>
            <w:r w:rsidRPr="003A3439">
              <w:t>In addition to the resources listed above, evidence should show demonstrated competency setting up process measuring and control instruments for scie</w:t>
            </w:r>
            <w:r w:rsidRPr="003A3439">
              <w:t>ntific analysis.</w:t>
            </w:r>
          </w:p>
        </w:tc>
      </w:tr>
    </w:tbl>
    <w:p w:rsidR="00000000" w:rsidRPr="003A3439" w:rsidP="003A3439">
      <w:pPr>
        <w:pStyle w:val="BodyText"/>
      </w:pPr>
    </w:p>
    <w:tbl>
      <w:tblPr>
        <w:tblW w:w="0" w:type="auto"/>
        <w:tblLayout w:type="fixed"/>
        <w:tblCellMar>
          <w:left w:w="62" w:type="dxa"/>
          <w:right w:w="62" w:type="dxa"/>
        </w:tblCellMar>
        <w:tblLook w:val="0000"/>
      </w:tblPr>
      <w:tblGrid>
        <w:gridCol w:w="1890"/>
        <w:gridCol w:w="6570"/>
      </w:tblGrid>
      <w:tr w:rsidTr="00ED5E2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3A3439" w:rsidP="003A3439">
            <w:pPr>
              <w:pStyle w:val="BodyText"/>
            </w:pPr>
            <w:r w:rsidRPr="003A3439">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3A3439">
            <w:pPr>
              <w:pStyle w:val="BodyText"/>
              <w:rPr>
                <w:lang w:val="en-NZ"/>
              </w:rPr>
            </w:pPr>
            <w:r w:rsidRPr="003A3439">
              <w:rPr>
                <w:rStyle w:val="SpecialBold"/>
              </w:rPr>
              <w:t>9.4)</w:t>
            </w:r>
          </w:p>
        </w:tc>
      </w:tr>
      <w:tr w:rsidTr="00ED5E2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A3439" w:rsidP="003A3439">
            <w:pPr>
              <w:pStyle w:val="BodyText"/>
            </w:pPr>
            <w:r w:rsidRPr="003A3439">
              <w:t>This unit shall be assessed by methods given in Volume 1, Part 3 ‘Assessment Guidelines’.</w:t>
            </w:r>
          </w:p>
          <w:p w:rsidR="00000000" w:rsidRPr="003A3439" w:rsidP="003A3439">
            <w:pPr>
              <w:pStyle w:val="BodyText"/>
            </w:pPr>
            <w:r w:rsidRPr="003A3439">
              <w:t xml:space="preserve">Note: </w:t>
            </w:r>
          </w:p>
          <w:p w:rsidR="00000000" w:rsidRPr="003A3439" w:rsidP="003A3439">
            <w:pPr>
              <w:pStyle w:val="BodyText"/>
            </w:pPr>
            <w:r w:rsidRPr="003A3439">
              <w:t>Competent performance with inherent safe working practices is expected in the Industry to which this unit applies. This requires assessment in a structured environment which is intended primarily for learning/assessment and incorporates all necessary equip</w:t>
            </w:r>
            <w:r w:rsidRPr="003A3439">
              <w:t>ment and facilities for learners to develop and demonstrate the required skills and knowledge described in this unit.</w:t>
            </w:r>
          </w:p>
        </w:tc>
      </w:tr>
    </w:tbl>
    <w:p w:rsidR="00000000" w:rsidRPr="003A3439" w:rsidP="003A3439">
      <w:pPr>
        <w:pStyle w:val="BodyText"/>
      </w:pPr>
    </w:p>
    <w:tbl>
      <w:tblPr>
        <w:tblW w:w="0" w:type="auto"/>
        <w:tblLayout w:type="fixed"/>
        <w:tblCellMar>
          <w:left w:w="62" w:type="dxa"/>
          <w:right w:w="62" w:type="dxa"/>
        </w:tblCellMar>
        <w:tblLook w:val="0000"/>
      </w:tblPr>
      <w:tblGrid>
        <w:gridCol w:w="1890"/>
        <w:gridCol w:w="6570"/>
      </w:tblGrid>
      <w:tr w:rsidTr="00ED5E2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3A3439" w:rsidP="003A3439">
            <w:pPr>
              <w:pStyle w:val="BodyText"/>
            </w:pPr>
            <w:r w:rsidRPr="003A3439">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3A3439">
            <w:pPr>
              <w:pStyle w:val="BodyText"/>
              <w:rPr>
                <w:lang w:val="en-NZ"/>
              </w:rPr>
            </w:pPr>
            <w:r w:rsidRPr="003A3439">
              <w:rPr>
                <w:rStyle w:val="SpecialBold"/>
              </w:rPr>
              <w:t>9.5)</w:t>
            </w:r>
          </w:p>
        </w:tc>
      </w:tr>
      <w:tr w:rsidTr="00ED5E2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A3439" w:rsidP="003A3439">
            <w:pPr>
              <w:pStyle w:val="BodyText"/>
            </w:pPr>
            <w:r w:rsidRPr="003A3439">
              <w:t>There are no concurrent assessment recommendations for this unit</w:t>
            </w:r>
          </w:p>
        </w:tc>
      </w:tr>
    </w:tbl>
    <w:p w:rsidR="00000000" w:rsidRPr="003A3439" w:rsidP="003A3439">
      <w:pPr>
        <w:pStyle w:val="BodyText"/>
      </w:pPr>
    </w:p>
    <w:p w:rsidR="00000000" w:rsidRPr="003A3439" w:rsidP="003A3439">
      <w:pPr>
        <w:pStyle w:val="AllowPageBreak"/>
      </w:pPr>
    </w:p>
    <w:p w:rsidR="00000000" w:rsidRPr="003A3439" w:rsidP="003A3439">
      <w:pPr>
        <w:pStyle w:val="Heading1"/>
      </w:pPr>
      <w:bookmarkStart w:id="11" w:name="O_533973"/>
      <w:bookmarkEnd w:id="11"/>
      <w:r w:rsidRPr="003A3439">
        <w:t>Range Statement</w:t>
      </w:r>
    </w:p>
    <w:tbl>
      <w:tblPr>
        <w:tblW w:w="0" w:type="auto"/>
        <w:tblLayout w:type="fixed"/>
        <w:tblCellMar>
          <w:left w:w="62" w:type="dxa"/>
          <w:right w:w="62" w:type="dxa"/>
        </w:tblCellMar>
        <w:tblLook w:val="0000"/>
      </w:tblPr>
      <w:tblGrid>
        <w:gridCol w:w="8460"/>
      </w:tblGrid>
      <w:tr w:rsidTr="00ED5E2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A3439">
            <w:pPr>
              <w:pStyle w:val="BodyText"/>
              <w:rPr>
                <w:lang w:val="en-NZ"/>
              </w:rPr>
            </w:pPr>
            <w:r w:rsidRPr="003A3439">
              <w:rPr>
                <w:rStyle w:val="SpecialBold"/>
              </w:rPr>
              <w:t>RANGE STATEMENT</w:t>
            </w:r>
          </w:p>
        </w:tc>
      </w:tr>
      <w:tr w:rsidTr="00ED5E2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3A3439" w:rsidP="003A3439">
            <w:pPr>
              <w:pStyle w:val="BodyText"/>
            </w:pPr>
            <w:r w:rsidRPr="003A3439">
              <w:rPr>
                <w:rStyle w:val="SpecialBold"/>
              </w:rPr>
              <w:t>10)</w:t>
            </w:r>
            <w:r w:rsidRPr="003A3439">
              <w:t xml:space="preserve"> This relates to the unit as a whole providing the range of contexts and conditions to which the performance criteria apply. It allows for different work environments and situations that will affect perfo</w:t>
            </w:r>
            <w:r w:rsidRPr="003A3439">
              <w:t>rmance.</w:t>
            </w:r>
          </w:p>
          <w:p w:rsidR="00000000" w:rsidRPr="003A3439" w:rsidP="003A3439">
            <w:pPr>
              <w:pStyle w:val="BodyText"/>
            </w:pPr>
            <w:r w:rsidRPr="003A3439">
              <w:t>This unit must be demonstrated in relation to setting up and adjusting two different types of scientific analysis measuring instruments.</w:t>
            </w:r>
          </w:p>
          <w:p w:rsidR="00000000" w:rsidRPr="003A3439" w:rsidP="003A3439">
            <w:pPr>
              <w:pStyle w:val="BodyText"/>
            </w:pPr>
            <w:r w:rsidRPr="003A3439">
              <w:t>Generic terms used throughout this Vocational Standard shall be regarded as part of the Range Statement in whic</w:t>
            </w:r>
            <w:r w:rsidRPr="003A3439">
              <w:t>h competency is demonstrated. The definition of these and other terms that apply are given in Volume 2, Part 2.1.</w:t>
            </w:r>
          </w:p>
        </w:tc>
      </w:tr>
    </w:tbl>
    <w:p w:rsidR="00000000" w:rsidRPr="003A3439" w:rsidP="003A3439">
      <w:pPr>
        <w:pStyle w:val="BodyText"/>
      </w:pPr>
    </w:p>
    <w:p w:rsidR="00000000" w:rsidRPr="003A3439" w:rsidP="003A3439">
      <w:pPr>
        <w:pStyle w:val="AllowPageBreak"/>
      </w:pPr>
    </w:p>
    <w:p w:rsidR="00000000" w:rsidRPr="003A3439" w:rsidP="003A3439">
      <w:pPr>
        <w:pStyle w:val="Heading1"/>
      </w:pPr>
      <w:bookmarkStart w:id="12" w:name="O_533972"/>
      <w:bookmarkEnd w:id="12"/>
      <w:r w:rsidRPr="003A3439">
        <w:t>Unit Sector(s)</w:t>
      </w:r>
    </w:p>
    <w:p w:rsidR="00000000" w:rsidRPr="003A3439" w:rsidP="003A3439">
      <w:pPr>
        <w:pStyle w:val="BodyText"/>
      </w:pPr>
      <w:r w:rsidRPr="003A3439">
        <w:t>Not applicable.</w:t>
      </w:r>
    </w:p>
    <w:p w:rsidR="00000000" w:rsidRPr="003A3439" w:rsidP="003A3439">
      <w:pPr>
        <w:pStyle w:val="AllowPageBreak"/>
      </w:pPr>
    </w:p>
    <w:p w:rsidR="00000000" w:rsidRPr="003A3439" w:rsidP="003A3439">
      <w:pPr>
        <w:pStyle w:val="Heading1"/>
      </w:pPr>
      <w:bookmarkStart w:id="13" w:name="O_533971"/>
      <w:bookmarkEnd w:id="13"/>
      <w:r w:rsidRPr="003A3439">
        <w:t>Competency Field</w:t>
      </w:r>
    </w:p>
    <w:tbl>
      <w:tblPr>
        <w:tblW w:w="0" w:type="auto"/>
        <w:tblLayout w:type="fixed"/>
        <w:tblCellMar>
          <w:left w:w="62" w:type="dxa"/>
          <w:right w:w="62" w:type="dxa"/>
        </w:tblCellMar>
        <w:tblLook w:val="0000"/>
      </w:tblPr>
      <w:tblGrid>
        <w:gridCol w:w="2700"/>
        <w:gridCol w:w="5760"/>
      </w:tblGrid>
      <w:tr w:rsidTr="00ED5E2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A3439" w:rsidP="003A3439">
            <w:pPr>
              <w:pStyle w:val="BodyText"/>
            </w:pPr>
            <w:r w:rsidRPr="003A3439">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3A3439">
            <w:pPr>
              <w:pStyle w:val="BodyText"/>
              <w:rPr>
                <w:lang w:val="en-NZ"/>
              </w:rPr>
            </w:pPr>
            <w:r w:rsidRPr="003A3439">
              <w:rPr>
                <w:rStyle w:val="SpecialBold"/>
              </w:rPr>
              <w:t xml:space="preserve">11) </w:t>
            </w:r>
          </w:p>
        </w:tc>
      </w:tr>
      <w:tr w:rsidTr="00ED5E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A3439" w:rsidP="003A3439">
            <w:pPr>
              <w:pStyle w:val="BodyText"/>
            </w:pPr>
            <w:r w:rsidRPr="003A3439">
              <w:t>Instrumentation and Control</w:t>
            </w:r>
          </w:p>
        </w:tc>
      </w:tr>
    </w:tbl>
    <w:p w:rsidR="00000000" w:rsidRPr="003A3439" w:rsidP="003A3439">
      <w:pPr>
        <w:pStyle w:val="BodyText"/>
      </w:pPr>
    </w:p>
    <w:p w:rsidR="00000000" w:rsidRPr="003A3439" w:rsidP="003A3439"/>
    <w:sectPr w:rsidSect="003A343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4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439" w:rsidRPr="00ED5E28" w:rsidP="00ED5E2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4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E28" w:rsidP="003A343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ED5E28" w:rsidP="003A343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EE-Oz Training Standards</w:t>
    </w:r>
    <w:r>
      <w:fldChar w:fldCharType="end"/>
    </w:r>
  </w:p>
  <w:p w:rsidR="00ED5E28" w:rsidP="003A343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4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439" w:rsidRPr="00ED5E28" w:rsidP="00ED5E2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4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E28" w:rsidRPr="002D2AF8" w:rsidP="003A3439">
    <w:pPr>
      <w:pStyle w:val="Header"/>
      <w:framePr w:wrap="around"/>
    </w:pPr>
    <w:r>
      <w:fldChar w:fldCharType="begin"/>
    </w:r>
    <w:r>
      <w:instrText xml:space="preserve"> TITLE   \* MERGEFORMAT </w:instrText>
    </w:r>
    <w:r>
      <w:fldChar w:fldCharType="separate"/>
    </w:r>
    <w:r>
      <w:t>UEENEEI133A Set up scientific analysis measuring and control instruments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March 2013</w:t>
    </w:r>
    <w:r>
      <w:fldChar w:fldCharType="end"/>
    </w:r>
  </w:p>
  <w:p w:rsidR="00ED5E28" w:rsidP="003A343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2585C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E9438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19022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343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A3439"/>
    <w:pPr>
      <w:spacing w:before="360" w:after="60"/>
      <w:outlineLvl w:val="0"/>
    </w:pPr>
    <w:rPr>
      <w:sz w:val="32"/>
    </w:rPr>
  </w:style>
  <w:style w:type="paragraph" w:styleId="Heading2">
    <w:name w:val="heading 2"/>
    <w:basedOn w:val="HeadingBase"/>
    <w:next w:val="BodyText"/>
    <w:link w:val="Heading2Char"/>
    <w:qFormat/>
    <w:rsid w:val="003A3439"/>
    <w:pPr>
      <w:keepLines/>
      <w:spacing w:before="240" w:after="120"/>
      <w:outlineLvl w:val="1"/>
    </w:pPr>
    <w:rPr>
      <w:sz w:val="28"/>
      <w:szCs w:val="40"/>
    </w:rPr>
  </w:style>
  <w:style w:type="paragraph" w:styleId="Heading3">
    <w:name w:val="heading 3"/>
    <w:basedOn w:val="HeadingBase"/>
    <w:next w:val="BodyText"/>
    <w:link w:val="Heading3Char"/>
    <w:qFormat/>
    <w:rsid w:val="003A3439"/>
    <w:pPr>
      <w:spacing w:before="180" w:after="120"/>
      <w:outlineLvl w:val="2"/>
    </w:pPr>
    <w:rPr>
      <w:spacing w:val="-10"/>
      <w:kern w:val="32"/>
    </w:rPr>
  </w:style>
  <w:style w:type="paragraph" w:styleId="Heading4">
    <w:name w:val="heading 4"/>
    <w:basedOn w:val="HeadingBase"/>
    <w:next w:val="BodyText"/>
    <w:link w:val="Heading4Char"/>
    <w:qFormat/>
    <w:rsid w:val="003A3439"/>
    <w:pPr>
      <w:spacing w:before="160" w:after="120"/>
      <w:outlineLvl w:val="3"/>
    </w:pPr>
    <w:rPr>
      <w:sz w:val="22"/>
    </w:rPr>
  </w:style>
  <w:style w:type="paragraph" w:styleId="Heading5">
    <w:name w:val="heading 5"/>
    <w:basedOn w:val="HeadingBase"/>
    <w:next w:val="Normal"/>
    <w:link w:val="Heading5Char"/>
    <w:qFormat/>
    <w:rsid w:val="003A3439"/>
    <w:pPr>
      <w:spacing w:before="80"/>
      <w:outlineLvl w:val="4"/>
    </w:pPr>
    <w:rPr>
      <w:color w:val="918585"/>
      <w:sz w:val="20"/>
    </w:rPr>
  </w:style>
  <w:style w:type="paragraph" w:styleId="Heading6">
    <w:name w:val="heading 6"/>
    <w:basedOn w:val="HeadingBase"/>
    <w:next w:val="Normal"/>
    <w:link w:val="Heading6Char"/>
    <w:qFormat/>
    <w:rsid w:val="003A3439"/>
    <w:pPr>
      <w:spacing w:before="60"/>
      <w:outlineLvl w:val="5"/>
    </w:pPr>
    <w:rPr>
      <w:color w:val="918585"/>
      <w:sz w:val="20"/>
    </w:rPr>
  </w:style>
  <w:style w:type="paragraph" w:styleId="Heading7">
    <w:name w:val="heading 7"/>
    <w:basedOn w:val="Normal"/>
    <w:next w:val="Normal"/>
    <w:link w:val="Heading7Char"/>
    <w:qFormat/>
    <w:rsid w:val="003A3439"/>
    <w:pPr>
      <w:ind w:left="720"/>
      <w:outlineLvl w:val="6"/>
    </w:pPr>
    <w:rPr>
      <w:i/>
    </w:rPr>
  </w:style>
  <w:style w:type="paragraph" w:styleId="Heading8">
    <w:name w:val="heading 8"/>
    <w:basedOn w:val="Normal"/>
    <w:next w:val="Normal"/>
    <w:link w:val="Heading8Char"/>
    <w:qFormat/>
    <w:rsid w:val="003A3439"/>
    <w:pPr>
      <w:ind w:left="720"/>
      <w:outlineLvl w:val="7"/>
    </w:pPr>
    <w:rPr>
      <w:i/>
    </w:rPr>
  </w:style>
  <w:style w:type="paragraph" w:styleId="Heading9">
    <w:name w:val="heading 9"/>
    <w:basedOn w:val="Normal"/>
    <w:next w:val="Normal"/>
    <w:link w:val="Heading9Char"/>
    <w:qFormat/>
    <w:rsid w:val="003A3439"/>
    <w:pPr>
      <w:ind w:left="720"/>
      <w:outlineLvl w:val="8"/>
    </w:pPr>
    <w:rPr>
      <w:i/>
    </w:rPr>
  </w:style>
  <w:style w:type="character" w:default="1" w:styleId="DefaultParagraphFont">
    <w:name w:val="Default Paragraph Font"/>
    <w:uiPriority w:val="1"/>
    <w:unhideWhenUsed/>
    <w:rsid w:val="003A34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3439"/>
  </w:style>
  <w:style w:type="character" w:customStyle="1" w:styleId="Heading1Char">
    <w:name w:val="Heading 1 Char"/>
    <w:basedOn w:val="DefaultParagraphFont"/>
    <w:link w:val="Heading1"/>
    <w:rsid w:val="003A3439"/>
    <w:rPr>
      <w:rFonts w:ascii="Times New Roman" w:eastAsia="Times New Roman" w:hAnsi="Times New Roman" w:cs="Times New Roman"/>
      <w:b/>
      <w:sz w:val="32"/>
      <w:szCs w:val="20"/>
      <w:lang w:eastAsia="en-US"/>
    </w:rPr>
  </w:style>
  <w:style w:type="paragraph" w:styleId="BodyText">
    <w:name w:val="Body Text"/>
    <w:basedOn w:val="Normal"/>
    <w:link w:val="BodyTextChar"/>
    <w:rsid w:val="003A343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A3439"/>
    <w:rPr>
      <w:rFonts w:ascii="Times New Roman" w:eastAsia="Times New Roman" w:hAnsi="Times New Roman" w:cs="Times New Roman"/>
      <w:sz w:val="24"/>
      <w:lang w:eastAsia="en-US"/>
    </w:rPr>
  </w:style>
  <w:style w:type="paragraph" w:styleId="ListBullet">
    <w:name w:val="List Bullet"/>
    <w:basedOn w:val="List"/>
    <w:rsid w:val="003A3439"/>
    <w:pPr>
      <w:numPr>
        <w:numId w:val="13"/>
      </w:numPr>
      <w:tabs>
        <w:tab w:val="clear" w:pos="340"/>
      </w:tabs>
      <w:spacing w:before="40" w:after="40"/>
    </w:pPr>
  </w:style>
  <w:style w:type="character" w:customStyle="1" w:styleId="SpecialBold">
    <w:name w:val="Special Bold"/>
    <w:basedOn w:val="DefaultParagraphFont"/>
    <w:rsid w:val="003A3439"/>
    <w:rPr>
      <w:b/>
      <w:spacing w:val="0"/>
    </w:rPr>
  </w:style>
  <w:style w:type="paragraph" w:styleId="ListBullet2">
    <w:name w:val="List Bullet 2"/>
    <w:basedOn w:val="List2"/>
    <w:rsid w:val="003A3439"/>
    <w:pPr>
      <w:numPr>
        <w:numId w:val="14"/>
      </w:numPr>
      <w:tabs>
        <w:tab w:val="clear" w:pos="680"/>
      </w:tabs>
    </w:pPr>
  </w:style>
  <w:style w:type="paragraph" w:customStyle="1" w:styleId="SuperHeading">
    <w:name w:val="SuperHeading"/>
    <w:basedOn w:val="Normal"/>
    <w:rsid w:val="003A3439"/>
    <w:pPr>
      <w:spacing w:before="240" w:after="120"/>
      <w:outlineLvl w:val="0"/>
    </w:pPr>
    <w:rPr>
      <w:rFonts w:ascii="Times New Roman" w:hAnsi="Times New Roman"/>
      <w:b/>
      <w:sz w:val="32"/>
    </w:rPr>
  </w:style>
  <w:style w:type="paragraph" w:customStyle="1" w:styleId="AllowPageBreak">
    <w:name w:val="AllowPageBreak"/>
    <w:rsid w:val="003A343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A343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343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343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34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34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343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A343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A3439"/>
    <w:rPr>
      <w:rFonts w:ascii="Courier New" w:eastAsia="Times New Roman" w:hAnsi="Courier New" w:cs="Times New Roman"/>
      <w:i/>
      <w:szCs w:val="20"/>
      <w:lang w:eastAsia="en-US"/>
    </w:rPr>
  </w:style>
  <w:style w:type="paragraph" w:customStyle="1" w:styleId="HeadingBase">
    <w:name w:val="Heading Base"/>
    <w:rsid w:val="003A34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3439"/>
    <w:pPr>
      <w:tabs>
        <w:tab w:val="right" w:leader="dot" w:pos="9072"/>
      </w:tabs>
      <w:ind w:left="567"/>
    </w:pPr>
    <w:rPr>
      <w:szCs w:val="22"/>
    </w:rPr>
  </w:style>
  <w:style w:type="paragraph" w:customStyle="1" w:styleId="TOCBase">
    <w:name w:val="TOC Base"/>
    <w:rsid w:val="003A34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3439"/>
    <w:pPr>
      <w:tabs>
        <w:tab w:val="right" w:leader="dot" w:pos="9072"/>
      </w:tabs>
      <w:spacing w:before="40" w:after="40"/>
      <w:ind w:left="284"/>
    </w:pPr>
    <w:rPr>
      <w:rFonts w:ascii="Times New Roman" w:hAnsi="Times New Roman"/>
    </w:rPr>
  </w:style>
  <w:style w:type="paragraph" w:styleId="TOC1">
    <w:name w:val="toc 1"/>
    <w:basedOn w:val="TOCBase"/>
    <w:next w:val="Normal"/>
    <w:rsid w:val="003A343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A34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3439"/>
    <w:rPr>
      <w:rFonts w:ascii="Times New Roman" w:eastAsia="Times New Roman" w:hAnsi="Times New Roman" w:cs="Times New Roman"/>
      <w:sz w:val="16"/>
      <w:lang w:eastAsia="en-US"/>
    </w:rPr>
  </w:style>
  <w:style w:type="paragraph" w:styleId="Title">
    <w:name w:val="Title"/>
    <w:basedOn w:val="HeadingBase"/>
    <w:link w:val="TitleChar"/>
    <w:qFormat/>
    <w:rsid w:val="003A3439"/>
    <w:pPr>
      <w:spacing w:before="5040"/>
      <w:jc w:val="center"/>
    </w:pPr>
    <w:rPr>
      <w:sz w:val="48"/>
      <w:szCs w:val="72"/>
      <w:lang w:val="en-US"/>
    </w:rPr>
  </w:style>
  <w:style w:type="character" w:customStyle="1" w:styleId="TitleChar">
    <w:name w:val="Title Char"/>
    <w:basedOn w:val="DefaultParagraphFont"/>
    <w:link w:val="Title"/>
    <w:rsid w:val="003A34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3439"/>
    <w:pPr>
      <w:tabs>
        <w:tab w:val="left" w:pos="3600"/>
        <w:tab w:val="left" w:pos="3958"/>
      </w:tabs>
    </w:pPr>
  </w:style>
  <w:style w:type="paragraph" w:styleId="List">
    <w:name w:val="List"/>
    <w:basedOn w:val="BodyText"/>
    <w:next w:val="BodyText"/>
    <w:rsid w:val="003A3439"/>
    <w:pPr>
      <w:tabs>
        <w:tab w:val="left" w:pos="340"/>
      </w:tabs>
      <w:spacing w:before="60" w:after="60"/>
      <w:ind w:left="340" w:hanging="340"/>
    </w:pPr>
  </w:style>
  <w:style w:type="paragraph" w:customStyle="1" w:styleId="Note">
    <w:name w:val="Note"/>
    <w:basedOn w:val="BodyText"/>
    <w:rsid w:val="003A343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A3439"/>
    <w:pPr>
      <w:framePr w:wrap="auto" w:hAnchor="text" w:y="6049"/>
    </w:pPr>
    <w:rPr>
      <w:color w:val="000000"/>
      <w:sz w:val="40"/>
    </w:rPr>
  </w:style>
  <w:style w:type="paragraph" w:customStyle="1" w:styleId="TOCTitle">
    <w:name w:val="TOCTitle"/>
    <w:basedOn w:val="Heading1"/>
    <w:rsid w:val="003A3439"/>
    <w:pPr>
      <w:spacing w:after="240"/>
      <w:jc w:val="center"/>
      <w:outlineLvl w:val="9"/>
    </w:pPr>
    <w:rPr>
      <w:caps/>
    </w:rPr>
  </w:style>
  <w:style w:type="paragraph" w:customStyle="1" w:styleId="Version">
    <w:name w:val="Version"/>
    <w:rsid w:val="003A343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A3439"/>
    <w:pPr>
      <w:keepNext w:val="0"/>
      <w:tabs>
        <w:tab w:val="right" w:pos="4176"/>
      </w:tabs>
      <w:ind w:left="198" w:hanging="198"/>
    </w:pPr>
    <w:rPr>
      <w:rFonts w:ascii="Garamond" w:hAnsi="Garamond"/>
    </w:rPr>
  </w:style>
  <w:style w:type="paragraph" w:styleId="IndexHeading">
    <w:name w:val="index heading"/>
    <w:basedOn w:val="Normal"/>
    <w:next w:val="Index1"/>
    <w:semiHidden/>
    <w:rsid w:val="003A3439"/>
    <w:pPr>
      <w:spacing w:before="120" w:after="120"/>
    </w:pPr>
    <w:rPr>
      <w:rFonts w:ascii="Arial" w:hAnsi="Arial"/>
      <w:b/>
      <w:color w:val="918585"/>
      <w:sz w:val="24"/>
    </w:rPr>
  </w:style>
  <w:style w:type="paragraph" w:styleId="Header">
    <w:name w:val="header"/>
    <w:basedOn w:val="Normal"/>
    <w:link w:val="HeaderChar"/>
    <w:rsid w:val="003A34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3439"/>
    <w:rPr>
      <w:rFonts w:ascii="Times New Roman" w:eastAsia="Times New Roman" w:hAnsi="Times New Roman" w:cs="Times New Roman"/>
      <w:sz w:val="16"/>
      <w:szCs w:val="20"/>
      <w:lang w:val="en-GB" w:eastAsia="en-US"/>
    </w:rPr>
  </w:style>
  <w:style w:type="paragraph" w:customStyle="1" w:styleId="Chapter">
    <w:name w:val="Chapter"/>
    <w:basedOn w:val="Normal"/>
    <w:rsid w:val="003A3439"/>
    <w:pPr>
      <w:spacing w:before="240"/>
    </w:pPr>
    <w:rPr>
      <w:rFonts w:ascii="Times New Roman" w:hAnsi="Times New Roman"/>
      <w:smallCaps/>
      <w:spacing w:val="80"/>
      <w:sz w:val="28"/>
    </w:rPr>
  </w:style>
  <w:style w:type="paragraph" w:customStyle="1" w:styleId="InChapter">
    <w:name w:val="InChapter"/>
    <w:basedOn w:val="Heading3"/>
    <w:rsid w:val="003A3439"/>
    <w:pPr>
      <w:spacing w:after="240"/>
      <w:outlineLvl w:val="9"/>
    </w:pPr>
    <w:rPr>
      <w:noProof/>
    </w:rPr>
  </w:style>
  <w:style w:type="paragraph" w:styleId="Index2">
    <w:name w:val="index 2"/>
    <w:basedOn w:val="Normal"/>
    <w:next w:val="Normal"/>
    <w:semiHidden/>
    <w:rsid w:val="003A3439"/>
    <w:pPr>
      <w:tabs>
        <w:tab w:val="right" w:pos="4176"/>
      </w:tabs>
      <w:ind w:left="568" w:hanging="284"/>
    </w:pPr>
    <w:rPr>
      <w:rFonts w:ascii="Garamond" w:hAnsi="Garamond"/>
    </w:rPr>
  </w:style>
  <w:style w:type="paragraph" w:customStyle="1" w:styleId="Byline">
    <w:name w:val="Byline"/>
    <w:rsid w:val="003A34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3439"/>
    <w:pPr>
      <w:tabs>
        <w:tab w:val="clear" w:pos="3600"/>
        <w:tab w:val="clear" w:pos="3958"/>
      </w:tabs>
      <w:jc w:val="right"/>
    </w:pPr>
  </w:style>
  <w:style w:type="character" w:styleId="Emphasis">
    <w:name w:val="Emphasis"/>
    <w:basedOn w:val="DefaultParagraphFont"/>
    <w:qFormat/>
    <w:rsid w:val="003A3439"/>
    <w:rPr>
      <w:i/>
    </w:rPr>
  </w:style>
  <w:style w:type="paragraph" w:styleId="Caption">
    <w:name w:val="caption"/>
    <w:basedOn w:val="BodyText"/>
    <w:next w:val="Normal"/>
    <w:qFormat/>
    <w:rsid w:val="003A3439"/>
    <w:pPr>
      <w:framePr w:w="2268" w:hSpace="181" w:vSpace="181" w:wrap="around" w:vAnchor="text" w:hAnchor="page" w:x="1135" w:y="285" w:anchorLock="1"/>
    </w:pPr>
    <w:rPr>
      <w:i/>
    </w:rPr>
  </w:style>
  <w:style w:type="paragraph" w:customStyle="1" w:styleId="MiniTOCTitle">
    <w:name w:val="MiniTOCTitle"/>
    <w:basedOn w:val="Heading4"/>
    <w:rsid w:val="003A3439"/>
    <w:pPr>
      <w:spacing w:before="240"/>
      <w:outlineLvl w:val="9"/>
    </w:pPr>
    <w:rPr>
      <w:noProof/>
      <w:sz w:val="24"/>
    </w:rPr>
  </w:style>
  <w:style w:type="paragraph" w:customStyle="1" w:styleId="MiniTOCItem">
    <w:name w:val="MiniTOCItem"/>
    <w:basedOn w:val="ListBullet"/>
    <w:rsid w:val="003A3439"/>
    <w:pPr>
      <w:numPr>
        <w:numId w:val="0"/>
      </w:numPr>
      <w:tabs>
        <w:tab w:val="right" w:leader="dot" w:pos="6521"/>
      </w:tabs>
      <w:spacing w:before="0" w:after="0"/>
    </w:pPr>
  </w:style>
  <w:style w:type="paragraph" w:customStyle="1" w:styleId="TOFTitle">
    <w:name w:val="TOFTitle"/>
    <w:basedOn w:val="TOCTitle"/>
    <w:rsid w:val="003A3439"/>
  </w:style>
  <w:style w:type="paragraph" w:styleId="TableofFigures">
    <w:name w:val="table of figures"/>
    <w:basedOn w:val="Normal"/>
    <w:next w:val="Normal"/>
    <w:semiHidden/>
    <w:rsid w:val="003A3439"/>
    <w:pPr>
      <w:tabs>
        <w:tab w:val="right" w:leader="dot" w:pos="9072"/>
      </w:tabs>
      <w:ind w:left="970" w:hanging="403"/>
    </w:pPr>
    <w:rPr>
      <w:rFonts w:ascii="Times New Roman" w:hAnsi="Times New Roman"/>
      <w:b/>
    </w:rPr>
  </w:style>
  <w:style w:type="paragraph" w:styleId="ListNumber">
    <w:name w:val="List Number"/>
    <w:basedOn w:val="List"/>
    <w:rsid w:val="003A3439"/>
    <w:pPr>
      <w:numPr>
        <w:numId w:val="11"/>
      </w:numPr>
    </w:pPr>
  </w:style>
  <w:style w:type="character" w:customStyle="1" w:styleId="WingdingSymbols">
    <w:name w:val="Wingding Symbols"/>
    <w:rsid w:val="003A3439"/>
    <w:rPr>
      <w:rFonts w:ascii="Wingdings" w:hAnsi="Wingdings"/>
    </w:rPr>
  </w:style>
  <w:style w:type="paragraph" w:customStyle="1" w:styleId="TableHeading">
    <w:name w:val="Table Heading"/>
    <w:basedOn w:val="HeadingBase"/>
    <w:rsid w:val="003A3439"/>
    <w:pPr>
      <w:keepLines/>
      <w:pBdr>
        <w:bottom w:val="single" w:sz="6" w:space="1" w:color="918585"/>
      </w:pBdr>
      <w:spacing w:before="240"/>
    </w:pPr>
  </w:style>
  <w:style w:type="character" w:customStyle="1" w:styleId="HotSpot">
    <w:name w:val="HotSpot"/>
    <w:rsid w:val="003A3439"/>
    <w:rPr>
      <w:color w:val="0033CC"/>
      <w:u w:val="none"/>
    </w:rPr>
  </w:style>
  <w:style w:type="paragraph" w:customStyle="1" w:styleId="BodyTextRight">
    <w:name w:val="Body Text Right"/>
    <w:basedOn w:val="BodyText"/>
    <w:rsid w:val="003A3439"/>
    <w:pPr>
      <w:spacing w:before="0" w:after="0"/>
      <w:jc w:val="right"/>
    </w:pPr>
  </w:style>
  <w:style w:type="paragraph" w:styleId="Index3">
    <w:name w:val="index 3"/>
    <w:basedOn w:val="ListNumber2"/>
    <w:next w:val="Normal"/>
    <w:semiHidden/>
    <w:rsid w:val="003A3439"/>
    <w:pPr>
      <w:numPr>
        <w:numId w:val="0"/>
      </w:numPr>
      <w:tabs>
        <w:tab w:val="right" w:leader="dot" w:pos="4176"/>
      </w:tabs>
    </w:pPr>
  </w:style>
  <w:style w:type="paragraph" w:styleId="ListNumber2">
    <w:name w:val="List Number 2"/>
    <w:basedOn w:val="List2"/>
    <w:rsid w:val="003A3439"/>
    <w:pPr>
      <w:numPr>
        <w:numId w:val="10"/>
      </w:numPr>
      <w:tabs>
        <w:tab w:val="clear" w:pos="1060"/>
      </w:tabs>
    </w:pPr>
  </w:style>
  <w:style w:type="paragraph" w:customStyle="1" w:styleId="MarginNote">
    <w:name w:val="Margin Note"/>
    <w:basedOn w:val="BodyText"/>
    <w:rsid w:val="003A34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34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343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A3439"/>
    <w:rPr>
      <w:sz w:val="32"/>
    </w:rPr>
  </w:style>
  <w:style w:type="paragraph" w:customStyle="1" w:styleId="HeadingProcedure">
    <w:name w:val="Heading Procedure"/>
    <w:basedOn w:val="HeadingBase"/>
    <w:next w:val="Normal"/>
    <w:rsid w:val="003A3439"/>
    <w:pPr>
      <w:tabs>
        <w:tab w:val="left" w:pos="0"/>
      </w:tabs>
      <w:spacing w:before="120" w:after="60"/>
    </w:pPr>
    <w:rPr>
      <w:i/>
      <w:color w:val="918585"/>
      <w:sz w:val="22"/>
    </w:rPr>
  </w:style>
  <w:style w:type="paragraph" w:customStyle="1" w:styleId="TableBodyText">
    <w:name w:val="Table Body Text"/>
    <w:basedOn w:val="BodyText"/>
    <w:rsid w:val="003A3439"/>
    <w:pPr>
      <w:spacing w:before="60" w:after="60"/>
    </w:pPr>
  </w:style>
  <w:style w:type="paragraph" w:styleId="ListContinue">
    <w:name w:val="List Continue"/>
    <w:basedOn w:val="List"/>
    <w:rsid w:val="003A3439"/>
    <w:pPr>
      <w:ind w:firstLine="0"/>
    </w:pPr>
  </w:style>
  <w:style w:type="paragraph" w:customStyle="1" w:styleId="ListNote">
    <w:name w:val="List Note"/>
    <w:basedOn w:val="List"/>
    <w:rsid w:val="003A3439"/>
    <w:pPr>
      <w:pBdr>
        <w:top w:val="single" w:sz="6" w:space="2" w:color="918585"/>
        <w:bottom w:val="single" w:sz="6" w:space="2" w:color="918585"/>
      </w:pBdr>
      <w:tabs>
        <w:tab w:val="left" w:pos="1021"/>
      </w:tabs>
      <w:ind w:firstLine="0"/>
    </w:pPr>
  </w:style>
  <w:style w:type="paragraph" w:customStyle="1" w:styleId="Warning">
    <w:name w:val="Warning"/>
    <w:basedOn w:val="BodyText"/>
    <w:rsid w:val="003A3439"/>
    <w:pPr>
      <w:shd w:val="clear" w:color="auto" w:fill="D9D9D9"/>
      <w:tabs>
        <w:tab w:val="left" w:pos="992"/>
      </w:tabs>
      <w:ind w:left="119" w:right="119"/>
    </w:pPr>
    <w:rPr>
      <w:sz w:val="20"/>
    </w:rPr>
  </w:style>
  <w:style w:type="paragraph" w:customStyle="1" w:styleId="MarginIcons">
    <w:name w:val="Margin Icons"/>
    <w:basedOn w:val="BodyText"/>
    <w:rsid w:val="003A34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3439"/>
    <w:rPr>
      <w:rFonts w:ascii="Courier New" w:hAnsi="Courier New"/>
    </w:rPr>
  </w:style>
  <w:style w:type="paragraph" w:customStyle="1" w:styleId="NoteBullet">
    <w:name w:val="Note Bullet"/>
    <w:basedOn w:val="Note"/>
    <w:rsid w:val="003A3439"/>
    <w:pPr>
      <w:tabs>
        <w:tab w:val="clear" w:pos="680"/>
      </w:tabs>
      <w:spacing w:before="60" w:after="60"/>
    </w:pPr>
  </w:style>
  <w:style w:type="paragraph" w:customStyle="1" w:styleId="SubHeading2">
    <w:name w:val="SubHeading2"/>
    <w:basedOn w:val="HeadingBase"/>
    <w:rsid w:val="003A3439"/>
    <w:pPr>
      <w:spacing w:before="240" w:after="60"/>
    </w:pPr>
    <w:rPr>
      <w:sz w:val="20"/>
    </w:rPr>
  </w:style>
  <w:style w:type="paragraph" w:customStyle="1" w:styleId="SubHeading1">
    <w:name w:val="SubHeading1"/>
    <w:basedOn w:val="HeadingBase"/>
    <w:rsid w:val="003A3439"/>
    <w:pPr>
      <w:spacing w:before="240" w:after="60"/>
    </w:pPr>
    <w:rPr>
      <w:color w:val="918585"/>
      <w:sz w:val="22"/>
    </w:rPr>
  </w:style>
  <w:style w:type="paragraph" w:customStyle="1" w:styleId="SideHeading">
    <w:name w:val="Side Heading"/>
    <w:basedOn w:val="HeadingBase"/>
    <w:rsid w:val="003A34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3439"/>
    <w:pPr>
      <w:numPr>
        <w:numId w:val="12"/>
      </w:numPr>
    </w:pPr>
  </w:style>
  <w:style w:type="paragraph" w:styleId="PlainText">
    <w:name w:val="Plain Text"/>
    <w:basedOn w:val="Normal"/>
    <w:link w:val="PlainTextChar"/>
    <w:rsid w:val="003A3439"/>
    <w:rPr>
      <w:sz w:val="20"/>
    </w:rPr>
  </w:style>
  <w:style w:type="character" w:customStyle="1" w:styleId="PlainTextChar">
    <w:name w:val="Plain Text Char"/>
    <w:basedOn w:val="DefaultParagraphFont"/>
    <w:link w:val="PlainText"/>
    <w:rsid w:val="003A3439"/>
    <w:rPr>
      <w:rFonts w:ascii="Courier New" w:eastAsia="Times New Roman" w:hAnsi="Courier New" w:cs="Times New Roman"/>
      <w:sz w:val="20"/>
      <w:szCs w:val="20"/>
      <w:lang w:eastAsia="en-US"/>
    </w:rPr>
  </w:style>
  <w:style w:type="character" w:customStyle="1" w:styleId="MenuOption">
    <w:name w:val="Menu Option"/>
    <w:basedOn w:val="DefaultParagraphFont"/>
    <w:rsid w:val="003A3439"/>
    <w:rPr>
      <w:b/>
      <w:smallCaps/>
    </w:rPr>
  </w:style>
  <w:style w:type="paragraph" w:customStyle="1" w:styleId="TableListNumber">
    <w:name w:val="Table List Number"/>
    <w:basedOn w:val="ListNumber"/>
    <w:rsid w:val="003A3439"/>
    <w:pPr>
      <w:numPr>
        <w:numId w:val="0"/>
      </w:numPr>
    </w:pPr>
  </w:style>
  <w:style w:type="paragraph" w:styleId="TOC4">
    <w:name w:val="toc 4"/>
    <w:basedOn w:val="TOCBase"/>
    <w:next w:val="Normal"/>
    <w:semiHidden/>
    <w:rsid w:val="003A3439"/>
    <w:pPr>
      <w:tabs>
        <w:tab w:val="right" w:leader="dot" w:pos="9071"/>
      </w:tabs>
      <w:ind w:left="1701"/>
    </w:pPr>
  </w:style>
  <w:style w:type="paragraph" w:customStyle="1" w:styleId="ListAlpha">
    <w:name w:val="List Alpha"/>
    <w:basedOn w:val="List"/>
    <w:rsid w:val="003A3439"/>
    <w:pPr>
      <w:numPr>
        <w:numId w:val="9"/>
      </w:numPr>
    </w:pPr>
  </w:style>
  <w:style w:type="paragraph" w:customStyle="1" w:styleId="ListAlpha2">
    <w:name w:val="List Alpha 2"/>
    <w:basedOn w:val="List2"/>
    <w:rsid w:val="003A3439"/>
    <w:pPr>
      <w:numPr>
        <w:numId w:val="8"/>
      </w:numPr>
    </w:pPr>
  </w:style>
  <w:style w:type="paragraph" w:styleId="List2">
    <w:name w:val="List 2"/>
    <w:basedOn w:val="BodyText"/>
    <w:rsid w:val="003A3439"/>
    <w:pPr>
      <w:tabs>
        <w:tab w:val="left" w:pos="680"/>
      </w:tabs>
      <w:spacing w:before="60" w:after="60"/>
      <w:ind w:left="680" w:hanging="340"/>
    </w:pPr>
  </w:style>
  <w:style w:type="paragraph" w:styleId="List3">
    <w:name w:val="List 3"/>
    <w:basedOn w:val="BodyText"/>
    <w:rsid w:val="003A3439"/>
    <w:pPr>
      <w:tabs>
        <w:tab w:val="left" w:pos="1021"/>
      </w:tabs>
      <w:spacing w:before="60" w:after="60"/>
      <w:ind w:left="1020" w:hanging="340"/>
    </w:pPr>
  </w:style>
  <w:style w:type="paragraph" w:styleId="List4">
    <w:name w:val="List 4"/>
    <w:basedOn w:val="BodyText"/>
    <w:rsid w:val="003A3439"/>
    <w:pPr>
      <w:tabs>
        <w:tab w:val="left" w:pos="1361"/>
      </w:tabs>
      <w:spacing w:before="60" w:after="60"/>
      <w:ind w:left="1361" w:hanging="340"/>
    </w:pPr>
  </w:style>
  <w:style w:type="paragraph" w:styleId="List5">
    <w:name w:val="List 5"/>
    <w:basedOn w:val="BodyText"/>
    <w:rsid w:val="003A3439"/>
    <w:pPr>
      <w:tabs>
        <w:tab w:val="left" w:pos="1701"/>
      </w:tabs>
      <w:spacing w:before="60" w:after="60"/>
      <w:ind w:left="1701" w:hanging="340"/>
    </w:pPr>
  </w:style>
  <w:style w:type="paragraph" w:styleId="ListBullet3">
    <w:name w:val="List Bullet 3"/>
    <w:basedOn w:val="List3"/>
    <w:rsid w:val="003A3439"/>
    <w:pPr>
      <w:numPr>
        <w:numId w:val="15"/>
      </w:numPr>
      <w:tabs>
        <w:tab w:val="clear" w:pos="1021"/>
      </w:tabs>
      <w:ind w:left="1037" w:hanging="357"/>
    </w:pPr>
  </w:style>
  <w:style w:type="paragraph" w:styleId="ListBullet4">
    <w:name w:val="List Bullet 4"/>
    <w:basedOn w:val="List4"/>
    <w:rsid w:val="003A3439"/>
    <w:pPr>
      <w:numPr>
        <w:numId w:val="3"/>
      </w:numPr>
    </w:pPr>
  </w:style>
  <w:style w:type="paragraph" w:styleId="ListBullet5">
    <w:name w:val="List Bullet 5"/>
    <w:basedOn w:val="List5"/>
    <w:rsid w:val="003A3439"/>
    <w:pPr>
      <w:numPr>
        <w:numId w:val="4"/>
      </w:numPr>
    </w:pPr>
  </w:style>
  <w:style w:type="paragraph" w:styleId="ListContinue2">
    <w:name w:val="List Continue 2"/>
    <w:basedOn w:val="List2"/>
    <w:rsid w:val="003A3439"/>
    <w:pPr>
      <w:ind w:firstLine="0"/>
    </w:pPr>
  </w:style>
  <w:style w:type="paragraph" w:styleId="ListContinue3">
    <w:name w:val="List Continue 3"/>
    <w:basedOn w:val="List3"/>
    <w:rsid w:val="003A3439"/>
    <w:pPr>
      <w:ind w:left="1021" w:firstLine="0"/>
    </w:pPr>
  </w:style>
  <w:style w:type="paragraph" w:styleId="ListContinue4">
    <w:name w:val="List Continue 4"/>
    <w:basedOn w:val="List4"/>
    <w:rsid w:val="003A3439"/>
    <w:pPr>
      <w:ind w:firstLine="0"/>
    </w:pPr>
  </w:style>
  <w:style w:type="paragraph" w:styleId="ListContinue5">
    <w:name w:val="List Continue 5"/>
    <w:basedOn w:val="List5"/>
    <w:rsid w:val="003A3439"/>
    <w:pPr>
      <w:ind w:firstLine="0"/>
    </w:pPr>
  </w:style>
  <w:style w:type="paragraph" w:styleId="ListNumber3">
    <w:name w:val="List Number 3"/>
    <w:basedOn w:val="List3"/>
    <w:rsid w:val="003A3439"/>
    <w:pPr>
      <w:numPr>
        <w:numId w:val="5"/>
      </w:numPr>
    </w:pPr>
  </w:style>
  <w:style w:type="paragraph" w:styleId="ListNumber4">
    <w:name w:val="List Number 4"/>
    <w:basedOn w:val="List4"/>
    <w:rsid w:val="003A3439"/>
    <w:pPr>
      <w:numPr>
        <w:numId w:val="6"/>
      </w:numPr>
    </w:pPr>
  </w:style>
  <w:style w:type="paragraph" w:styleId="ListNumber5">
    <w:name w:val="List Number 5"/>
    <w:basedOn w:val="List5"/>
    <w:rsid w:val="003A3439"/>
    <w:pPr>
      <w:numPr>
        <w:numId w:val="7"/>
      </w:numPr>
    </w:pPr>
  </w:style>
  <w:style w:type="paragraph" w:styleId="BlockText">
    <w:name w:val="Block Text"/>
    <w:basedOn w:val="Normal"/>
    <w:rsid w:val="003A3439"/>
    <w:pPr>
      <w:spacing w:after="120"/>
      <w:ind w:left="1440" w:right="1440"/>
    </w:pPr>
  </w:style>
  <w:style w:type="character" w:customStyle="1" w:styleId="Subscript">
    <w:name w:val="Subscript"/>
    <w:basedOn w:val="DefaultParagraphFont"/>
    <w:rsid w:val="003A3439"/>
    <w:rPr>
      <w:sz w:val="16"/>
      <w:vertAlign w:val="subscript"/>
    </w:rPr>
  </w:style>
  <w:style w:type="character" w:customStyle="1" w:styleId="Superscript">
    <w:name w:val="Superscript"/>
    <w:basedOn w:val="DefaultParagraphFont"/>
    <w:rsid w:val="003A3439"/>
    <w:rPr>
      <w:sz w:val="16"/>
      <w:vertAlign w:val="superscript"/>
    </w:rPr>
  </w:style>
  <w:style w:type="character" w:customStyle="1" w:styleId="Symbols">
    <w:name w:val="Symbols"/>
    <w:basedOn w:val="DefaultParagraphFont"/>
    <w:rsid w:val="003A3439"/>
    <w:rPr>
      <w:rFonts w:ascii="Symbol" w:hAnsi="Symbol"/>
    </w:rPr>
  </w:style>
  <w:style w:type="character" w:customStyle="1" w:styleId="MenuOptions">
    <w:name w:val="Menu Options"/>
    <w:basedOn w:val="DefaultParagraphFont"/>
    <w:rsid w:val="003A3439"/>
    <w:rPr>
      <w:rFonts w:ascii="Arial Narrow" w:hAnsi="Arial Narrow"/>
      <w:smallCaps/>
    </w:rPr>
  </w:style>
  <w:style w:type="character" w:customStyle="1" w:styleId="Buttons">
    <w:name w:val="Buttons"/>
    <w:basedOn w:val="DefaultParagraphFont"/>
    <w:rsid w:val="003A3439"/>
    <w:rPr>
      <w:b/>
    </w:rPr>
  </w:style>
  <w:style w:type="character" w:customStyle="1" w:styleId="Underlined">
    <w:name w:val="Underlined"/>
    <w:basedOn w:val="DefaultParagraphFont"/>
    <w:rsid w:val="003A3439"/>
    <w:rPr>
      <w:u w:val="single"/>
    </w:rPr>
  </w:style>
  <w:style w:type="paragraph" w:customStyle="1" w:styleId="TableBodyTextRight">
    <w:name w:val="Table Body Text Right"/>
    <w:basedOn w:val="TableBodyText"/>
    <w:rsid w:val="003A3439"/>
    <w:pPr>
      <w:widowControl w:val="0"/>
      <w:autoSpaceDE w:val="0"/>
      <w:autoSpaceDN w:val="0"/>
      <w:adjustRightInd w:val="0"/>
      <w:jc w:val="right"/>
    </w:pPr>
    <w:rPr>
      <w:rFonts w:cs="Arial"/>
      <w:szCs w:val="18"/>
    </w:rPr>
  </w:style>
  <w:style w:type="paragraph" w:customStyle="1" w:styleId="CopyrightText">
    <w:name w:val="Copyright Text"/>
    <w:basedOn w:val="BodyText"/>
    <w:rsid w:val="003A3439"/>
    <w:rPr>
      <w:sz w:val="18"/>
    </w:rPr>
  </w:style>
  <w:style w:type="paragraph" w:customStyle="1" w:styleId="BodySmallRight">
    <w:name w:val="Body Small Right"/>
    <w:basedOn w:val="BodyTextRight"/>
    <w:rsid w:val="003A3439"/>
    <w:rPr>
      <w:sz w:val="18"/>
      <w:szCs w:val="18"/>
    </w:rPr>
  </w:style>
  <w:style w:type="paragraph" w:customStyle="1" w:styleId="MarginEdition">
    <w:name w:val="Margin Edition"/>
    <w:basedOn w:val="MarginNote"/>
    <w:rsid w:val="003A3439"/>
    <w:pPr>
      <w:spacing w:before="0" w:after="0"/>
    </w:pPr>
    <w:rPr>
      <w:rFonts w:ascii="Times New Roman" w:hAnsi="Times New Roman"/>
      <w:color w:val="999999"/>
    </w:rPr>
  </w:style>
  <w:style w:type="paragraph" w:customStyle="1" w:styleId="Spacer">
    <w:name w:val="Spacer"/>
    <w:basedOn w:val="Normal"/>
    <w:rsid w:val="003A3439"/>
    <w:rPr>
      <w:sz w:val="2"/>
      <w:szCs w:val="2"/>
    </w:rPr>
  </w:style>
  <w:style w:type="character" w:customStyle="1" w:styleId="Small">
    <w:name w:val="Small"/>
    <w:basedOn w:val="DefaultParagraphFont"/>
    <w:rsid w:val="003A3439"/>
    <w:rPr>
      <w:sz w:val="16"/>
    </w:rPr>
  </w:style>
  <w:style w:type="paragraph" w:customStyle="1" w:styleId="WideTable">
    <w:name w:val="Wide Table"/>
    <w:basedOn w:val="Normal"/>
    <w:rsid w:val="003A3439"/>
    <w:pPr>
      <w:ind w:left="-1418"/>
    </w:pPr>
    <w:rPr>
      <w:sz w:val="2"/>
      <w:szCs w:val="2"/>
    </w:rPr>
  </w:style>
  <w:style w:type="character" w:styleId="PageNumber">
    <w:name w:val="page number"/>
    <w:basedOn w:val="DefaultParagraphFont"/>
    <w:rsid w:val="003A3439"/>
  </w:style>
  <w:style w:type="paragraph" w:styleId="Quote">
    <w:name w:val="Quote"/>
    <w:basedOn w:val="Heading1"/>
    <w:link w:val="QuoteChar"/>
    <w:qFormat/>
    <w:rsid w:val="003A3439"/>
    <w:rPr>
      <w:b w:val="0"/>
      <w:sz w:val="72"/>
      <w:szCs w:val="72"/>
      <w:lang w:val="en-NZ"/>
    </w:rPr>
  </w:style>
  <w:style w:type="character" w:customStyle="1" w:styleId="QuoteChar">
    <w:name w:val="Quote Char"/>
    <w:basedOn w:val="DefaultParagraphFont"/>
    <w:link w:val="Quote"/>
    <w:rsid w:val="003A34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3439"/>
    <w:pPr>
      <w:pageBreakBefore/>
    </w:pPr>
  </w:style>
  <w:style w:type="paragraph" w:customStyle="1" w:styleId="Border">
    <w:name w:val="Border"/>
    <w:basedOn w:val="Normal"/>
    <w:qFormat/>
    <w:rsid w:val="003A34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3439"/>
    <w:rPr>
      <w:b/>
      <w:bCs/>
      <w:i/>
      <w:iCs/>
      <w:color w:val="auto"/>
    </w:rPr>
  </w:style>
  <w:style w:type="paragraph" w:styleId="IntenseQuote">
    <w:name w:val="Intense Quote"/>
    <w:basedOn w:val="Normal"/>
    <w:next w:val="Normal"/>
    <w:link w:val="IntenseQuoteChar"/>
    <w:uiPriority w:val="30"/>
    <w:qFormat/>
    <w:rsid w:val="003A34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343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A3439"/>
    <w:rPr>
      <w:smallCaps/>
      <w:color w:val="auto"/>
      <w:u w:val="single"/>
    </w:rPr>
  </w:style>
  <w:style w:type="character" w:styleId="IntenseReference">
    <w:name w:val="Intense Reference"/>
    <w:basedOn w:val="DefaultParagraphFont"/>
    <w:uiPriority w:val="32"/>
    <w:qFormat/>
    <w:rsid w:val="003A3439"/>
    <w:rPr>
      <w:b/>
      <w:bCs/>
      <w:smallCaps/>
      <w:color w:val="auto"/>
      <w:spacing w:val="5"/>
      <w:u w:val="single"/>
    </w:rPr>
  </w:style>
  <w:style w:type="paragraph" w:customStyle="1" w:styleId="2ColumnHeading">
    <w:name w:val="2Column Heading"/>
    <w:basedOn w:val="BodyText"/>
    <w:qFormat/>
    <w:rsid w:val="003A3439"/>
    <w:pPr>
      <w:spacing w:after="60"/>
      <w:ind w:left="-2268"/>
    </w:pPr>
    <w:rPr>
      <w:b/>
    </w:rPr>
  </w:style>
  <w:style w:type="paragraph" w:customStyle="1" w:styleId="Heading1TOC">
    <w:name w:val="Heading1 TOC"/>
    <w:basedOn w:val="Normal"/>
    <w:qFormat/>
    <w:rsid w:val="003A3439"/>
    <w:pPr>
      <w:spacing w:before="240" w:after="120"/>
    </w:pPr>
    <w:rPr>
      <w:rFonts w:ascii="Times New Roman" w:hAnsi="Times New Roman"/>
      <w:b/>
      <w:sz w:val="32"/>
    </w:rPr>
  </w:style>
  <w:style w:type="paragraph" w:customStyle="1" w:styleId="Heading2TOC">
    <w:name w:val="Heading2 TOC"/>
    <w:basedOn w:val="Normal"/>
    <w:qFormat/>
    <w:rsid w:val="003A3439"/>
    <w:pPr>
      <w:spacing w:before="240" w:after="60"/>
    </w:pPr>
    <w:rPr>
      <w:rFonts w:ascii="Times New Roman" w:hAnsi="Times New Roman"/>
      <w:b/>
      <w:sz w:val="28"/>
    </w:rPr>
  </w:style>
  <w:style w:type="character" w:customStyle="1" w:styleId="Underline">
    <w:name w:val="Underline"/>
    <w:basedOn w:val="DefaultParagraphFont"/>
    <w:qFormat/>
    <w:rsid w:val="003A3439"/>
    <w:rPr>
      <w:u w:val="single"/>
    </w:rPr>
  </w:style>
  <w:style w:type="character" w:customStyle="1" w:styleId="BoldandItalics">
    <w:name w:val="Bold and Italics"/>
    <w:qFormat/>
    <w:rsid w:val="003A3439"/>
    <w:rPr>
      <w:b/>
      <w:i/>
      <w:u w:val="none"/>
    </w:rPr>
  </w:style>
  <w:style w:type="paragraph" w:styleId="BalloonText">
    <w:name w:val="Balloon Text"/>
    <w:basedOn w:val="Normal"/>
    <w:link w:val="BalloonTextChar"/>
    <w:rsid w:val="003A3439"/>
    <w:rPr>
      <w:rFonts w:ascii="Tahoma" w:hAnsi="Tahoma" w:cs="Tahoma"/>
      <w:sz w:val="16"/>
      <w:szCs w:val="16"/>
    </w:rPr>
  </w:style>
  <w:style w:type="character" w:customStyle="1" w:styleId="BalloonTextChar">
    <w:name w:val="Balloon Text Char"/>
    <w:basedOn w:val="DefaultParagraphFont"/>
    <w:link w:val="BalloonText"/>
    <w:rsid w:val="003A343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A343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A343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A3439"/>
    <w:rPr>
      <w:b/>
      <w:color w:val="660033"/>
      <w:spacing w:val="0"/>
    </w:rPr>
  </w:style>
  <w:style w:type="paragraph" w:customStyle="1" w:styleId="Nameditemlist">
    <w:name w:val="Named item list"/>
    <w:basedOn w:val="BodyText"/>
    <w:qFormat/>
    <w:rsid w:val="003A343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1921</Words>
  <Characters>11574</Characters>
  <Application>Microsoft Office Word</Application>
  <DocSecurity>0</DocSecurity>
  <Lines>470</Lines>
  <Paragraphs>195</Paragraphs>
  <ScaleCrop>false</ScaleCrop>
  <Company>Author-it Software Corporation Ltd.</Company>
  <LinksUpToDate>false</LinksUpToDate>
  <CharactersWithSpaces>13330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UEENEEI133A Set up scientific analysis measuring and control instruments</dc:title>
  <dc:subject>Approved</dc:subject>
  <dc:creator>EE-Oz Training Standards</dc:creator>
  <cp:keywords>Release: 2</cp:keywords>
  <dc:description>Copyright © 1996-2007 Author-it Software Corporation Ltd., all rights reserved.</dc:description>
  <cp:lastModifiedBy>TPCMS</cp:lastModifiedBy>
  <cp:revision>3</cp:revision>
  <dcterms:created xsi:type="dcterms:W3CDTF">2013-03-07T17:32:00Z</dcterms:created>
  <dcterms:modified xsi:type="dcterms:W3CDTF">2013-03-07T17:32:00Z</dcterms:modified>
</cp:coreProperties>
</file>