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A12" w:rsidP="00EE4A12">
      <w:pPr>
        <w:pStyle w:val="Title"/>
      </w:pPr>
      <w:r>
        <w:fldChar w:fldCharType="begin"/>
      </w:r>
      <w:r>
        <w:instrText xml:space="preserve"> TITLE   \* MERGEFORMAT </w:instrText>
      </w:r>
      <w:r>
        <w:fldChar w:fldCharType="separate"/>
      </w:r>
      <w:r>
        <w:t>UEENEEI130A Set up electronically controlled robotically operated complex systems</w:t>
      </w:r>
      <w:r>
        <w:fldChar w:fldCharType="end"/>
      </w:r>
    </w:p>
    <w:p w:rsidR="00EE4A12" w:rsidP="00EE4A12">
      <w:pPr>
        <w:pStyle w:val="Version"/>
        <w:sectPr w:rsidSect="00C12A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12ABB" w:rsidP="00C12ABB">
      <w:pPr>
        <w:pStyle w:val="SuperHeading"/>
      </w:pPr>
      <w:r w:rsidRPr="00C12ABB">
        <w:t>UEENEEI130A Set up electronically controlled robotically operated complex systems</w:t>
      </w:r>
    </w:p>
    <w:p w:rsidR="00000000" w:rsidRPr="00C12ABB" w:rsidP="00C12ABB">
      <w:pPr>
        <w:pStyle w:val="Heading1"/>
      </w:pPr>
      <w:bookmarkStart w:id="1" w:name="O_566804"/>
      <w:bookmarkEnd w:id="1"/>
      <w:r w:rsidRPr="00C12ABB">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EE4A1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Points</w:t>
            </w:r>
          </w:p>
        </w:tc>
      </w:tr>
      <w:tr w:rsidTr="00EE4A1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p>
        </w:tc>
      </w:tr>
      <w:tr w:rsidTr="00EE4A1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p>
        </w:tc>
      </w:tr>
      <w:tr w:rsidTr="00EE4A1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p>
        </w:tc>
      </w:tr>
      <w:tr w:rsidTr="00EE4A1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ABB">
            <w:pPr>
              <w:pStyle w:val="BodyText"/>
              <w:rPr>
                <w:lang w:val="en-NZ"/>
              </w:rPr>
            </w:pPr>
            <w:r w:rsidRPr="00C12ABB">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ABB" w:rsidP="00C12ABB">
            <w:pPr>
              <w:pStyle w:val="BodyText"/>
            </w:pPr>
            <w:r w:rsidRPr="00C12ABB">
              <w:t>In Pre-requisites, edit name to reflect correct unit title</w:t>
            </w:r>
          </w:p>
          <w:p w:rsidR="00000000" w:rsidP="00C12ABB">
            <w:pPr>
              <w:pStyle w:val="BodyText"/>
              <w:rPr>
                <w:lang w:val="en-NZ"/>
              </w:rPr>
            </w:pPr>
            <w:r w:rsidRPr="00C12ABB">
              <w:t>UEENEEI124A   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ABB" w:rsidP="00C12ABB">
            <w:pPr>
              <w:pStyle w:val="BodyText"/>
            </w:pPr>
          </w:p>
        </w:tc>
      </w:tr>
    </w:tbl>
    <w:p w:rsidR="00000000" w:rsidRPr="00C12ABB" w:rsidP="00C12ABB">
      <w:pPr>
        <w:pStyle w:val="BodyText"/>
      </w:pPr>
    </w:p>
    <w:p w:rsidR="00000000" w:rsidRPr="00C12ABB" w:rsidP="00C12ABB">
      <w:pPr>
        <w:pStyle w:val="AllowPageBreak"/>
      </w:pPr>
    </w:p>
    <w:p w:rsidR="00000000" w:rsidRPr="00C12ABB" w:rsidP="00C12ABB">
      <w:pPr>
        <w:pStyle w:val="Heading1"/>
      </w:pPr>
      <w:bookmarkStart w:id="2" w:name="O_566803"/>
      <w:bookmarkEnd w:id="2"/>
      <w:r w:rsidRPr="00C12ABB">
        <w:t>Unit Descriptor</w:t>
      </w:r>
    </w:p>
    <w:tbl>
      <w:tblPr>
        <w:tblW w:w="0" w:type="auto"/>
        <w:tblLayout w:type="fixed"/>
        <w:tblCellMar>
          <w:left w:w="62" w:type="dxa"/>
          <w:right w:w="62" w:type="dxa"/>
        </w:tblCellMar>
        <w:tblLook w:val="0000"/>
      </w:tblPr>
      <w:tblGrid>
        <w:gridCol w:w="2700"/>
        <w:gridCol w:w="5760"/>
      </w:tblGrid>
      <w:tr w:rsidTr="00EE4A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1)</w:t>
            </w:r>
            <w:r w:rsidRPr="00C12ABB">
              <w:t xml:space="preserve"> </w:t>
            </w:r>
            <w:r w:rsidRPr="00C12ABB">
              <w:rPr>
                <w:rStyle w:val="SpecialBold"/>
              </w:rPr>
              <w:t>Scope:</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2AB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1.1) Descriptor</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This unit covers the setting up, adjustment, maintenance and modification to electronically controlled robotically operated complex systems. It encompasses working safely, applying extensive knowledge of electronic circuits and the integration to robotical</w:t>
            </w:r>
            <w:r w:rsidRPr="00C12ABB">
              <w:t>ly operated equipment and systems, gathering and analysing data, applying problem solving techniques, developing and documenting solutions and alternatives.</w:t>
            </w:r>
          </w:p>
          <w:p w:rsidR="00000000" w:rsidRPr="00C12ABB" w:rsidP="00C12ABB">
            <w:pPr>
              <w:pStyle w:val="BodyText"/>
            </w:pPr>
            <w:r w:rsidRPr="00C12ABB">
              <w:t xml:space="preserve">Note: </w:t>
            </w:r>
          </w:p>
          <w:p w:rsidR="00000000" w:rsidRPr="00C12ABB" w:rsidP="00C12ABB">
            <w:pPr>
              <w:pStyle w:val="BodyText"/>
            </w:pPr>
            <w:r w:rsidRPr="00C12ABB">
              <w:t>Typical circuits are those encountered in meeting performance requirements and compliance st</w:t>
            </w:r>
            <w:r w:rsidRPr="00C12ABB">
              <w:t>andards, revising a machine operating parameters and dealing with machine malfunctions.</w:t>
            </w:r>
          </w:p>
        </w:tc>
      </w:tr>
    </w:tbl>
    <w:p w:rsidR="00000000" w:rsidRPr="00C12ABB" w:rsidP="00C12ABB">
      <w:pPr>
        <w:pStyle w:val="BodyText"/>
      </w:pPr>
    </w:p>
    <w:p w:rsidR="00000000" w:rsidRPr="00C12ABB" w:rsidP="00C12ABB">
      <w:pPr>
        <w:pStyle w:val="AllowPageBreak"/>
      </w:pPr>
    </w:p>
    <w:p w:rsidR="00000000" w:rsidRPr="00C12ABB" w:rsidP="00C12ABB">
      <w:pPr>
        <w:pStyle w:val="Heading1"/>
      </w:pPr>
      <w:bookmarkStart w:id="3" w:name="O_566802"/>
      <w:bookmarkEnd w:id="3"/>
      <w:r w:rsidRPr="00C12ABB">
        <w:t>Application of the Unit</w:t>
      </w:r>
    </w:p>
    <w:tbl>
      <w:tblPr>
        <w:tblW w:w="0" w:type="auto"/>
        <w:tblLayout w:type="fixed"/>
        <w:tblCellMar>
          <w:left w:w="62" w:type="dxa"/>
          <w:right w:w="62" w:type="dxa"/>
        </w:tblCellMar>
        <w:tblLook w:val="0000"/>
      </w:tblPr>
      <w:tblGrid>
        <w:gridCol w:w="2672"/>
        <w:gridCol w:w="5699"/>
      </w:tblGrid>
      <w:tr w:rsidTr="00EE4A1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2)</w:t>
            </w:r>
          </w:p>
        </w:tc>
      </w:tr>
      <w:tr w:rsidTr="00EE4A1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 xml:space="preserve">This unit applies to any recognised development </w:t>
            </w:r>
            <w:r w:rsidRPr="00C12ABB">
              <w:t>program that leads to the acquisition of a formal award at AQF level 5 or higher.</w:t>
            </w:r>
          </w:p>
        </w:tc>
      </w:tr>
    </w:tbl>
    <w:p w:rsidR="00000000" w:rsidRPr="00C12ABB" w:rsidP="00C12ABB">
      <w:pPr>
        <w:pStyle w:val="BodyText"/>
      </w:pPr>
    </w:p>
    <w:p w:rsidR="00000000" w:rsidRPr="00C12ABB" w:rsidP="00C12ABB">
      <w:pPr>
        <w:pStyle w:val="AllowPageBreak"/>
      </w:pPr>
    </w:p>
    <w:p w:rsidR="00000000" w:rsidRPr="00C12ABB" w:rsidP="00C12ABB">
      <w:pPr>
        <w:pStyle w:val="Heading1"/>
      </w:pPr>
      <w:bookmarkStart w:id="4" w:name="O_566801"/>
      <w:bookmarkEnd w:id="4"/>
      <w:r w:rsidRPr="00C12ABB">
        <w:t>Licensing/Regulatory Information</w:t>
      </w:r>
    </w:p>
    <w:tbl>
      <w:tblPr>
        <w:tblW w:w="0" w:type="auto"/>
        <w:tblLayout w:type="fixed"/>
        <w:tblCellMar>
          <w:left w:w="62" w:type="dxa"/>
          <w:right w:w="62" w:type="dxa"/>
        </w:tblCellMar>
        <w:tblLook w:val="0000"/>
      </w:tblPr>
      <w:tblGrid>
        <w:gridCol w:w="2700"/>
        <w:gridCol w:w="5760"/>
      </w:tblGrid>
      <w:tr w:rsidTr="00EE4A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 xml:space="preserve">3) </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The skills and knowledge described in this unit do not require a license to practice in the work</w:t>
            </w:r>
            <w:r w:rsidRPr="00C12ABB">
              <w:t>place. However, practice in this unit is subject to regulations directly related to occupational health and safety, codes of work practice and standard work procedures related to the operation of automated machinery.</w:t>
            </w:r>
          </w:p>
        </w:tc>
      </w:tr>
    </w:tbl>
    <w:p w:rsidR="00000000" w:rsidRPr="00C12ABB" w:rsidP="00C12ABB">
      <w:pPr>
        <w:pStyle w:val="BodyText"/>
      </w:pPr>
    </w:p>
    <w:p w:rsidR="00000000" w:rsidRPr="00C12ABB" w:rsidP="00C12ABB">
      <w:pPr>
        <w:pStyle w:val="AllowPageBreak"/>
      </w:pPr>
    </w:p>
    <w:p w:rsidR="00000000" w:rsidRPr="00C12ABB" w:rsidP="00C12ABB">
      <w:pPr>
        <w:pStyle w:val="Heading1"/>
      </w:pPr>
      <w:bookmarkStart w:id="5" w:name="O_566800"/>
      <w:bookmarkEnd w:id="5"/>
      <w:r w:rsidRPr="00C12ABB">
        <w:t>Pre-Requisites</w:t>
      </w:r>
    </w:p>
    <w:tbl>
      <w:tblPr>
        <w:tblW w:w="0" w:type="auto"/>
        <w:tblLayout w:type="fixed"/>
        <w:tblCellMar>
          <w:left w:w="62" w:type="dxa"/>
          <w:right w:w="62" w:type="dxa"/>
        </w:tblCellMar>
        <w:tblLook w:val="0000"/>
      </w:tblPr>
      <w:tblGrid>
        <w:gridCol w:w="2700"/>
        <w:gridCol w:w="1440"/>
        <w:gridCol w:w="4320"/>
      </w:tblGrid>
      <w:tr w:rsidTr="00EE4A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 xml:space="preserve">4) </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4.1)</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Granting competency in this unit shall be made only after competency in the following unit(s) has/have been confirmed.</w:t>
            </w:r>
          </w:p>
          <w:p w:rsidR="00000000" w:rsidRPr="00C12ABB" w:rsidP="00C12ABB">
            <w:pPr>
              <w:pStyle w:val="BodyText"/>
            </w:pPr>
            <w:r w:rsidRPr="00C12ABB">
              <w:t>Where pre-requisite pathways have been identified. All competencies in the Common Unit Group must be have been completed plus all the competencies in one (1) of the identified Pathway Unit Group(s):</w:t>
            </w:r>
          </w:p>
          <w:p w:rsidR="00000000" w:rsidRPr="00C12ABB" w:rsidP="00C12ABB">
            <w:pPr>
              <w:pStyle w:val="BodyText"/>
            </w:pPr>
            <w:r w:rsidRPr="00C12ABB">
              <w:t>Electrical</w:t>
            </w:r>
          </w:p>
          <w:p w:rsidR="00000000" w:rsidP="00C12ABB">
            <w:pPr>
              <w:pStyle w:val="BodyText"/>
              <w:rPr>
                <w:lang w:val="en-NZ"/>
              </w:rPr>
            </w:pPr>
            <w:r w:rsidRPr="00C12ABB">
              <w:t>Instrumentation and Control</w:t>
            </w:r>
          </w:p>
        </w:tc>
      </w:tr>
      <w:tr w:rsidTr="00EE4A1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Common Unit Gro</w:t>
            </w:r>
            <w:r w:rsidRPr="00C12ABB">
              <w:t>up</w:t>
            </w:r>
          </w:p>
        </w:tc>
      </w:tr>
      <w:tr w:rsidTr="00EE4A12">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 xml:space="preserve">UEENEEE101A </w:t>
            </w:r>
            <w:r w:rsidRPr="00C12ABB">
              <w:tab/>
            </w:r>
            <w:r w:rsidRPr="00C12ABB">
              <w:tab/>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Apply Occupational Health and Safety regulations, codes and practices in the workplace</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UEENEEE1</w:t>
            </w:r>
            <w:r w:rsidRPr="00C12ABB">
              <w:t>02A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 xml:space="preserve">Fabricate, assemble and dismantle utilities </w:t>
            </w:r>
            <w:r w:rsidRPr="00C12ABB">
              <w:t xml:space="preserve">industry components </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UEENEEE104A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Solve problems in d.c. Circuits</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UEENEEE107A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Use drawings, diagrams, schedules, standards, codes and specifications</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UEENEEG101A</w:t>
            </w:r>
            <w:r w:rsidRPr="00C12ABB">
              <w:tab/>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Solve problems in electromagnetic devices and related circuits</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UEENEEG102A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Solve problems in low voltage a.c. circuits</w:t>
            </w:r>
          </w:p>
        </w:tc>
      </w:tr>
      <w:tr w:rsidTr="00EE4A12">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UEENEEI124A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Fault find and repair analogue circuits and components in electronic control systems</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UEENEEI127A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Analyse complex electronic circuits controlling fluids</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UEENEEI139A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 xml:space="preserve">Diagnose and rectify faults in digital controls systems </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Electrical Pathway Group</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UEENEEG006A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 xml:space="preserve">Solve problems in single and three phase low voltage machines </w:t>
            </w:r>
          </w:p>
        </w:tc>
      </w:tr>
      <w:tr w:rsidTr="00EE4A12">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UEENEEG033A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Solve problems in single and three phase low voltage electrical apparatus and circuits</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UEENEEG063A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Arrange circuits, control and protection for general electrical installations</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UEENEEG106A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 xml:space="preserve">Terminate cables, cords and accessories for low voltage circuits </w:t>
            </w:r>
          </w:p>
        </w:tc>
      </w:tr>
      <w:tr w:rsidTr="00EE4A12">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UEENEEG108A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Trouble-shoot and repair faults in low voltage electrical apparatus and circuits</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Instrumentation and Control Pathway Group</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UEENEEE119A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Solve problems in multiple path extra low voltage (ELV) a.c. circuits</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UEENEEI101A</w:t>
            </w:r>
            <w:r w:rsidRPr="00C12ABB">
              <w:tab/>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Use instrumentation drawings, specification, standards and equipment manuals</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UEENEEI102A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Solve problems in pressure measurement components and systems</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UEENEEI103A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Solve problems in density/level measurement components and systems</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UEENEEI104A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Solve problems in flow measurement components and systems</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UEENEEI105A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Solve problems in temperatu</w:t>
            </w:r>
            <w:r w:rsidRPr="00C12ABB">
              <w:t>re measurement components and systems</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UEENEEI106A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Set up and adjust PID control loops</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UEENEEI110A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Set up and adjust advanced PID process control loops</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UEENEEI112A</w:t>
            </w:r>
          </w:p>
        </w:tc>
        <w:tc>
          <w:tcPr>
            <w:tcW w:w="43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Verify compliance and functionality of instrumentation and control installations</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UEENEEI113A</w:t>
            </w:r>
          </w:p>
        </w:tc>
        <w:tc>
          <w:tcPr>
            <w:tcW w:w="432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Setup and configure Human-Machine Interface (HMI) and industrial networks</w:t>
            </w:r>
          </w:p>
        </w:tc>
      </w:tr>
    </w:tbl>
    <w:p w:rsidR="00000000" w:rsidRPr="00C12ABB" w:rsidP="00C12AB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E4A1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 xml:space="preserve">4.2) </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 xml:space="preserve">Participants are best equipped to achieve competency in this unit if they have reading, </w:t>
            </w:r>
            <w:r w:rsidRPr="00C12ABB">
              <w:t>writing and numeracy skills indicated by the following scales. Description of each scale is given in Volume 2, Part 3 ‘Literacy and Numeracy’</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Reading</w:t>
            </w:r>
          </w:p>
        </w:tc>
        <w:tc>
          <w:tcPr>
            <w:tcW w:w="81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5</w:t>
            </w:r>
          </w:p>
        </w:tc>
        <w:tc>
          <w:tcPr>
            <w:tcW w:w="99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Writing</w:t>
            </w:r>
          </w:p>
        </w:tc>
        <w:tc>
          <w:tcPr>
            <w:tcW w:w="90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5</w:t>
            </w:r>
          </w:p>
        </w:tc>
        <w:tc>
          <w:tcPr>
            <w:tcW w:w="12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Numeracy</w:t>
            </w:r>
          </w:p>
        </w:tc>
        <w:tc>
          <w:tcPr>
            <w:tcW w:w="72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5</w:t>
            </w:r>
          </w:p>
        </w:tc>
      </w:tr>
    </w:tbl>
    <w:p w:rsidR="00000000" w:rsidRPr="00C12ABB" w:rsidP="00C12ABB">
      <w:pPr>
        <w:pStyle w:val="BodyText"/>
      </w:pPr>
    </w:p>
    <w:p w:rsidR="00000000" w:rsidRPr="00C12ABB" w:rsidP="00C12ABB">
      <w:pPr>
        <w:pStyle w:val="AllowPageBreak"/>
      </w:pPr>
    </w:p>
    <w:p w:rsidR="00000000" w:rsidRPr="00C12ABB" w:rsidP="00C12ABB">
      <w:pPr>
        <w:pStyle w:val="Heading1"/>
      </w:pPr>
      <w:bookmarkStart w:id="6" w:name="O_566799"/>
      <w:bookmarkEnd w:id="6"/>
      <w:r w:rsidRPr="00C12ABB">
        <w:t>Employability Skills Information</w:t>
      </w:r>
    </w:p>
    <w:tbl>
      <w:tblPr>
        <w:tblW w:w="0" w:type="auto"/>
        <w:tblLayout w:type="fixed"/>
        <w:tblCellMar>
          <w:left w:w="62" w:type="dxa"/>
          <w:right w:w="62" w:type="dxa"/>
        </w:tblCellMar>
        <w:tblLook w:val="0000"/>
      </w:tblPr>
      <w:tblGrid>
        <w:gridCol w:w="2700"/>
        <w:gridCol w:w="5760"/>
      </w:tblGrid>
      <w:tr w:rsidTr="00EE4A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 xml:space="preserve">5) </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This unit contains Employability Skills</w:t>
            </w:r>
          </w:p>
          <w:p w:rsidR="00000000" w:rsidRPr="00C12ABB" w:rsidP="00C12ABB">
            <w:pPr>
              <w:pStyle w:val="BodyText"/>
            </w:pPr>
            <w:r w:rsidRPr="00C12ABB">
              <w:t>The required outcomes described in this unit of competency contain applicable facets of Employability Skills. The Employability Skills Summary of the qualification in which this unit of competency is packaged will</w:t>
            </w:r>
            <w:r w:rsidRPr="00C12ABB">
              <w:t xml:space="preserve"> assist in identifying Employability Skill requirements.</w:t>
            </w:r>
          </w:p>
        </w:tc>
      </w:tr>
    </w:tbl>
    <w:p w:rsidR="00000000" w:rsidRPr="00C12ABB" w:rsidP="00C12ABB">
      <w:pPr>
        <w:pStyle w:val="BodyText"/>
      </w:pPr>
    </w:p>
    <w:p w:rsidR="00000000" w:rsidRPr="00C12ABB" w:rsidP="00C12ABB">
      <w:pPr>
        <w:pStyle w:val="AllowPageBreak"/>
      </w:pPr>
    </w:p>
    <w:p w:rsidR="00000000" w:rsidRPr="00C12ABB" w:rsidP="00C12ABB">
      <w:pPr>
        <w:pStyle w:val="Heading1"/>
      </w:pPr>
      <w:bookmarkStart w:id="7" w:name="O_566798"/>
      <w:bookmarkEnd w:id="7"/>
      <w:r w:rsidRPr="00C12ABB">
        <w:t>Elements and Performance Criteria Pre-Content</w:t>
      </w:r>
    </w:p>
    <w:tbl>
      <w:tblPr>
        <w:tblW w:w="0" w:type="auto"/>
        <w:tblLayout w:type="fixed"/>
        <w:tblCellMar>
          <w:left w:w="62" w:type="dxa"/>
          <w:right w:w="62" w:type="dxa"/>
        </w:tblCellMar>
        <w:tblLook w:val="0000"/>
      </w:tblPr>
      <w:tblGrid>
        <w:gridCol w:w="2700"/>
        <w:gridCol w:w="5760"/>
      </w:tblGrid>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6)</w:t>
            </w:r>
            <w:r w:rsidRPr="00C12AB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Performance Criteria describe the required performance needed to demonstrate achievement of the element. Assessment of performance is to be consistent with the Evidence Guide.</w:t>
            </w:r>
          </w:p>
        </w:tc>
      </w:tr>
    </w:tbl>
    <w:p w:rsidR="00000000" w:rsidRPr="00C12ABB" w:rsidP="00C12ABB">
      <w:pPr>
        <w:pStyle w:val="BodyText"/>
      </w:pPr>
    </w:p>
    <w:p w:rsidR="00000000" w:rsidRPr="00C12ABB" w:rsidP="00C12ABB">
      <w:pPr>
        <w:pStyle w:val="AllowPageBreak"/>
      </w:pPr>
    </w:p>
    <w:p w:rsidR="00000000" w:rsidRPr="00C12ABB" w:rsidP="00C12ABB">
      <w:pPr>
        <w:pStyle w:val="Heading1"/>
      </w:pPr>
      <w:bookmarkStart w:id="8" w:name="O_566797"/>
      <w:bookmarkEnd w:id="8"/>
      <w:r w:rsidRPr="00C12ABB">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EE4A1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PERFORMANCE CRITER</w:t>
            </w:r>
            <w:r w:rsidRPr="00C12ABB">
              <w:rPr>
                <w:rStyle w:val="SpecialBold"/>
              </w:rPr>
              <w:t>IA</w:t>
            </w:r>
          </w:p>
        </w:tc>
      </w:tr>
      <w:tr w:rsidTr="00EE4A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1</w:t>
            </w:r>
          </w:p>
        </w:tc>
        <w:tc>
          <w:tcPr>
            <w:tcW w:w="2340" w:type="dxa"/>
            <w:vMerge w:val="restart"/>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Prepare to set up electronically controlled robotically operated complex systems.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1.1</w:t>
            </w:r>
          </w:p>
        </w:tc>
        <w:tc>
          <w:tcPr>
            <w:tcW w:w="48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 xml:space="preserve">OHS processes and procedures for a given work area are identified, obtained and understood </w:t>
            </w:r>
          </w:p>
        </w:tc>
      </w:tr>
      <w:tr w:rsidTr="00EE4A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1.2</w:t>
            </w:r>
          </w:p>
        </w:tc>
        <w:tc>
          <w:tcPr>
            <w:tcW w:w="48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Established OHS risk control measures and procedures are followed in preparation for the work.</w:t>
            </w:r>
          </w:p>
        </w:tc>
      </w:tr>
      <w:tr w:rsidTr="00EE4A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1.3</w:t>
            </w:r>
          </w:p>
        </w:tc>
        <w:tc>
          <w:tcPr>
            <w:tcW w:w="48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The extent of the work to be undertaken is determined from performance specifications and situation reports and in consultations with relevant persons</w:t>
            </w:r>
          </w:p>
        </w:tc>
      </w:tr>
      <w:tr w:rsidTr="00EE4A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1.4</w:t>
            </w:r>
          </w:p>
        </w:tc>
        <w:tc>
          <w:tcPr>
            <w:tcW w:w="48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Activities are planned to meet scheduled timelines in consultation with others involved in the work.</w:t>
            </w:r>
          </w:p>
        </w:tc>
      </w:tr>
      <w:tr w:rsidTr="00EE4A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1.5</w:t>
            </w:r>
          </w:p>
        </w:tc>
        <w:tc>
          <w:tcPr>
            <w:tcW w:w="48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Effective strategies are formed to ensure solution development and implementation is carried out efficiently.</w:t>
            </w:r>
          </w:p>
        </w:tc>
      </w:tr>
      <w:tr w:rsidTr="00EE4A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2</w:t>
            </w:r>
          </w:p>
        </w:tc>
        <w:tc>
          <w:tcPr>
            <w:tcW w:w="23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Set up electronically controlled robotically operated complex systems</w:t>
            </w:r>
          </w:p>
        </w:tc>
        <w:tc>
          <w:tcPr>
            <w:tcW w:w="90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2.1</w:t>
            </w:r>
          </w:p>
        </w:tc>
        <w:tc>
          <w:tcPr>
            <w:tcW w:w="48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OHS risk control measures and procedures for carrying out the work are followed.</w:t>
            </w:r>
          </w:p>
        </w:tc>
      </w:tr>
      <w:tr w:rsidTr="00EE4A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2.2</w:t>
            </w:r>
          </w:p>
        </w:tc>
        <w:tc>
          <w:tcPr>
            <w:tcW w:w="48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Knowledge of complex controls and integrated robot systems are applied to developing analytica</w:t>
            </w:r>
            <w:r w:rsidRPr="00C12ABB">
              <w:t>l solutions to machine parameters and operation.</w:t>
            </w:r>
          </w:p>
        </w:tc>
      </w:tr>
      <w:tr w:rsidTr="00EE4A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2.3</w:t>
            </w:r>
          </w:p>
        </w:tc>
        <w:tc>
          <w:tcPr>
            <w:tcW w:w="48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 xml:space="preserve">Parameters, specifications and performance requirements in relation to each circuit and robot device are obtained in accordance with established procedures. </w:t>
            </w:r>
          </w:p>
        </w:tc>
      </w:tr>
      <w:tr w:rsidTr="00EE4A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2.4</w:t>
            </w:r>
          </w:p>
        </w:tc>
        <w:tc>
          <w:tcPr>
            <w:tcW w:w="48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Approaches to setting up, maintenan</w:t>
            </w:r>
            <w:r w:rsidRPr="00C12ABB">
              <w:t>ce and/or modification are carried out to provide the most effective solution.</w:t>
            </w:r>
          </w:p>
        </w:tc>
      </w:tr>
      <w:tr w:rsidTr="00EE4A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val="restart"/>
            <w:tcBorders>
              <w:top w:val="nil"/>
              <w:left w:val="nil"/>
              <w:bottom w:val="nil"/>
              <w:right w:val="nil"/>
            </w:tcBorders>
            <w:tcMar>
              <w:top w:w="0" w:type="dxa"/>
              <w:left w:w="62" w:type="dxa"/>
              <w:bottom w:w="0" w:type="dxa"/>
              <w:right w:w="62" w:type="dxa"/>
            </w:tcMar>
          </w:tcPr>
          <w:p w:rsidR="00000000" w:rsidRPr="00C12ABB" w:rsidP="00C12ABB">
            <w:pPr>
              <w:pStyle w:val="BodyText"/>
            </w:pP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2.5</w:t>
            </w:r>
          </w:p>
        </w:tc>
        <w:tc>
          <w:tcPr>
            <w:tcW w:w="48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Unplanned events are dealt with safely and effectively consistent with regulatory requirements and enterprise policy.</w:t>
            </w:r>
          </w:p>
        </w:tc>
      </w:tr>
      <w:tr w:rsidTr="00EE4A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2.6</w:t>
            </w:r>
          </w:p>
        </w:tc>
        <w:tc>
          <w:tcPr>
            <w:tcW w:w="48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 xml:space="preserve">Quality </w:t>
            </w:r>
            <w:r w:rsidRPr="00C12ABB">
              <w:t>of work is monitored against personal performance agreement and/or established organisational  or professional standards</w:t>
            </w:r>
          </w:p>
        </w:tc>
      </w:tr>
      <w:tr w:rsidTr="00EE4A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3</w:t>
            </w:r>
          </w:p>
        </w:tc>
        <w:tc>
          <w:tcPr>
            <w:tcW w:w="23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Document and report on the results of the set up and actions taken.</w:t>
            </w:r>
          </w:p>
        </w:tc>
        <w:tc>
          <w:tcPr>
            <w:tcW w:w="90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3.1</w:t>
            </w:r>
          </w:p>
        </w:tc>
        <w:tc>
          <w:tcPr>
            <w:tcW w:w="48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Solutions to set up, maintenance activity and/or modificatio</w:t>
            </w:r>
            <w:r w:rsidRPr="00C12ABB">
              <w:t>n are tested to determine their effectiveness and modified where necessary.</w:t>
            </w:r>
          </w:p>
        </w:tc>
      </w:tr>
      <w:tr w:rsidTr="00EE4A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3.2</w:t>
            </w:r>
          </w:p>
        </w:tc>
        <w:tc>
          <w:tcPr>
            <w:tcW w:w="48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Set up, maintenance activity and/or modification is documented including details of all findings, calculations and assumptions.</w:t>
            </w:r>
          </w:p>
        </w:tc>
      </w:tr>
      <w:tr w:rsidTr="00EE4A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3.3</w:t>
            </w:r>
          </w:p>
        </w:tc>
        <w:tc>
          <w:tcPr>
            <w:tcW w:w="48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Set up, maintenance activity and/or modification is reported to appropriate personnel to establish suitable action to be taken based on findings.</w:t>
            </w:r>
          </w:p>
        </w:tc>
      </w:tr>
      <w:tr w:rsidTr="00EE4A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3.4</w:t>
            </w:r>
          </w:p>
        </w:tc>
        <w:tc>
          <w:tcPr>
            <w:tcW w:w="486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Justification for findings and any actions to be undertaken in relation to the work activity is documen</w:t>
            </w:r>
            <w:r w:rsidRPr="00C12ABB">
              <w:t>ted for inclusion in work/project or development records in accordance with professional standards.</w:t>
            </w:r>
          </w:p>
        </w:tc>
      </w:tr>
    </w:tbl>
    <w:p w:rsidR="00000000" w:rsidRPr="00C12ABB" w:rsidP="00C12ABB">
      <w:pPr>
        <w:pStyle w:val="BodyText"/>
      </w:pPr>
    </w:p>
    <w:p w:rsidR="00000000" w:rsidRPr="00C12ABB" w:rsidP="00C12ABB">
      <w:pPr>
        <w:pStyle w:val="AllowPageBreak"/>
      </w:pPr>
    </w:p>
    <w:p w:rsidR="00000000" w:rsidRPr="00C12ABB" w:rsidP="00C12ABB">
      <w:pPr>
        <w:pStyle w:val="Heading1"/>
      </w:pPr>
      <w:bookmarkStart w:id="9" w:name="O_566796"/>
      <w:bookmarkEnd w:id="9"/>
      <w:r w:rsidRPr="00C12ABB">
        <w:t>Required Skills and Knowledge</w:t>
      </w:r>
    </w:p>
    <w:tbl>
      <w:tblPr>
        <w:tblW w:w="0" w:type="auto"/>
        <w:tblLayout w:type="fixed"/>
        <w:tblCellMar>
          <w:left w:w="62" w:type="dxa"/>
          <w:right w:w="62" w:type="dxa"/>
        </w:tblCellMar>
        <w:tblLook w:val="0000"/>
      </w:tblPr>
      <w:tblGrid>
        <w:gridCol w:w="1440"/>
        <w:gridCol w:w="7020"/>
      </w:tblGrid>
      <w:tr w:rsidTr="00EE4A1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REQUIRED SKILLS AND KNOWLEDGE</w:t>
            </w:r>
          </w:p>
        </w:tc>
      </w:tr>
      <w:tr w:rsidTr="00EE4A12">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8)</w:t>
            </w:r>
            <w:r w:rsidRPr="00C12ABB">
              <w:t xml:space="preserve"> This describes the required skills and knowledge and their level, required for this unit.</w:t>
            </w:r>
          </w:p>
          <w:p w:rsidR="00000000" w:rsidRPr="00C12ABB" w:rsidP="00C12ABB">
            <w:pPr>
              <w:pStyle w:val="BodyText"/>
            </w:pPr>
            <w:r w:rsidRPr="00C12ABB">
              <w:t xml:space="preserve">Evidence shall show that knowledge has been acquired of safe working practices and setting up electronically controlled robotically operated complex systems. </w:t>
            </w:r>
          </w:p>
          <w:p w:rsidR="00000000" w:rsidP="00C12ABB">
            <w:pPr>
              <w:pStyle w:val="BodyText"/>
              <w:rPr>
                <w:lang w:val="en-NZ"/>
              </w:rPr>
            </w:pPr>
            <w:r w:rsidRPr="00C12ABB">
              <w:t>All kn</w:t>
            </w:r>
            <w:r w:rsidRPr="00C12ABB">
              <w:t>owledge and skills detailed in this unit should be contextualised to current industry practices and technologies.</w:t>
            </w:r>
          </w:p>
        </w:tc>
      </w:tr>
      <w:tr w:rsidTr="00EE4A12">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KS01-EI130A</w:t>
            </w:r>
          </w:p>
        </w:tc>
        <w:tc>
          <w:tcPr>
            <w:tcW w:w="70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Electronic interfacing to robotic processes</w:t>
            </w:r>
          </w:p>
        </w:tc>
      </w:tr>
      <w:tr w:rsidTr="00EE4A1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Evidence s</w:t>
            </w:r>
            <w:r w:rsidRPr="00C12ABB">
              <w:t>hall show an understanding of interfacing electronics with robot functions to an extent indicated by the following aspects:</w:t>
            </w:r>
          </w:p>
        </w:tc>
      </w:tr>
      <w:tr w:rsidTr="00EE4A1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T1</w:t>
            </w:r>
          </w:p>
        </w:tc>
        <w:tc>
          <w:tcPr>
            <w:tcW w:w="70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Robot types and selection and pre-selection planning</w:t>
            </w:r>
          </w:p>
        </w:tc>
      </w:tr>
      <w:tr w:rsidTr="00EE4A1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T2</w:t>
            </w:r>
          </w:p>
        </w:tc>
        <w:tc>
          <w:tcPr>
            <w:tcW w:w="70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Robot installation including pre-installation design, layout and system</w:t>
            </w:r>
            <w:r w:rsidRPr="00C12ABB">
              <w:t xml:space="preserve"> documentation</w:t>
            </w:r>
          </w:p>
        </w:tc>
      </w:tr>
      <w:tr w:rsidTr="00EE4A1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T3</w:t>
            </w:r>
          </w:p>
        </w:tc>
        <w:tc>
          <w:tcPr>
            <w:tcW w:w="70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Interfacing of robot controller with other external control systems</w:t>
            </w:r>
          </w:p>
        </w:tc>
      </w:tr>
      <w:tr w:rsidTr="00EE4A1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T4</w:t>
            </w:r>
          </w:p>
        </w:tc>
        <w:tc>
          <w:tcPr>
            <w:tcW w:w="70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Robot sensor devices, characteristics and application</w:t>
            </w:r>
          </w:p>
        </w:tc>
      </w:tr>
      <w:tr w:rsidTr="00EE4A1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T5</w:t>
            </w:r>
          </w:p>
        </w:tc>
        <w:tc>
          <w:tcPr>
            <w:tcW w:w="70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Diagnostic functions</w:t>
            </w:r>
          </w:p>
        </w:tc>
      </w:tr>
      <w:tr w:rsidTr="00EE4A1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T6</w:t>
            </w:r>
          </w:p>
        </w:tc>
        <w:tc>
          <w:tcPr>
            <w:tcW w:w="702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Maintenance scheduling and procedures</w:t>
            </w:r>
          </w:p>
        </w:tc>
      </w:tr>
      <w:tr w:rsidTr="00EE4A1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T7</w:t>
            </w:r>
          </w:p>
        </w:tc>
        <w:tc>
          <w:tcPr>
            <w:tcW w:w="702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Special features including safety, palle</w:t>
            </w:r>
            <w:r w:rsidRPr="00C12ABB">
              <w:t>tising and sub-routines</w:t>
            </w:r>
          </w:p>
        </w:tc>
      </w:tr>
    </w:tbl>
    <w:p w:rsidR="00000000" w:rsidRPr="00C12ABB" w:rsidP="00C12ABB">
      <w:pPr>
        <w:pStyle w:val="BodyText"/>
      </w:pPr>
    </w:p>
    <w:p w:rsidR="00000000" w:rsidRPr="00C12ABB" w:rsidP="00C12ABB">
      <w:pPr>
        <w:pStyle w:val="AllowPageBreak"/>
      </w:pPr>
    </w:p>
    <w:p w:rsidR="00000000" w:rsidRPr="00C12ABB" w:rsidP="00C12ABB">
      <w:pPr>
        <w:pStyle w:val="Heading1"/>
      </w:pPr>
      <w:bookmarkStart w:id="10" w:name="O_566795"/>
      <w:bookmarkEnd w:id="10"/>
      <w:r w:rsidRPr="00C12ABB">
        <w:t>Evidence Guide</w:t>
      </w:r>
    </w:p>
    <w:tbl>
      <w:tblPr>
        <w:tblW w:w="0" w:type="auto"/>
        <w:tblLayout w:type="fixed"/>
        <w:tblCellMar>
          <w:left w:w="62" w:type="dxa"/>
          <w:right w:w="62" w:type="dxa"/>
        </w:tblCellMar>
        <w:tblLook w:val="0000"/>
      </w:tblPr>
      <w:tblGrid>
        <w:gridCol w:w="8460"/>
      </w:tblGrid>
      <w:tr w:rsidTr="00EE4A1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EVIDENCE GUIDE</w:t>
            </w:r>
          </w:p>
        </w:tc>
      </w:tr>
      <w:tr w:rsidTr="00EE4A1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9)</w:t>
            </w:r>
            <w:r w:rsidRPr="00C12ABB">
              <w:t xml:space="preserve"> The evidence guide provides advice on assessment and must be read in conjunction with the Performance Criteria, Re</w:t>
            </w:r>
            <w:r w:rsidRPr="00C12ABB">
              <w:t>quired Skills and Knowledge, the Range Statement and the Assessment Guidelines for this Training Package.</w:t>
            </w:r>
          </w:p>
          <w:p w:rsidR="00000000" w:rsidRPr="00C12ABB" w:rsidP="00C12ABB">
            <w:pPr>
              <w:pStyle w:val="BodyText"/>
            </w:pPr>
            <w:r w:rsidRPr="00C12ABB">
              <w:t>The Evidence Guide forms an integral part of this unit. It must be used in conjunction with all parts of the unit and performed in accordance with the</w:t>
            </w:r>
            <w:r w:rsidRPr="00C12ABB">
              <w:t xml:space="preserve"> Assessment Guidelines of this Training Package.</w:t>
            </w:r>
          </w:p>
        </w:tc>
      </w:tr>
    </w:tbl>
    <w:p w:rsidR="00000000" w:rsidRPr="00C12ABB" w:rsidP="00C12ABB">
      <w:pPr>
        <w:pStyle w:val="BodyText"/>
      </w:pPr>
    </w:p>
    <w:tbl>
      <w:tblPr>
        <w:tblW w:w="0" w:type="auto"/>
        <w:tblLayout w:type="fixed"/>
        <w:tblCellMar>
          <w:left w:w="62" w:type="dxa"/>
          <w:right w:w="62" w:type="dxa"/>
        </w:tblCellMar>
        <w:tblLook w:val="0000"/>
      </w:tblPr>
      <w:tblGrid>
        <w:gridCol w:w="1890"/>
        <w:gridCol w:w="6570"/>
      </w:tblGrid>
      <w:tr w:rsidTr="00EE4A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9.1)</w:t>
            </w:r>
          </w:p>
        </w:tc>
      </w:tr>
      <w:tr w:rsidTr="00EE4A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 xml:space="preserve">Longitudinal competency development approaches to assessment, such as Profiling, require data to be reliably gathered in a form that can be </w:t>
            </w:r>
            <w:r w:rsidRPr="00C12ABB">
              <w:t>consistently interpreted over time. This approach is best utilised in Apprenticeship programs and reduces assessment intervention. It is the industry-preferred model for apprenticeships. However, where summative (or final) assessment is used it is to inclu</w:t>
            </w:r>
            <w:r w:rsidRPr="00C12ABB">
              <w:t>de the application of the competency in the normal work environment or, at a minimum, the application of the competency in a realistically simulated work environment. In some circumstances, assessment in part or full can occur outside the workplace. Howeve</w:t>
            </w:r>
            <w:r w:rsidRPr="00C12ABB">
              <w:t>r, it must be in accordance with industry and regulatory policy.</w:t>
            </w:r>
          </w:p>
          <w:p w:rsidR="00000000" w:rsidRPr="00C12ABB" w:rsidP="00C12ABB">
            <w:pPr>
              <w:pStyle w:val="BodyText"/>
            </w:pPr>
            <w:r w:rsidRPr="00C12ABB">
              <w:t>Methods chosen for a particular assessment will be influenced by various factors. These include the extent of the assessment, the most effective locations for the assessment activities to tak</w:t>
            </w:r>
            <w:r w:rsidRPr="00C12ABB">
              <w:t>e place, access to physical resources, additional safety measures that may be required and the critical nature of the competencies being assessed.</w:t>
            </w:r>
          </w:p>
          <w:p w:rsidR="00000000" w:rsidRPr="00C12ABB" w:rsidP="00C12ABB">
            <w:pPr>
              <w:pStyle w:val="BodyText"/>
            </w:pPr>
            <w:r w:rsidRPr="00C12ABB">
              <w:t>The critical safety nature of working with electricity, electrical equipment, gas or any other hazardous subs</w:t>
            </w:r>
            <w:r w:rsidRPr="00C12ABB">
              <w:t>tance/material carries risk in deeming a person competent. Sources of evidence need to be ‘rich’ in nature to minimise error in judgment.</w:t>
            </w:r>
          </w:p>
          <w:p w:rsidR="00000000" w:rsidRPr="00C12ABB" w:rsidP="00C12ABB">
            <w:pPr>
              <w:pStyle w:val="BodyText"/>
            </w:pPr>
            <w:r w:rsidRPr="00C12ABB">
              <w:t>Activities associated with normal everyday work influence how/how much the data gathered will contribute to its ‘richn</w:t>
            </w:r>
            <w:r w:rsidRPr="00C12ABB">
              <w:t>ess’. Some skills are more critical to safety and operational requirements while the same skills may be more or less frequently practised. These points are raised for the assessors to consider when choosing an assessment method and developing assessment in</w:t>
            </w:r>
            <w:r w:rsidRPr="00C12ABB">
              <w:t>struments. Sample assessment instruments are included for Assessors in the Assessment Guidelines of this Training Package.</w:t>
            </w:r>
          </w:p>
        </w:tc>
      </w:tr>
    </w:tbl>
    <w:p w:rsidR="00000000" w:rsidRPr="00C12ABB" w:rsidP="00C12ABB">
      <w:pPr>
        <w:pStyle w:val="BodyText"/>
      </w:pPr>
    </w:p>
    <w:tbl>
      <w:tblPr>
        <w:tblW w:w="0" w:type="auto"/>
        <w:tblLayout w:type="fixed"/>
        <w:tblCellMar>
          <w:left w:w="62" w:type="dxa"/>
          <w:right w:w="62" w:type="dxa"/>
        </w:tblCellMar>
        <w:tblLook w:val="0000"/>
      </w:tblPr>
      <w:tblGrid>
        <w:gridCol w:w="1890"/>
        <w:gridCol w:w="1530"/>
        <w:gridCol w:w="5040"/>
      </w:tblGrid>
      <w:tr w:rsidTr="00EE4A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9.2)</w:t>
            </w:r>
          </w:p>
        </w:tc>
      </w:tr>
      <w:tr w:rsidTr="00EE4A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Before the critical aspects of evidence are co</w:t>
            </w:r>
            <w:r w:rsidRPr="00C12ABB">
              <w:t>nsidered all prerequisites must be met.</w:t>
            </w:r>
          </w:p>
          <w:p w:rsidR="00000000" w:rsidRPr="00C12ABB" w:rsidP="00C12ABB">
            <w:pPr>
              <w:pStyle w:val="BodyText"/>
            </w:pPr>
            <w:r w:rsidRPr="00C12ABB">
              <w:t>Evidence for competence in this unit shall be considered holistically.  Each Element and associated performance criteria must be demonstrated on at least two occasions in accordance with the ‘Assessment Guidelines –</w:t>
            </w:r>
            <w:r w:rsidRPr="00C12ABB">
              <w:t xml:space="preserve"> UEE11’.  Evidence shall also comprise:</w:t>
            </w:r>
          </w:p>
          <w:p w:rsidR="00000000" w:rsidRPr="00C12ABB" w:rsidP="00C12ABB">
            <w:pPr>
              <w:pStyle w:val="ListBullet"/>
            </w:pPr>
            <w:r w:rsidRPr="00C12ABB">
              <w:t>A representative body of work performance demonstrated within the timeframes typically expected of the discipline, work function and industrial environment. In particular this shall incorporate evidence that shows a</w:t>
            </w:r>
            <w:r w:rsidRPr="00C12ABB">
              <w:t xml:space="preserve"> candidate is able to:</w:t>
            </w:r>
          </w:p>
          <w:p w:rsidR="00000000" w:rsidRPr="00C12ABB" w:rsidP="00C12ABB">
            <w:pPr>
              <w:pStyle w:val="ListBullet2"/>
            </w:pPr>
            <w:r w:rsidRPr="00C12ABB">
              <w:t>Implement Occupational Health and Safety workplace procedures and practices, including the use of risk control measures as specified in the performance criteria and range statement</w:t>
            </w:r>
          </w:p>
          <w:p w:rsidR="00000000" w:rsidRPr="00C12ABB" w:rsidP="00C12ABB">
            <w:pPr>
              <w:pStyle w:val="ListBullet2"/>
            </w:pPr>
            <w:r w:rsidRPr="00C12ABB">
              <w:t>Apply sustainable energy principles and practices a</w:t>
            </w:r>
            <w:r w:rsidRPr="00C12ABB">
              <w:t>s specified in the performance criteria and range statement</w:t>
            </w:r>
          </w:p>
          <w:p w:rsidR="00000000" w:rsidRPr="00C12ABB" w:rsidP="00C12ABB">
            <w:pPr>
              <w:pStyle w:val="ListBullet2"/>
            </w:pPr>
            <w:r w:rsidRPr="00C12ABB">
              <w:t xml:space="preserve">Demonstrate an understanding of the required skills and knowledge as described in this unit.  It may be required by some jurisdictions that RTOs provide a percentile graded result for the purpose </w:t>
            </w:r>
            <w:r w:rsidRPr="00C12ABB">
              <w:t>of regulatory or licensing requirements.</w:t>
            </w:r>
          </w:p>
          <w:p w:rsidR="00000000" w:rsidRPr="00C12ABB" w:rsidP="00C12ABB">
            <w:pPr>
              <w:pStyle w:val="ListBullet2"/>
            </w:pPr>
            <w:r w:rsidRPr="00C12ABB">
              <w:t>Demonstrate an appropriate level of skills enabling employment</w:t>
            </w:r>
          </w:p>
          <w:p w:rsidR="00000000" w:rsidRPr="00C12ABB" w:rsidP="00C12ABB">
            <w:pPr>
              <w:pStyle w:val="ListBullet2"/>
            </w:pPr>
            <w:r w:rsidRPr="00C12ABB">
              <w:t>Conduct work observing the relevant Anti Discrimination legislation, regulations, polices and workplace procedures</w:t>
            </w:r>
          </w:p>
          <w:p w:rsidR="00000000" w:rsidRPr="00C12ABB" w:rsidP="00C12ABB">
            <w:pPr>
              <w:pStyle w:val="ListBullet"/>
            </w:pPr>
            <w:r w:rsidRPr="00C12ABB">
              <w:t xml:space="preserve">Demonstrated consistent performance </w:t>
            </w:r>
            <w:r w:rsidRPr="00C12ABB">
              <w:t>across a representative range of contexts from the prescribed items below:</w:t>
            </w:r>
          </w:p>
          <w:p w:rsidR="00000000" w:rsidP="00C12ABB">
            <w:pPr>
              <w:pStyle w:val="ListBullet2"/>
              <w:rPr>
                <w:lang w:val="en-NZ"/>
              </w:rPr>
            </w:pPr>
            <w:r w:rsidRPr="00C12ABB">
              <w:t>Set up electronically controlled robotically operated complex systems as described in 8) and including:</w:t>
            </w:r>
          </w:p>
        </w:tc>
      </w:tr>
      <w:tr w:rsidTr="00EE4A12">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A</w:t>
            </w:r>
          </w:p>
        </w:tc>
        <w:tc>
          <w:tcPr>
            <w:tcW w:w="50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Understanding the operation of electronic and robot controls</w:t>
            </w:r>
          </w:p>
        </w:tc>
      </w:tr>
      <w:tr w:rsidTr="00EE4A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B</w:t>
            </w:r>
          </w:p>
        </w:tc>
        <w:tc>
          <w:tcPr>
            <w:tcW w:w="50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Forming effective strategies for analysing circuit and robot performance</w:t>
            </w:r>
          </w:p>
        </w:tc>
      </w:tr>
      <w:tr w:rsidTr="00EE4A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C</w:t>
            </w:r>
          </w:p>
        </w:tc>
        <w:tc>
          <w:tcPr>
            <w:tcW w:w="50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Obtaining circuit control and robot parameters, specifications and performance requirements appropriate to each situation.</w:t>
            </w:r>
          </w:p>
        </w:tc>
      </w:tr>
      <w:tr w:rsidTr="00EE4A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D</w:t>
            </w:r>
          </w:p>
        </w:tc>
        <w:tc>
          <w:tcPr>
            <w:tcW w:w="50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Testing the results of the analysis</w:t>
            </w:r>
          </w:p>
        </w:tc>
      </w:tr>
      <w:tr w:rsidTr="00EE4A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E</w:t>
            </w:r>
          </w:p>
        </w:tc>
        <w:tc>
          <w:tcPr>
            <w:tcW w:w="50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Documenting instruction for implementing any actions resulting from the analysis that incorporates risk control measure to be followed.</w:t>
            </w:r>
          </w:p>
        </w:tc>
      </w:tr>
      <w:tr w:rsidTr="00EE4A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F</w:t>
            </w:r>
          </w:p>
        </w:tc>
        <w:tc>
          <w:tcPr>
            <w:tcW w:w="50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Documenting justification of actions to be implemented in accordance with professional standards.</w:t>
            </w:r>
          </w:p>
        </w:tc>
      </w:tr>
      <w:tr w:rsidTr="00EE4A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G</w:t>
            </w:r>
          </w:p>
        </w:tc>
        <w:tc>
          <w:tcPr>
            <w:tcW w:w="504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Dealing with u</w:t>
            </w:r>
            <w:r w:rsidRPr="00C12ABB">
              <w:t>nplanned events by drawing on required skills and knowledge to provide appropriate solutions incorporated in a holistic assessment with the above listed items</w:t>
            </w:r>
          </w:p>
        </w:tc>
      </w:tr>
      <w:tr w:rsidTr="00EE4A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 xml:space="preserve">Note: </w:t>
            </w:r>
          </w:p>
          <w:p w:rsidR="00000000" w:rsidRPr="00C12ABB" w:rsidP="00C12ABB">
            <w:pPr>
              <w:pStyle w:val="BodyText"/>
            </w:pPr>
            <w:r w:rsidRPr="00C12ABB">
              <w:t xml:space="preserve">Successful completion of relevant vendor training may be used to contribute to evidence </w:t>
            </w:r>
            <w:r w:rsidRPr="00C12ABB">
              <w:t>on which competency is deemed. In these cases the alignment of outcomes of vendor training with performance criteria and critical aspects of evidence shall be clearly identified.</w:t>
            </w:r>
          </w:p>
        </w:tc>
      </w:tr>
    </w:tbl>
    <w:p w:rsidR="00000000" w:rsidRPr="00C12ABB" w:rsidP="00C12ABB">
      <w:pPr>
        <w:pStyle w:val="BodyText"/>
      </w:pPr>
    </w:p>
    <w:tbl>
      <w:tblPr>
        <w:tblW w:w="0" w:type="auto"/>
        <w:tblLayout w:type="fixed"/>
        <w:tblCellMar>
          <w:left w:w="62" w:type="dxa"/>
          <w:right w:w="62" w:type="dxa"/>
        </w:tblCellMar>
        <w:tblLook w:val="0000"/>
      </w:tblPr>
      <w:tblGrid>
        <w:gridCol w:w="1890"/>
        <w:gridCol w:w="6570"/>
      </w:tblGrid>
      <w:tr w:rsidTr="00EE4A1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9.3)</w:t>
            </w:r>
          </w:p>
        </w:tc>
      </w:tr>
      <w:tr w:rsidTr="00EE4A1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This unit must be assessed as it relates to normal work practice using procedures, information and resources typical of a workplace. This should include:</w:t>
            </w:r>
          </w:p>
          <w:p w:rsidR="00000000" w:rsidRPr="00C12ABB" w:rsidP="00C12ABB">
            <w:pPr>
              <w:pStyle w:val="ListBullet2"/>
            </w:pPr>
            <w:r w:rsidRPr="00C12ABB">
              <w:t>OHS policy and work procedures and instructions.</w:t>
            </w:r>
          </w:p>
          <w:p w:rsidR="00000000" w:rsidRPr="00C12ABB" w:rsidP="00C12ABB">
            <w:pPr>
              <w:pStyle w:val="ListBullet2"/>
            </w:pPr>
            <w:r w:rsidRPr="00C12ABB">
              <w:t>Suitable work environment, facilities, equipment and materials to undertake actual work as prescribed by this unit.</w:t>
            </w:r>
          </w:p>
          <w:p w:rsidR="00000000" w:rsidRPr="00C12ABB" w:rsidP="00C12ABB">
            <w:pPr>
              <w:pStyle w:val="BodyText"/>
            </w:pPr>
            <w:r w:rsidRPr="00C12ABB">
              <w:t>These should be part of the formal learning/assessment environment.</w:t>
            </w:r>
          </w:p>
          <w:p w:rsidR="00000000" w:rsidRPr="00C12ABB" w:rsidP="00C12ABB">
            <w:pPr>
              <w:pStyle w:val="BodyText"/>
            </w:pPr>
            <w:r w:rsidRPr="00C12ABB">
              <w:t>Note:</w:t>
            </w:r>
          </w:p>
          <w:p w:rsidR="00000000" w:rsidRPr="00C12ABB" w:rsidP="00C12ABB">
            <w:pPr>
              <w:pStyle w:val="BodyText"/>
            </w:pPr>
            <w:r w:rsidRPr="00C12ABB">
              <w:t>Where simulation is considered a suitable strategy for assessment,</w:t>
            </w:r>
            <w:r w:rsidRPr="00C12ABB">
              <w:t xml:space="preserve"> the conditions must be authentic and as far as possible reproduce and replicate the workplace and be consistent with the approved industry simulation policy.</w:t>
            </w:r>
          </w:p>
          <w:p w:rsidR="00000000" w:rsidRPr="00C12ABB" w:rsidP="00C12ABB">
            <w:pPr>
              <w:pStyle w:val="BodyText"/>
            </w:pPr>
            <w:r w:rsidRPr="00C12ABB">
              <w:t>The resources used for assessment should reflect current industry practices in relation to settin</w:t>
            </w:r>
            <w:r w:rsidRPr="00C12ABB">
              <w:t>g up electronically controlled robotically operated complex systems.</w:t>
            </w:r>
          </w:p>
        </w:tc>
      </w:tr>
    </w:tbl>
    <w:p w:rsidR="00000000" w:rsidRPr="00C12ABB" w:rsidP="00C12ABB">
      <w:pPr>
        <w:pStyle w:val="BodyText"/>
      </w:pPr>
    </w:p>
    <w:tbl>
      <w:tblPr>
        <w:tblW w:w="0" w:type="auto"/>
        <w:tblLayout w:type="fixed"/>
        <w:tblCellMar>
          <w:left w:w="62" w:type="dxa"/>
          <w:right w:w="62" w:type="dxa"/>
        </w:tblCellMar>
        <w:tblLook w:val="0000"/>
      </w:tblPr>
      <w:tblGrid>
        <w:gridCol w:w="1890"/>
        <w:gridCol w:w="6570"/>
      </w:tblGrid>
      <w:tr w:rsidTr="00EE4A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9.4)</w:t>
            </w:r>
          </w:p>
        </w:tc>
      </w:tr>
      <w:tr w:rsidTr="00EE4A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This unit shall be assessed by methods given in Volume 1, Part 3 ‘Assessment Guidelines’.</w:t>
            </w:r>
          </w:p>
          <w:p w:rsidR="00000000" w:rsidRPr="00C12ABB" w:rsidP="00C12ABB">
            <w:pPr>
              <w:pStyle w:val="BodyText"/>
            </w:pPr>
            <w:r w:rsidRPr="00C12ABB">
              <w:t xml:space="preserve">Note: </w:t>
            </w:r>
          </w:p>
          <w:p w:rsidR="00000000" w:rsidRPr="00C12ABB" w:rsidP="00C12ABB">
            <w:pPr>
              <w:pStyle w:val="BodyText"/>
            </w:pPr>
            <w:r w:rsidRPr="00C12ABB">
              <w:t>Competent performance with inherent safe working practices is expected in the Industry to which this unit applies. This requires assessment in a structured environment which is intended primarily for learning/assessment and incorporates all necessary equip</w:t>
            </w:r>
            <w:r w:rsidRPr="00C12ABB">
              <w:t>ment and facilities for learners to develop and demonstrate the required skills and knowledge described in this unit.</w:t>
            </w:r>
          </w:p>
        </w:tc>
      </w:tr>
    </w:tbl>
    <w:p w:rsidR="00000000" w:rsidRPr="00C12ABB" w:rsidP="00C12ABB">
      <w:pPr>
        <w:pStyle w:val="BodyText"/>
      </w:pPr>
    </w:p>
    <w:tbl>
      <w:tblPr>
        <w:tblW w:w="0" w:type="auto"/>
        <w:tblLayout w:type="fixed"/>
        <w:tblCellMar>
          <w:left w:w="62" w:type="dxa"/>
          <w:right w:w="62" w:type="dxa"/>
        </w:tblCellMar>
        <w:tblLook w:val="0000"/>
      </w:tblPr>
      <w:tblGrid>
        <w:gridCol w:w="1890"/>
        <w:gridCol w:w="1530"/>
        <w:gridCol w:w="5040"/>
      </w:tblGrid>
      <w:tr w:rsidTr="00EE4A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9.5)</w:t>
            </w:r>
          </w:p>
        </w:tc>
      </w:tr>
      <w:tr w:rsidTr="00EE4A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For optimisation of training and assessment effort, competency developme</w:t>
            </w:r>
            <w:r w:rsidRPr="00C12ABB">
              <w:t>nt in this unit may be arranged concurrently with unit:</w:t>
            </w:r>
          </w:p>
        </w:tc>
      </w:tr>
      <w:tr w:rsidTr="00EE4A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t>UEENEEI129A</w:t>
            </w:r>
          </w:p>
        </w:tc>
        <w:tc>
          <w:tcPr>
            <w:tcW w:w="504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Set up electronically controlled mechanically operated complex systems</w:t>
            </w:r>
          </w:p>
        </w:tc>
      </w:tr>
    </w:tbl>
    <w:p w:rsidR="00000000" w:rsidRPr="00C12ABB" w:rsidP="00C12ABB">
      <w:pPr>
        <w:pStyle w:val="BodyText"/>
      </w:pPr>
    </w:p>
    <w:p w:rsidR="00000000" w:rsidRPr="00C12ABB" w:rsidP="00C12ABB">
      <w:pPr>
        <w:pStyle w:val="AllowPageBreak"/>
      </w:pPr>
    </w:p>
    <w:p w:rsidR="00000000" w:rsidRPr="00C12ABB" w:rsidP="00C12ABB">
      <w:pPr>
        <w:pStyle w:val="Heading1"/>
      </w:pPr>
      <w:bookmarkStart w:id="11" w:name="O_566794"/>
      <w:bookmarkEnd w:id="11"/>
      <w:r w:rsidRPr="00C12ABB">
        <w:t>Range Statement</w:t>
      </w:r>
    </w:p>
    <w:tbl>
      <w:tblPr>
        <w:tblW w:w="0" w:type="auto"/>
        <w:tblLayout w:type="fixed"/>
        <w:tblCellMar>
          <w:left w:w="62" w:type="dxa"/>
          <w:right w:w="62" w:type="dxa"/>
        </w:tblCellMar>
        <w:tblLook w:val="0000"/>
      </w:tblPr>
      <w:tblGrid>
        <w:gridCol w:w="8460"/>
      </w:tblGrid>
      <w:tr w:rsidTr="00EE4A1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RANGE STATEMENT</w:t>
            </w:r>
          </w:p>
        </w:tc>
      </w:tr>
      <w:tr w:rsidTr="00EE4A1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10)</w:t>
            </w:r>
            <w:r w:rsidRPr="00C12ABB">
              <w:t xml:space="preserve"> This relates to the unit as a whole providing the range of contexts and conditions to which the performance criteria apply. It allows for different work environments and situations that will affect performance.</w:t>
            </w:r>
          </w:p>
          <w:p w:rsidR="00000000" w:rsidRPr="00C12ABB" w:rsidP="00C12ABB">
            <w:pPr>
              <w:pStyle w:val="BodyText"/>
            </w:pPr>
            <w:r w:rsidRPr="00C12ABB">
              <w:t>This unit must be demonstrated in relation t</w:t>
            </w:r>
            <w:r w:rsidRPr="00C12ABB">
              <w:t>o setting up electronically controlled robotically operated complex systems on at least 2 types of machines.</w:t>
            </w:r>
          </w:p>
          <w:p w:rsidR="00000000" w:rsidRPr="00C12ABB" w:rsidP="00C12ABB">
            <w:pPr>
              <w:pStyle w:val="BodyText"/>
            </w:pPr>
            <w:r w:rsidRPr="00C12ABB">
              <w:t>Note.</w:t>
            </w:r>
          </w:p>
          <w:p w:rsidR="00000000" w:rsidRPr="00C12ABB" w:rsidP="00C12ABB">
            <w:pPr>
              <w:pStyle w:val="BodyText"/>
            </w:pPr>
            <w:r w:rsidRPr="00C12ABB">
              <w:t>Typical systems are those encountered in meeting performance requirements and compliance standards, revising a machine operating parameters a</w:t>
            </w:r>
            <w:r w:rsidRPr="00C12ABB">
              <w:t>nd dealing with machine malfunctions.</w:t>
            </w:r>
          </w:p>
          <w:p w:rsidR="00000000" w:rsidRPr="00C12ABB" w:rsidP="00C12ABB">
            <w:pPr>
              <w:pStyle w:val="BodyText"/>
            </w:pPr>
            <w:r w:rsidRPr="00C12ABB">
              <w:t>Generic terms used throughout this Vocational Standard shall be regarded as part of the Range Statement in which competency is demonstrated. The definition of these and other terms that apply are given in Volume 2, Par</w:t>
            </w:r>
            <w:r w:rsidRPr="00C12ABB">
              <w:t>t 2.1.</w:t>
            </w:r>
          </w:p>
        </w:tc>
      </w:tr>
    </w:tbl>
    <w:p w:rsidR="00000000" w:rsidRPr="00C12ABB" w:rsidP="00C12ABB">
      <w:pPr>
        <w:pStyle w:val="BodyText"/>
      </w:pPr>
    </w:p>
    <w:p w:rsidR="00000000" w:rsidRPr="00C12ABB" w:rsidP="00C12ABB">
      <w:pPr>
        <w:pStyle w:val="AllowPageBreak"/>
      </w:pPr>
    </w:p>
    <w:p w:rsidR="00000000" w:rsidRPr="00C12ABB" w:rsidP="00C12ABB">
      <w:pPr>
        <w:pStyle w:val="Heading1"/>
      </w:pPr>
      <w:bookmarkStart w:id="12" w:name="O_566793"/>
      <w:bookmarkEnd w:id="12"/>
      <w:r w:rsidRPr="00C12ABB">
        <w:t>Unit Sector(s)</w:t>
      </w:r>
    </w:p>
    <w:p w:rsidR="00000000" w:rsidRPr="00C12ABB" w:rsidP="00C12ABB">
      <w:pPr>
        <w:pStyle w:val="BodyText"/>
      </w:pPr>
      <w:r w:rsidRPr="00C12ABB">
        <w:t>Not applicable.</w:t>
      </w:r>
    </w:p>
    <w:p w:rsidR="00000000" w:rsidRPr="00C12ABB" w:rsidP="00C12ABB">
      <w:pPr>
        <w:pStyle w:val="AllowPageBreak"/>
      </w:pPr>
    </w:p>
    <w:p w:rsidR="00000000" w:rsidRPr="00C12ABB" w:rsidP="00C12ABB">
      <w:pPr>
        <w:pStyle w:val="Heading1"/>
      </w:pPr>
      <w:bookmarkStart w:id="13" w:name="O_566792"/>
      <w:bookmarkEnd w:id="13"/>
      <w:r w:rsidRPr="00C12ABB">
        <w:t>Competency Field</w:t>
      </w:r>
    </w:p>
    <w:tbl>
      <w:tblPr>
        <w:tblW w:w="0" w:type="auto"/>
        <w:tblLayout w:type="fixed"/>
        <w:tblCellMar>
          <w:left w:w="62" w:type="dxa"/>
          <w:right w:w="62" w:type="dxa"/>
        </w:tblCellMar>
        <w:tblLook w:val="0000"/>
      </w:tblPr>
      <w:tblGrid>
        <w:gridCol w:w="2700"/>
        <w:gridCol w:w="5760"/>
      </w:tblGrid>
      <w:tr w:rsidTr="00EE4A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12ABB">
            <w:pPr>
              <w:pStyle w:val="BodyText"/>
              <w:rPr>
                <w:lang w:val="en-NZ"/>
              </w:rPr>
            </w:pPr>
            <w:r w:rsidRPr="00C12ABB">
              <w:rPr>
                <w:rStyle w:val="SpecialBold"/>
              </w:rPr>
              <w:t xml:space="preserve">11) </w:t>
            </w:r>
          </w:p>
        </w:tc>
      </w:tr>
      <w:tr w:rsidTr="00EE4A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2ABB" w:rsidP="00C12ABB">
            <w:pPr>
              <w:pStyle w:val="BodyText"/>
            </w:pPr>
            <w:r w:rsidRPr="00C12ABB">
              <w:t>Instrumentation and Control</w:t>
            </w:r>
          </w:p>
        </w:tc>
      </w:tr>
    </w:tbl>
    <w:p w:rsidR="00000000" w:rsidRPr="00C12ABB" w:rsidP="00C12ABB">
      <w:pPr>
        <w:pStyle w:val="BodyText"/>
      </w:pPr>
    </w:p>
    <w:p w:rsidR="00000000" w:rsidRPr="00C12ABB" w:rsidP="00C12ABB"/>
    <w:sectPr w:rsidSect="00C12A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A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ABB" w:rsidRPr="00EE4A12" w:rsidP="00EE4A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A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12" w:rsidP="00C12A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E4A12" w:rsidP="00C12AB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E4A12" w:rsidP="00C12A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A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ABB" w:rsidRPr="00EE4A12" w:rsidP="00EE4A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A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12" w:rsidRPr="002D2AF8" w:rsidP="00C12ABB">
    <w:pPr>
      <w:pStyle w:val="Header"/>
      <w:framePr w:wrap="around"/>
    </w:pPr>
    <w:r>
      <w:fldChar w:fldCharType="begin"/>
    </w:r>
    <w:r>
      <w:instrText xml:space="preserve"> TITLE   \* MERGEFORMAT </w:instrText>
    </w:r>
    <w:r>
      <w:fldChar w:fldCharType="separate"/>
    </w:r>
    <w:r>
      <w:t>UEENEEI130A Set up electronically controlled robotically operated complex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E4A12" w:rsidP="00C12A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647B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72BB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B0EB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A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ABB"/>
    <w:pPr>
      <w:spacing w:before="360" w:after="60"/>
      <w:outlineLvl w:val="0"/>
    </w:pPr>
    <w:rPr>
      <w:sz w:val="32"/>
    </w:rPr>
  </w:style>
  <w:style w:type="paragraph" w:styleId="Heading2">
    <w:name w:val="heading 2"/>
    <w:basedOn w:val="HeadingBase"/>
    <w:next w:val="BodyText"/>
    <w:link w:val="Heading2Char"/>
    <w:qFormat/>
    <w:rsid w:val="00C12ABB"/>
    <w:pPr>
      <w:keepLines/>
      <w:spacing w:before="240" w:after="120"/>
      <w:outlineLvl w:val="1"/>
    </w:pPr>
    <w:rPr>
      <w:sz w:val="28"/>
      <w:szCs w:val="40"/>
    </w:rPr>
  </w:style>
  <w:style w:type="paragraph" w:styleId="Heading3">
    <w:name w:val="heading 3"/>
    <w:basedOn w:val="HeadingBase"/>
    <w:next w:val="BodyText"/>
    <w:link w:val="Heading3Char"/>
    <w:qFormat/>
    <w:rsid w:val="00C12ABB"/>
    <w:pPr>
      <w:spacing w:before="180" w:after="120"/>
      <w:outlineLvl w:val="2"/>
    </w:pPr>
    <w:rPr>
      <w:spacing w:val="-10"/>
      <w:kern w:val="32"/>
    </w:rPr>
  </w:style>
  <w:style w:type="paragraph" w:styleId="Heading4">
    <w:name w:val="heading 4"/>
    <w:basedOn w:val="HeadingBase"/>
    <w:next w:val="BodyText"/>
    <w:link w:val="Heading4Char"/>
    <w:qFormat/>
    <w:rsid w:val="00C12ABB"/>
    <w:pPr>
      <w:spacing w:before="160" w:after="120"/>
      <w:outlineLvl w:val="3"/>
    </w:pPr>
    <w:rPr>
      <w:sz w:val="22"/>
    </w:rPr>
  </w:style>
  <w:style w:type="paragraph" w:styleId="Heading5">
    <w:name w:val="heading 5"/>
    <w:basedOn w:val="HeadingBase"/>
    <w:next w:val="Normal"/>
    <w:link w:val="Heading5Char"/>
    <w:qFormat/>
    <w:rsid w:val="00C12ABB"/>
    <w:pPr>
      <w:spacing w:before="80"/>
      <w:outlineLvl w:val="4"/>
    </w:pPr>
    <w:rPr>
      <w:color w:val="918585"/>
      <w:sz w:val="20"/>
    </w:rPr>
  </w:style>
  <w:style w:type="paragraph" w:styleId="Heading6">
    <w:name w:val="heading 6"/>
    <w:basedOn w:val="HeadingBase"/>
    <w:next w:val="Normal"/>
    <w:link w:val="Heading6Char"/>
    <w:qFormat/>
    <w:rsid w:val="00C12ABB"/>
    <w:pPr>
      <w:spacing w:before="60"/>
      <w:outlineLvl w:val="5"/>
    </w:pPr>
    <w:rPr>
      <w:color w:val="918585"/>
      <w:sz w:val="20"/>
    </w:rPr>
  </w:style>
  <w:style w:type="paragraph" w:styleId="Heading7">
    <w:name w:val="heading 7"/>
    <w:basedOn w:val="Normal"/>
    <w:next w:val="Normal"/>
    <w:link w:val="Heading7Char"/>
    <w:qFormat/>
    <w:rsid w:val="00C12ABB"/>
    <w:pPr>
      <w:ind w:left="720"/>
      <w:outlineLvl w:val="6"/>
    </w:pPr>
    <w:rPr>
      <w:i/>
    </w:rPr>
  </w:style>
  <w:style w:type="paragraph" w:styleId="Heading8">
    <w:name w:val="heading 8"/>
    <w:basedOn w:val="Normal"/>
    <w:next w:val="Normal"/>
    <w:link w:val="Heading8Char"/>
    <w:qFormat/>
    <w:rsid w:val="00C12ABB"/>
    <w:pPr>
      <w:ind w:left="720"/>
      <w:outlineLvl w:val="7"/>
    </w:pPr>
    <w:rPr>
      <w:i/>
    </w:rPr>
  </w:style>
  <w:style w:type="paragraph" w:styleId="Heading9">
    <w:name w:val="heading 9"/>
    <w:basedOn w:val="Normal"/>
    <w:next w:val="Normal"/>
    <w:link w:val="Heading9Char"/>
    <w:qFormat/>
    <w:rsid w:val="00C12ABB"/>
    <w:pPr>
      <w:ind w:left="720"/>
      <w:outlineLvl w:val="8"/>
    </w:pPr>
    <w:rPr>
      <w:i/>
    </w:rPr>
  </w:style>
  <w:style w:type="character" w:default="1" w:styleId="DefaultParagraphFont">
    <w:name w:val="Default Paragraph Font"/>
    <w:uiPriority w:val="1"/>
    <w:unhideWhenUsed/>
    <w:rsid w:val="00C12A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ABB"/>
  </w:style>
  <w:style w:type="character" w:customStyle="1" w:styleId="Heading1Char">
    <w:name w:val="Heading 1 Char"/>
    <w:basedOn w:val="DefaultParagraphFont"/>
    <w:link w:val="Heading1"/>
    <w:rsid w:val="00C12ABB"/>
    <w:rPr>
      <w:rFonts w:ascii="Times New Roman" w:eastAsia="Times New Roman" w:hAnsi="Times New Roman" w:cs="Times New Roman"/>
      <w:b/>
      <w:sz w:val="32"/>
      <w:szCs w:val="20"/>
      <w:lang w:eastAsia="en-US"/>
    </w:rPr>
  </w:style>
  <w:style w:type="paragraph" w:styleId="BodyText">
    <w:name w:val="Body Text"/>
    <w:basedOn w:val="Normal"/>
    <w:link w:val="BodyTextChar"/>
    <w:rsid w:val="00C12A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2ABB"/>
    <w:rPr>
      <w:rFonts w:ascii="Times New Roman" w:eastAsia="Times New Roman" w:hAnsi="Times New Roman" w:cs="Times New Roman"/>
      <w:sz w:val="24"/>
      <w:lang w:eastAsia="en-US"/>
    </w:rPr>
  </w:style>
  <w:style w:type="paragraph" w:styleId="ListBullet">
    <w:name w:val="List Bullet"/>
    <w:basedOn w:val="List"/>
    <w:rsid w:val="00C12ABB"/>
    <w:pPr>
      <w:numPr>
        <w:numId w:val="13"/>
      </w:numPr>
      <w:tabs>
        <w:tab w:val="clear" w:pos="340"/>
      </w:tabs>
      <w:spacing w:before="40" w:after="40"/>
    </w:pPr>
  </w:style>
  <w:style w:type="character" w:customStyle="1" w:styleId="SpecialBold">
    <w:name w:val="Special Bold"/>
    <w:basedOn w:val="DefaultParagraphFont"/>
    <w:rsid w:val="00C12ABB"/>
    <w:rPr>
      <w:b/>
      <w:spacing w:val="0"/>
    </w:rPr>
  </w:style>
  <w:style w:type="paragraph" w:styleId="ListBullet2">
    <w:name w:val="List Bullet 2"/>
    <w:basedOn w:val="List2"/>
    <w:rsid w:val="00C12ABB"/>
    <w:pPr>
      <w:numPr>
        <w:numId w:val="14"/>
      </w:numPr>
      <w:tabs>
        <w:tab w:val="clear" w:pos="680"/>
      </w:tabs>
    </w:pPr>
  </w:style>
  <w:style w:type="paragraph" w:customStyle="1" w:styleId="SuperHeading">
    <w:name w:val="SuperHeading"/>
    <w:basedOn w:val="Normal"/>
    <w:rsid w:val="00C12ABB"/>
    <w:pPr>
      <w:spacing w:before="240" w:after="120"/>
      <w:outlineLvl w:val="0"/>
    </w:pPr>
    <w:rPr>
      <w:rFonts w:ascii="Times New Roman" w:hAnsi="Times New Roman"/>
      <w:b/>
      <w:sz w:val="32"/>
    </w:rPr>
  </w:style>
  <w:style w:type="paragraph" w:customStyle="1" w:styleId="AllowPageBreak">
    <w:name w:val="AllowPageBreak"/>
    <w:rsid w:val="00C12A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2A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A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A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A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A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A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A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ABB"/>
    <w:rPr>
      <w:rFonts w:ascii="Courier New" w:eastAsia="Times New Roman" w:hAnsi="Courier New" w:cs="Times New Roman"/>
      <w:i/>
      <w:szCs w:val="20"/>
      <w:lang w:eastAsia="en-US"/>
    </w:rPr>
  </w:style>
  <w:style w:type="paragraph" w:customStyle="1" w:styleId="HeadingBase">
    <w:name w:val="Heading Base"/>
    <w:rsid w:val="00C12A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ABB"/>
    <w:pPr>
      <w:tabs>
        <w:tab w:val="right" w:leader="dot" w:pos="9072"/>
      </w:tabs>
      <w:ind w:left="567"/>
    </w:pPr>
    <w:rPr>
      <w:szCs w:val="22"/>
    </w:rPr>
  </w:style>
  <w:style w:type="paragraph" w:customStyle="1" w:styleId="TOCBase">
    <w:name w:val="TOC Base"/>
    <w:rsid w:val="00C12A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ABB"/>
    <w:pPr>
      <w:tabs>
        <w:tab w:val="right" w:leader="dot" w:pos="9072"/>
      </w:tabs>
      <w:spacing w:before="40" w:after="40"/>
      <w:ind w:left="284"/>
    </w:pPr>
    <w:rPr>
      <w:rFonts w:ascii="Times New Roman" w:hAnsi="Times New Roman"/>
    </w:rPr>
  </w:style>
  <w:style w:type="paragraph" w:styleId="TOC1">
    <w:name w:val="toc 1"/>
    <w:basedOn w:val="TOCBase"/>
    <w:next w:val="Normal"/>
    <w:rsid w:val="00C12A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A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ABB"/>
    <w:rPr>
      <w:rFonts w:ascii="Times New Roman" w:eastAsia="Times New Roman" w:hAnsi="Times New Roman" w:cs="Times New Roman"/>
      <w:sz w:val="16"/>
      <w:lang w:eastAsia="en-US"/>
    </w:rPr>
  </w:style>
  <w:style w:type="paragraph" w:styleId="Title">
    <w:name w:val="Title"/>
    <w:basedOn w:val="HeadingBase"/>
    <w:link w:val="TitleChar"/>
    <w:qFormat/>
    <w:rsid w:val="00C12ABB"/>
    <w:pPr>
      <w:spacing w:before="5040"/>
      <w:jc w:val="center"/>
    </w:pPr>
    <w:rPr>
      <w:sz w:val="48"/>
      <w:szCs w:val="72"/>
      <w:lang w:val="en-US"/>
    </w:rPr>
  </w:style>
  <w:style w:type="character" w:customStyle="1" w:styleId="TitleChar">
    <w:name w:val="Title Char"/>
    <w:basedOn w:val="DefaultParagraphFont"/>
    <w:link w:val="Title"/>
    <w:rsid w:val="00C12A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ABB"/>
    <w:pPr>
      <w:tabs>
        <w:tab w:val="left" w:pos="3600"/>
        <w:tab w:val="left" w:pos="3958"/>
      </w:tabs>
    </w:pPr>
  </w:style>
  <w:style w:type="paragraph" w:styleId="List">
    <w:name w:val="List"/>
    <w:basedOn w:val="BodyText"/>
    <w:next w:val="BodyText"/>
    <w:rsid w:val="00C12ABB"/>
    <w:pPr>
      <w:tabs>
        <w:tab w:val="left" w:pos="340"/>
      </w:tabs>
      <w:spacing w:before="60" w:after="60"/>
      <w:ind w:left="340" w:hanging="340"/>
    </w:pPr>
  </w:style>
  <w:style w:type="paragraph" w:customStyle="1" w:styleId="Note">
    <w:name w:val="Note"/>
    <w:basedOn w:val="BodyText"/>
    <w:rsid w:val="00C12A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ABB"/>
    <w:pPr>
      <w:framePr w:wrap="auto" w:hAnchor="text" w:y="6049"/>
    </w:pPr>
    <w:rPr>
      <w:color w:val="000000"/>
      <w:sz w:val="40"/>
    </w:rPr>
  </w:style>
  <w:style w:type="paragraph" w:customStyle="1" w:styleId="TOCTitle">
    <w:name w:val="TOCTitle"/>
    <w:basedOn w:val="Heading1"/>
    <w:rsid w:val="00C12ABB"/>
    <w:pPr>
      <w:spacing w:after="240"/>
      <w:jc w:val="center"/>
      <w:outlineLvl w:val="9"/>
    </w:pPr>
    <w:rPr>
      <w:caps/>
    </w:rPr>
  </w:style>
  <w:style w:type="paragraph" w:customStyle="1" w:styleId="Version">
    <w:name w:val="Version"/>
    <w:rsid w:val="00C12A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2ABB"/>
    <w:pPr>
      <w:keepNext w:val="0"/>
      <w:tabs>
        <w:tab w:val="right" w:pos="4176"/>
      </w:tabs>
      <w:ind w:left="198" w:hanging="198"/>
    </w:pPr>
    <w:rPr>
      <w:rFonts w:ascii="Garamond" w:hAnsi="Garamond"/>
    </w:rPr>
  </w:style>
  <w:style w:type="paragraph" w:styleId="IndexHeading">
    <w:name w:val="index heading"/>
    <w:basedOn w:val="Normal"/>
    <w:next w:val="Index1"/>
    <w:semiHidden/>
    <w:rsid w:val="00C12ABB"/>
    <w:pPr>
      <w:spacing w:before="120" w:after="120"/>
    </w:pPr>
    <w:rPr>
      <w:rFonts w:ascii="Arial" w:hAnsi="Arial"/>
      <w:b/>
      <w:color w:val="918585"/>
      <w:sz w:val="24"/>
    </w:rPr>
  </w:style>
  <w:style w:type="paragraph" w:styleId="Header">
    <w:name w:val="header"/>
    <w:basedOn w:val="Normal"/>
    <w:link w:val="HeaderChar"/>
    <w:rsid w:val="00C12A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ABB"/>
    <w:rPr>
      <w:rFonts w:ascii="Times New Roman" w:eastAsia="Times New Roman" w:hAnsi="Times New Roman" w:cs="Times New Roman"/>
      <w:sz w:val="16"/>
      <w:szCs w:val="20"/>
      <w:lang w:val="en-GB" w:eastAsia="en-US"/>
    </w:rPr>
  </w:style>
  <w:style w:type="paragraph" w:customStyle="1" w:styleId="Chapter">
    <w:name w:val="Chapter"/>
    <w:basedOn w:val="Normal"/>
    <w:rsid w:val="00C12ABB"/>
    <w:pPr>
      <w:spacing w:before="240"/>
    </w:pPr>
    <w:rPr>
      <w:rFonts w:ascii="Times New Roman" w:hAnsi="Times New Roman"/>
      <w:smallCaps/>
      <w:spacing w:val="80"/>
      <w:sz w:val="28"/>
    </w:rPr>
  </w:style>
  <w:style w:type="paragraph" w:customStyle="1" w:styleId="InChapter">
    <w:name w:val="InChapter"/>
    <w:basedOn w:val="Heading3"/>
    <w:rsid w:val="00C12ABB"/>
    <w:pPr>
      <w:spacing w:after="240"/>
      <w:outlineLvl w:val="9"/>
    </w:pPr>
    <w:rPr>
      <w:noProof/>
    </w:rPr>
  </w:style>
  <w:style w:type="paragraph" w:styleId="Index2">
    <w:name w:val="index 2"/>
    <w:basedOn w:val="Normal"/>
    <w:next w:val="Normal"/>
    <w:semiHidden/>
    <w:rsid w:val="00C12ABB"/>
    <w:pPr>
      <w:tabs>
        <w:tab w:val="right" w:pos="4176"/>
      </w:tabs>
      <w:ind w:left="568" w:hanging="284"/>
    </w:pPr>
    <w:rPr>
      <w:rFonts w:ascii="Garamond" w:hAnsi="Garamond"/>
    </w:rPr>
  </w:style>
  <w:style w:type="paragraph" w:customStyle="1" w:styleId="Byline">
    <w:name w:val="Byline"/>
    <w:rsid w:val="00C12A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ABB"/>
    <w:pPr>
      <w:tabs>
        <w:tab w:val="clear" w:pos="3600"/>
        <w:tab w:val="clear" w:pos="3958"/>
      </w:tabs>
      <w:jc w:val="right"/>
    </w:pPr>
  </w:style>
  <w:style w:type="character" w:styleId="Emphasis">
    <w:name w:val="Emphasis"/>
    <w:basedOn w:val="DefaultParagraphFont"/>
    <w:qFormat/>
    <w:rsid w:val="00C12ABB"/>
    <w:rPr>
      <w:i/>
    </w:rPr>
  </w:style>
  <w:style w:type="paragraph" w:styleId="Caption">
    <w:name w:val="caption"/>
    <w:basedOn w:val="BodyText"/>
    <w:next w:val="Normal"/>
    <w:qFormat/>
    <w:rsid w:val="00C12ABB"/>
    <w:pPr>
      <w:framePr w:w="2268" w:hSpace="181" w:vSpace="181" w:wrap="around" w:vAnchor="text" w:hAnchor="page" w:x="1135" w:y="285" w:anchorLock="1"/>
    </w:pPr>
    <w:rPr>
      <w:i/>
    </w:rPr>
  </w:style>
  <w:style w:type="paragraph" w:customStyle="1" w:styleId="MiniTOCTitle">
    <w:name w:val="MiniTOCTitle"/>
    <w:basedOn w:val="Heading4"/>
    <w:rsid w:val="00C12ABB"/>
    <w:pPr>
      <w:spacing w:before="240"/>
      <w:outlineLvl w:val="9"/>
    </w:pPr>
    <w:rPr>
      <w:noProof/>
      <w:sz w:val="24"/>
    </w:rPr>
  </w:style>
  <w:style w:type="paragraph" w:customStyle="1" w:styleId="MiniTOCItem">
    <w:name w:val="MiniTOCItem"/>
    <w:basedOn w:val="ListBullet"/>
    <w:rsid w:val="00C12ABB"/>
    <w:pPr>
      <w:numPr>
        <w:numId w:val="0"/>
      </w:numPr>
      <w:tabs>
        <w:tab w:val="right" w:leader="dot" w:pos="6521"/>
      </w:tabs>
      <w:spacing w:before="0" w:after="0"/>
    </w:pPr>
  </w:style>
  <w:style w:type="paragraph" w:customStyle="1" w:styleId="TOFTitle">
    <w:name w:val="TOFTitle"/>
    <w:basedOn w:val="TOCTitle"/>
    <w:rsid w:val="00C12ABB"/>
  </w:style>
  <w:style w:type="paragraph" w:styleId="TableofFigures">
    <w:name w:val="table of figures"/>
    <w:basedOn w:val="Normal"/>
    <w:next w:val="Normal"/>
    <w:semiHidden/>
    <w:rsid w:val="00C12ABB"/>
    <w:pPr>
      <w:tabs>
        <w:tab w:val="right" w:leader="dot" w:pos="9072"/>
      </w:tabs>
      <w:ind w:left="970" w:hanging="403"/>
    </w:pPr>
    <w:rPr>
      <w:rFonts w:ascii="Times New Roman" w:hAnsi="Times New Roman"/>
      <w:b/>
    </w:rPr>
  </w:style>
  <w:style w:type="paragraph" w:styleId="ListNumber">
    <w:name w:val="List Number"/>
    <w:basedOn w:val="List"/>
    <w:rsid w:val="00C12ABB"/>
    <w:pPr>
      <w:numPr>
        <w:numId w:val="11"/>
      </w:numPr>
    </w:pPr>
  </w:style>
  <w:style w:type="character" w:customStyle="1" w:styleId="WingdingSymbols">
    <w:name w:val="Wingding Symbols"/>
    <w:rsid w:val="00C12ABB"/>
    <w:rPr>
      <w:rFonts w:ascii="Wingdings" w:hAnsi="Wingdings"/>
    </w:rPr>
  </w:style>
  <w:style w:type="paragraph" w:customStyle="1" w:styleId="TableHeading">
    <w:name w:val="Table Heading"/>
    <w:basedOn w:val="HeadingBase"/>
    <w:rsid w:val="00C12ABB"/>
    <w:pPr>
      <w:keepLines/>
      <w:pBdr>
        <w:bottom w:val="single" w:sz="6" w:space="1" w:color="918585"/>
      </w:pBdr>
      <w:spacing w:before="240"/>
    </w:pPr>
  </w:style>
  <w:style w:type="character" w:customStyle="1" w:styleId="HotSpot">
    <w:name w:val="HotSpot"/>
    <w:rsid w:val="00C12ABB"/>
    <w:rPr>
      <w:color w:val="0033CC"/>
      <w:u w:val="none"/>
    </w:rPr>
  </w:style>
  <w:style w:type="paragraph" w:customStyle="1" w:styleId="BodyTextRight">
    <w:name w:val="Body Text Right"/>
    <w:basedOn w:val="BodyText"/>
    <w:rsid w:val="00C12ABB"/>
    <w:pPr>
      <w:spacing w:before="0" w:after="0"/>
      <w:jc w:val="right"/>
    </w:pPr>
  </w:style>
  <w:style w:type="paragraph" w:styleId="Index3">
    <w:name w:val="index 3"/>
    <w:basedOn w:val="ListNumber2"/>
    <w:next w:val="Normal"/>
    <w:semiHidden/>
    <w:rsid w:val="00C12ABB"/>
    <w:pPr>
      <w:numPr>
        <w:numId w:val="0"/>
      </w:numPr>
      <w:tabs>
        <w:tab w:val="right" w:leader="dot" w:pos="4176"/>
      </w:tabs>
    </w:pPr>
  </w:style>
  <w:style w:type="paragraph" w:styleId="ListNumber2">
    <w:name w:val="List Number 2"/>
    <w:basedOn w:val="List2"/>
    <w:rsid w:val="00C12ABB"/>
    <w:pPr>
      <w:numPr>
        <w:numId w:val="10"/>
      </w:numPr>
      <w:tabs>
        <w:tab w:val="clear" w:pos="1060"/>
      </w:tabs>
    </w:pPr>
  </w:style>
  <w:style w:type="paragraph" w:customStyle="1" w:styleId="MarginNote">
    <w:name w:val="Margin Note"/>
    <w:basedOn w:val="BodyText"/>
    <w:rsid w:val="00C12A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A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A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ABB"/>
    <w:rPr>
      <w:sz w:val="32"/>
    </w:rPr>
  </w:style>
  <w:style w:type="paragraph" w:customStyle="1" w:styleId="HeadingProcedure">
    <w:name w:val="Heading Procedure"/>
    <w:basedOn w:val="HeadingBase"/>
    <w:next w:val="Normal"/>
    <w:rsid w:val="00C12ABB"/>
    <w:pPr>
      <w:tabs>
        <w:tab w:val="left" w:pos="0"/>
      </w:tabs>
      <w:spacing w:before="120" w:after="60"/>
    </w:pPr>
    <w:rPr>
      <w:i/>
      <w:color w:val="918585"/>
      <w:sz w:val="22"/>
    </w:rPr>
  </w:style>
  <w:style w:type="paragraph" w:customStyle="1" w:styleId="TableBodyText">
    <w:name w:val="Table Body Text"/>
    <w:basedOn w:val="BodyText"/>
    <w:rsid w:val="00C12ABB"/>
    <w:pPr>
      <w:spacing w:before="60" w:after="60"/>
    </w:pPr>
  </w:style>
  <w:style w:type="paragraph" w:styleId="ListContinue">
    <w:name w:val="List Continue"/>
    <w:basedOn w:val="List"/>
    <w:rsid w:val="00C12ABB"/>
    <w:pPr>
      <w:ind w:firstLine="0"/>
    </w:pPr>
  </w:style>
  <w:style w:type="paragraph" w:customStyle="1" w:styleId="ListNote">
    <w:name w:val="List Note"/>
    <w:basedOn w:val="List"/>
    <w:rsid w:val="00C12ABB"/>
    <w:pPr>
      <w:pBdr>
        <w:top w:val="single" w:sz="6" w:space="2" w:color="918585"/>
        <w:bottom w:val="single" w:sz="6" w:space="2" w:color="918585"/>
      </w:pBdr>
      <w:tabs>
        <w:tab w:val="left" w:pos="1021"/>
      </w:tabs>
      <w:ind w:firstLine="0"/>
    </w:pPr>
  </w:style>
  <w:style w:type="paragraph" w:customStyle="1" w:styleId="Warning">
    <w:name w:val="Warning"/>
    <w:basedOn w:val="BodyText"/>
    <w:rsid w:val="00C12ABB"/>
    <w:pPr>
      <w:shd w:val="clear" w:color="auto" w:fill="D9D9D9"/>
      <w:tabs>
        <w:tab w:val="left" w:pos="992"/>
      </w:tabs>
      <w:ind w:left="119" w:right="119"/>
    </w:pPr>
    <w:rPr>
      <w:sz w:val="20"/>
    </w:rPr>
  </w:style>
  <w:style w:type="paragraph" w:customStyle="1" w:styleId="MarginIcons">
    <w:name w:val="Margin Icons"/>
    <w:basedOn w:val="BodyText"/>
    <w:rsid w:val="00C12A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ABB"/>
    <w:rPr>
      <w:rFonts w:ascii="Courier New" w:hAnsi="Courier New"/>
    </w:rPr>
  </w:style>
  <w:style w:type="paragraph" w:customStyle="1" w:styleId="NoteBullet">
    <w:name w:val="Note Bullet"/>
    <w:basedOn w:val="Note"/>
    <w:rsid w:val="00C12ABB"/>
    <w:pPr>
      <w:tabs>
        <w:tab w:val="clear" w:pos="680"/>
      </w:tabs>
      <w:spacing w:before="60" w:after="60"/>
    </w:pPr>
  </w:style>
  <w:style w:type="paragraph" w:customStyle="1" w:styleId="SubHeading2">
    <w:name w:val="SubHeading2"/>
    <w:basedOn w:val="HeadingBase"/>
    <w:rsid w:val="00C12ABB"/>
    <w:pPr>
      <w:spacing w:before="240" w:after="60"/>
    </w:pPr>
    <w:rPr>
      <w:sz w:val="20"/>
    </w:rPr>
  </w:style>
  <w:style w:type="paragraph" w:customStyle="1" w:styleId="SubHeading1">
    <w:name w:val="SubHeading1"/>
    <w:basedOn w:val="HeadingBase"/>
    <w:rsid w:val="00C12ABB"/>
    <w:pPr>
      <w:spacing w:before="240" w:after="60"/>
    </w:pPr>
    <w:rPr>
      <w:color w:val="918585"/>
      <w:sz w:val="22"/>
    </w:rPr>
  </w:style>
  <w:style w:type="paragraph" w:customStyle="1" w:styleId="SideHeading">
    <w:name w:val="Side Heading"/>
    <w:basedOn w:val="HeadingBase"/>
    <w:rsid w:val="00C12A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ABB"/>
    <w:pPr>
      <w:numPr>
        <w:numId w:val="12"/>
      </w:numPr>
    </w:pPr>
  </w:style>
  <w:style w:type="paragraph" w:styleId="PlainText">
    <w:name w:val="Plain Text"/>
    <w:basedOn w:val="Normal"/>
    <w:link w:val="PlainTextChar"/>
    <w:rsid w:val="00C12ABB"/>
    <w:rPr>
      <w:sz w:val="20"/>
    </w:rPr>
  </w:style>
  <w:style w:type="character" w:customStyle="1" w:styleId="PlainTextChar">
    <w:name w:val="Plain Text Char"/>
    <w:basedOn w:val="DefaultParagraphFont"/>
    <w:link w:val="PlainText"/>
    <w:rsid w:val="00C12ABB"/>
    <w:rPr>
      <w:rFonts w:ascii="Courier New" w:eastAsia="Times New Roman" w:hAnsi="Courier New" w:cs="Times New Roman"/>
      <w:sz w:val="20"/>
      <w:szCs w:val="20"/>
      <w:lang w:eastAsia="en-US"/>
    </w:rPr>
  </w:style>
  <w:style w:type="character" w:customStyle="1" w:styleId="MenuOption">
    <w:name w:val="Menu Option"/>
    <w:basedOn w:val="DefaultParagraphFont"/>
    <w:rsid w:val="00C12ABB"/>
    <w:rPr>
      <w:b/>
      <w:smallCaps/>
    </w:rPr>
  </w:style>
  <w:style w:type="paragraph" w:customStyle="1" w:styleId="TableListNumber">
    <w:name w:val="Table List Number"/>
    <w:basedOn w:val="ListNumber"/>
    <w:rsid w:val="00C12ABB"/>
    <w:pPr>
      <w:numPr>
        <w:numId w:val="0"/>
      </w:numPr>
    </w:pPr>
  </w:style>
  <w:style w:type="paragraph" w:styleId="TOC4">
    <w:name w:val="toc 4"/>
    <w:basedOn w:val="TOCBase"/>
    <w:next w:val="Normal"/>
    <w:semiHidden/>
    <w:rsid w:val="00C12ABB"/>
    <w:pPr>
      <w:tabs>
        <w:tab w:val="right" w:leader="dot" w:pos="9071"/>
      </w:tabs>
      <w:ind w:left="1701"/>
    </w:pPr>
  </w:style>
  <w:style w:type="paragraph" w:customStyle="1" w:styleId="ListAlpha">
    <w:name w:val="List Alpha"/>
    <w:basedOn w:val="List"/>
    <w:rsid w:val="00C12ABB"/>
    <w:pPr>
      <w:numPr>
        <w:numId w:val="9"/>
      </w:numPr>
    </w:pPr>
  </w:style>
  <w:style w:type="paragraph" w:customStyle="1" w:styleId="ListAlpha2">
    <w:name w:val="List Alpha 2"/>
    <w:basedOn w:val="List2"/>
    <w:rsid w:val="00C12ABB"/>
    <w:pPr>
      <w:numPr>
        <w:numId w:val="8"/>
      </w:numPr>
    </w:pPr>
  </w:style>
  <w:style w:type="paragraph" w:styleId="List2">
    <w:name w:val="List 2"/>
    <w:basedOn w:val="BodyText"/>
    <w:rsid w:val="00C12ABB"/>
    <w:pPr>
      <w:tabs>
        <w:tab w:val="left" w:pos="680"/>
      </w:tabs>
      <w:spacing w:before="60" w:after="60"/>
      <w:ind w:left="680" w:hanging="340"/>
    </w:pPr>
  </w:style>
  <w:style w:type="paragraph" w:styleId="List3">
    <w:name w:val="List 3"/>
    <w:basedOn w:val="BodyText"/>
    <w:rsid w:val="00C12ABB"/>
    <w:pPr>
      <w:tabs>
        <w:tab w:val="left" w:pos="1021"/>
      </w:tabs>
      <w:spacing w:before="60" w:after="60"/>
      <w:ind w:left="1020" w:hanging="340"/>
    </w:pPr>
  </w:style>
  <w:style w:type="paragraph" w:styleId="List4">
    <w:name w:val="List 4"/>
    <w:basedOn w:val="BodyText"/>
    <w:rsid w:val="00C12ABB"/>
    <w:pPr>
      <w:tabs>
        <w:tab w:val="left" w:pos="1361"/>
      </w:tabs>
      <w:spacing w:before="60" w:after="60"/>
      <w:ind w:left="1361" w:hanging="340"/>
    </w:pPr>
  </w:style>
  <w:style w:type="paragraph" w:styleId="List5">
    <w:name w:val="List 5"/>
    <w:basedOn w:val="BodyText"/>
    <w:rsid w:val="00C12ABB"/>
    <w:pPr>
      <w:tabs>
        <w:tab w:val="left" w:pos="1701"/>
      </w:tabs>
      <w:spacing w:before="60" w:after="60"/>
      <w:ind w:left="1701" w:hanging="340"/>
    </w:pPr>
  </w:style>
  <w:style w:type="paragraph" w:styleId="ListBullet3">
    <w:name w:val="List Bullet 3"/>
    <w:basedOn w:val="List3"/>
    <w:rsid w:val="00C12ABB"/>
    <w:pPr>
      <w:numPr>
        <w:numId w:val="15"/>
      </w:numPr>
      <w:tabs>
        <w:tab w:val="clear" w:pos="1021"/>
      </w:tabs>
      <w:ind w:left="1037" w:hanging="357"/>
    </w:pPr>
  </w:style>
  <w:style w:type="paragraph" w:styleId="ListBullet4">
    <w:name w:val="List Bullet 4"/>
    <w:basedOn w:val="List4"/>
    <w:rsid w:val="00C12ABB"/>
    <w:pPr>
      <w:numPr>
        <w:numId w:val="3"/>
      </w:numPr>
    </w:pPr>
  </w:style>
  <w:style w:type="paragraph" w:styleId="ListBullet5">
    <w:name w:val="List Bullet 5"/>
    <w:basedOn w:val="List5"/>
    <w:rsid w:val="00C12ABB"/>
    <w:pPr>
      <w:numPr>
        <w:numId w:val="4"/>
      </w:numPr>
    </w:pPr>
  </w:style>
  <w:style w:type="paragraph" w:styleId="ListContinue2">
    <w:name w:val="List Continue 2"/>
    <w:basedOn w:val="List2"/>
    <w:rsid w:val="00C12ABB"/>
    <w:pPr>
      <w:ind w:firstLine="0"/>
    </w:pPr>
  </w:style>
  <w:style w:type="paragraph" w:styleId="ListContinue3">
    <w:name w:val="List Continue 3"/>
    <w:basedOn w:val="List3"/>
    <w:rsid w:val="00C12ABB"/>
    <w:pPr>
      <w:ind w:left="1021" w:firstLine="0"/>
    </w:pPr>
  </w:style>
  <w:style w:type="paragraph" w:styleId="ListContinue4">
    <w:name w:val="List Continue 4"/>
    <w:basedOn w:val="List4"/>
    <w:rsid w:val="00C12ABB"/>
    <w:pPr>
      <w:ind w:firstLine="0"/>
    </w:pPr>
  </w:style>
  <w:style w:type="paragraph" w:styleId="ListContinue5">
    <w:name w:val="List Continue 5"/>
    <w:basedOn w:val="List5"/>
    <w:rsid w:val="00C12ABB"/>
    <w:pPr>
      <w:ind w:firstLine="0"/>
    </w:pPr>
  </w:style>
  <w:style w:type="paragraph" w:styleId="ListNumber3">
    <w:name w:val="List Number 3"/>
    <w:basedOn w:val="List3"/>
    <w:rsid w:val="00C12ABB"/>
    <w:pPr>
      <w:numPr>
        <w:numId w:val="5"/>
      </w:numPr>
    </w:pPr>
  </w:style>
  <w:style w:type="paragraph" w:styleId="ListNumber4">
    <w:name w:val="List Number 4"/>
    <w:basedOn w:val="List4"/>
    <w:rsid w:val="00C12ABB"/>
    <w:pPr>
      <w:numPr>
        <w:numId w:val="6"/>
      </w:numPr>
    </w:pPr>
  </w:style>
  <w:style w:type="paragraph" w:styleId="ListNumber5">
    <w:name w:val="List Number 5"/>
    <w:basedOn w:val="List5"/>
    <w:rsid w:val="00C12ABB"/>
    <w:pPr>
      <w:numPr>
        <w:numId w:val="7"/>
      </w:numPr>
    </w:pPr>
  </w:style>
  <w:style w:type="paragraph" w:styleId="BlockText">
    <w:name w:val="Block Text"/>
    <w:basedOn w:val="Normal"/>
    <w:rsid w:val="00C12ABB"/>
    <w:pPr>
      <w:spacing w:after="120"/>
      <w:ind w:left="1440" w:right="1440"/>
    </w:pPr>
  </w:style>
  <w:style w:type="character" w:customStyle="1" w:styleId="Subscript">
    <w:name w:val="Subscript"/>
    <w:basedOn w:val="DefaultParagraphFont"/>
    <w:rsid w:val="00C12ABB"/>
    <w:rPr>
      <w:sz w:val="16"/>
      <w:vertAlign w:val="subscript"/>
    </w:rPr>
  </w:style>
  <w:style w:type="character" w:customStyle="1" w:styleId="Superscript">
    <w:name w:val="Superscript"/>
    <w:basedOn w:val="DefaultParagraphFont"/>
    <w:rsid w:val="00C12ABB"/>
    <w:rPr>
      <w:sz w:val="16"/>
      <w:vertAlign w:val="superscript"/>
    </w:rPr>
  </w:style>
  <w:style w:type="character" w:customStyle="1" w:styleId="Symbols">
    <w:name w:val="Symbols"/>
    <w:basedOn w:val="DefaultParagraphFont"/>
    <w:rsid w:val="00C12ABB"/>
    <w:rPr>
      <w:rFonts w:ascii="Symbol" w:hAnsi="Symbol"/>
    </w:rPr>
  </w:style>
  <w:style w:type="character" w:customStyle="1" w:styleId="MenuOptions">
    <w:name w:val="Menu Options"/>
    <w:basedOn w:val="DefaultParagraphFont"/>
    <w:rsid w:val="00C12ABB"/>
    <w:rPr>
      <w:rFonts w:ascii="Arial Narrow" w:hAnsi="Arial Narrow"/>
      <w:smallCaps/>
    </w:rPr>
  </w:style>
  <w:style w:type="character" w:customStyle="1" w:styleId="Buttons">
    <w:name w:val="Buttons"/>
    <w:basedOn w:val="DefaultParagraphFont"/>
    <w:rsid w:val="00C12ABB"/>
    <w:rPr>
      <w:b/>
    </w:rPr>
  </w:style>
  <w:style w:type="character" w:customStyle="1" w:styleId="Underlined">
    <w:name w:val="Underlined"/>
    <w:basedOn w:val="DefaultParagraphFont"/>
    <w:rsid w:val="00C12ABB"/>
    <w:rPr>
      <w:u w:val="single"/>
    </w:rPr>
  </w:style>
  <w:style w:type="paragraph" w:customStyle="1" w:styleId="TableBodyTextRight">
    <w:name w:val="Table Body Text Right"/>
    <w:basedOn w:val="TableBodyText"/>
    <w:rsid w:val="00C12ABB"/>
    <w:pPr>
      <w:widowControl w:val="0"/>
      <w:autoSpaceDE w:val="0"/>
      <w:autoSpaceDN w:val="0"/>
      <w:adjustRightInd w:val="0"/>
      <w:jc w:val="right"/>
    </w:pPr>
    <w:rPr>
      <w:rFonts w:cs="Arial"/>
      <w:szCs w:val="18"/>
    </w:rPr>
  </w:style>
  <w:style w:type="paragraph" w:customStyle="1" w:styleId="CopyrightText">
    <w:name w:val="Copyright Text"/>
    <w:basedOn w:val="BodyText"/>
    <w:rsid w:val="00C12ABB"/>
    <w:rPr>
      <w:sz w:val="18"/>
    </w:rPr>
  </w:style>
  <w:style w:type="paragraph" w:customStyle="1" w:styleId="BodySmallRight">
    <w:name w:val="Body Small Right"/>
    <w:basedOn w:val="BodyTextRight"/>
    <w:rsid w:val="00C12ABB"/>
    <w:rPr>
      <w:sz w:val="18"/>
      <w:szCs w:val="18"/>
    </w:rPr>
  </w:style>
  <w:style w:type="paragraph" w:customStyle="1" w:styleId="MarginEdition">
    <w:name w:val="Margin Edition"/>
    <w:basedOn w:val="MarginNote"/>
    <w:rsid w:val="00C12ABB"/>
    <w:pPr>
      <w:spacing w:before="0" w:after="0"/>
    </w:pPr>
    <w:rPr>
      <w:rFonts w:ascii="Times New Roman" w:hAnsi="Times New Roman"/>
      <w:color w:val="999999"/>
    </w:rPr>
  </w:style>
  <w:style w:type="paragraph" w:customStyle="1" w:styleId="Spacer">
    <w:name w:val="Spacer"/>
    <w:basedOn w:val="Normal"/>
    <w:rsid w:val="00C12ABB"/>
    <w:rPr>
      <w:sz w:val="2"/>
      <w:szCs w:val="2"/>
    </w:rPr>
  </w:style>
  <w:style w:type="character" w:customStyle="1" w:styleId="Small">
    <w:name w:val="Small"/>
    <w:basedOn w:val="DefaultParagraphFont"/>
    <w:rsid w:val="00C12ABB"/>
    <w:rPr>
      <w:sz w:val="16"/>
    </w:rPr>
  </w:style>
  <w:style w:type="paragraph" w:customStyle="1" w:styleId="WideTable">
    <w:name w:val="Wide Table"/>
    <w:basedOn w:val="Normal"/>
    <w:rsid w:val="00C12ABB"/>
    <w:pPr>
      <w:ind w:left="-1418"/>
    </w:pPr>
    <w:rPr>
      <w:sz w:val="2"/>
      <w:szCs w:val="2"/>
    </w:rPr>
  </w:style>
  <w:style w:type="character" w:styleId="PageNumber">
    <w:name w:val="page number"/>
    <w:basedOn w:val="DefaultParagraphFont"/>
    <w:rsid w:val="00C12ABB"/>
  </w:style>
  <w:style w:type="paragraph" w:styleId="Quote">
    <w:name w:val="Quote"/>
    <w:basedOn w:val="Heading1"/>
    <w:link w:val="QuoteChar"/>
    <w:qFormat/>
    <w:rsid w:val="00C12ABB"/>
    <w:rPr>
      <w:b w:val="0"/>
      <w:sz w:val="72"/>
      <w:szCs w:val="72"/>
      <w:lang w:val="en-NZ"/>
    </w:rPr>
  </w:style>
  <w:style w:type="character" w:customStyle="1" w:styleId="QuoteChar">
    <w:name w:val="Quote Char"/>
    <w:basedOn w:val="DefaultParagraphFont"/>
    <w:link w:val="Quote"/>
    <w:rsid w:val="00C12A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ABB"/>
    <w:pPr>
      <w:pageBreakBefore/>
    </w:pPr>
  </w:style>
  <w:style w:type="paragraph" w:customStyle="1" w:styleId="Border">
    <w:name w:val="Border"/>
    <w:basedOn w:val="Normal"/>
    <w:qFormat/>
    <w:rsid w:val="00C12A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ABB"/>
    <w:rPr>
      <w:b/>
      <w:bCs/>
      <w:i/>
      <w:iCs/>
      <w:color w:val="auto"/>
    </w:rPr>
  </w:style>
  <w:style w:type="paragraph" w:styleId="IntenseQuote">
    <w:name w:val="Intense Quote"/>
    <w:basedOn w:val="Normal"/>
    <w:next w:val="Normal"/>
    <w:link w:val="IntenseQuoteChar"/>
    <w:uiPriority w:val="30"/>
    <w:qFormat/>
    <w:rsid w:val="00C12A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A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ABB"/>
    <w:rPr>
      <w:smallCaps/>
      <w:color w:val="auto"/>
      <w:u w:val="single"/>
    </w:rPr>
  </w:style>
  <w:style w:type="character" w:styleId="IntenseReference">
    <w:name w:val="Intense Reference"/>
    <w:basedOn w:val="DefaultParagraphFont"/>
    <w:uiPriority w:val="32"/>
    <w:qFormat/>
    <w:rsid w:val="00C12ABB"/>
    <w:rPr>
      <w:b/>
      <w:bCs/>
      <w:smallCaps/>
      <w:color w:val="auto"/>
      <w:spacing w:val="5"/>
      <w:u w:val="single"/>
    </w:rPr>
  </w:style>
  <w:style w:type="paragraph" w:customStyle="1" w:styleId="2ColumnHeading">
    <w:name w:val="2Column Heading"/>
    <w:basedOn w:val="BodyText"/>
    <w:qFormat/>
    <w:rsid w:val="00C12ABB"/>
    <w:pPr>
      <w:spacing w:after="60"/>
      <w:ind w:left="-2268"/>
    </w:pPr>
    <w:rPr>
      <w:b/>
    </w:rPr>
  </w:style>
  <w:style w:type="paragraph" w:customStyle="1" w:styleId="Heading1TOC">
    <w:name w:val="Heading1 TOC"/>
    <w:basedOn w:val="Normal"/>
    <w:qFormat/>
    <w:rsid w:val="00C12ABB"/>
    <w:pPr>
      <w:spacing w:before="240" w:after="120"/>
    </w:pPr>
    <w:rPr>
      <w:rFonts w:ascii="Times New Roman" w:hAnsi="Times New Roman"/>
      <w:b/>
      <w:sz w:val="32"/>
    </w:rPr>
  </w:style>
  <w:style w:type="paragraph" w:customStyle="1" w:styleId="Heading2TOC">
    <w:name w:val="Heading2 TOC"/>
    <w:basedOn w:val="Normal"/>
    <w:qFormat/>
    <w:rsid w:val="00C12ABB"/>
    <w:pPr>
      <w:spacing w:before="240" w:after="60"/>
    </w:pPr>
    <w:rPr>
      <w:rFonts w:ascii="Times New Roman" w:hAnsi="Times New Roman"/>
      <w:b/>
      <w:sz w:val="28"/>
    </w:rPr>
  </w:style>
  <w:style w:type="character" w:customStyle="1" w:styleId="Underline">
    <w:name w:val="Underline"/>
    <w:basedOn w:val="DefaultParagraphFont"/>
    <w:qFormat/>
    <w:rsid w:val="00C12ABB"/>
    <w:rPr>
      <w:u w:val="single"/>
    </w:rPr>
  </w:style>
  <w:style w:type="character" w:customStyle="1" w:styleId="BoldandItalics">
    <w:name w:val="Bold and Italics"/>
    <w:qFormat/>
    <w:rsid w:val="00C12ABB"/>
    <w:rPr>
      <w:b/>
      <w:i/>
      <w:u w:val="none"/>
    </w:rPr>
  </w:style>
  <w:style w:type="paragraph" w:styleId="BalloonText">
    <w:name w:val="Balloon Text"/>
    <w:basedOn w:val="Normal"/>
    <w:link w:val="BalloonTextChar"/>
    <w:rsid w:val="00C12ABB"/>
    <w:rPr>
      <w:rFonts w:ascii="Tahoma" w:hAnsi="Tahoma" w:cs="Tahoma"/>
      <w:sz w:val="16"/>
      <w:szCs w:val="16"/>
    </w:rPr>
  </w:style>
  <w:style w:type="character" w:customStyle="1" w:styleId="BalloonTextChar">
    <w:name w:val="Balloon Text Char"/>
    <w:basedOn w:val="DefaultParagraphFont"/>
    <w:link w:val="BalloonText"/>
    <w:rsid w:val="00C12A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A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2A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ABB"/>
    <w:rPr>
      <w:b/>
      <w:color w:val="660033"/>
      <w:spacing w:val="0"/>
    </w:rPr>
  </w:style>
  <w:style w:type="paragraph" w:customStyle="1" w:styleId="Nameditemlist">
    <w:name w:val="Named item list"/>
    <w:basedOn w:val="BodyText"/>
    <w:qFormat/>
    <w:rsid w:val="00C12A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2204</Words>
  <Characters>13590</Characters>
  <Application>Microsoft Office Word</Application>
  <DocSecurity>0</DocSecurity>
  <Lines>606</Lines>
  <Paragraphs>249</Paragraphs>
  <ScaleCrop>false</ScaleCrop>
  <Company>Author-it Software Corporation Ltd.</Company>
  <LinksUpToDate>false</LinksUpToDate>
  <CharactersWithSpaces>15583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UEENEEI130A Set up electronically controlled robotically operated complex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2013-08-14T08:06:00Z</dcterms:created>
  <dcterms:modified xsi:type="dcterms:W3CDTF">2013-08-14T08:06:00Z</dcterms:modified>
</cp:coreProperties>
</file>