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6522" w:rsidP="00446522">
      <w:pPr>
        <w:pStyle w:val="Title"/>
      </w:pPr>
      <w:bookmarkStart w:id="0" w:name="_GoBack"/>
      <w:bookmarkEnd w:id="0"/>
      <w:r>
        <w:fldChar w:fldCharType="begin"/>
      </w:r>
      <w:r>
        <w:instrText xml:space="preserve"> TITLE   \* MERGEFORMAT </w:instrText>
      </w:r>
      <w:r>
        <w:fldChar w:fldCharType="separate"/>
      </w:r>
      <w:r>
        <w:t>UEENEEI124A Fault find and repair analogue circuits and components in electronic control systems</w:t>
      </w:r>
      <w:r>
        <w:fldChar w:fldCharType="end"/>
      </w:r>
    </w:p>
    <w:p w:rsidR="00446522" w:rsidP="00446522">
      <w:pPr>
        <w:pStyle w:val="Version"/>
        <w:sectPr w:rsidSect="000950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95070" w:rsidP="00095070">
      <w:pPr>
        <w:pStyle w:val="SuperHeading"/>
      </w:pPr>
      <w:r w:rsidRPr="00095070">
        <w:t>UEENEEI124A Fault find and repair analogue circuits and components in electronic control systems</w:t>
      </w:r>
    </w:p>
    <w:p w:rsidR="00000000" w:rsidRPr="00095070" w:rsidP="00095070">
      <w:pPr>
        <w:pStyle w:val="Heading1"/>
      </w:pPr>
      <w:bookmarkStart w:id="1" w:name="O_516836"/>
      <w:bookmarkEnd w:id="1"/>
      <w:r w:rsidRPr="00095070">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44652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070">
            <w:pPr>
              <w:pStyle w:val="BodyText"/>
              <w:rPr>
                <w:lang w:val="en-NZ"/>
              </w:rPr>
            </w:pPr>
            <w:r w:rsidRPr="00095070">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070">
            <w:pPr>
              <w:pStyle w:val="BodyText"/>
              <w:rPr>
                <w:lang w:val="en-NZ"/>
              </w:rPr>
            </w:pPr>
            <w:r w:rsidRPr="00095070">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070">
            <w:pPr>
              <w:pStyle w:val="BodyText"/>
              <w:rPr>
                <w:lang w:val="en-NZ"/>
              </w:rPr>
            </w:pPr>
            <w:r w:rsidRPr="00095070">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070">
            <w:pPr>
              <w:pStyle w:val="BodyText"/>
              <w:rPr>
                <w:lang w:val="en-NZ"/>
              </w:rPr>
            </w:pPr>
            <w:r w:rsidRPr="00095070">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070">
            <w:pPr>
              <w:pStyle w:val="BodyText"/>
              <w:rPr>
                <w:lang w:val="en-NZ"/>
              </w:rPr>
            </w:pPr>
            <w:r w:rsidRPr="00095070">
              <w:t>Points</w:t>
            </w:r>
          </w:p>
        </w:tc>
      </w:tr>
      <w:tr w:rsidTr="0044652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070">
            <w:pPr>
              <w:pStyle w:val="BodyText"/>
              <w:rPr>
                <w:lang w:val="en-NZ"/>
              </w:rPr>
            </w:pPr>
            <w:r w:rsidRPr="00095070">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070">
            <w:pPr>
              <w:pStyle w:val="BodyText"/>
              <w:rPr>
                <w:lang w:val="en-NZ"/>
              </w:rPr>
            </w:pPr>
            <w:r w:rsidRPr="00095070">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070">
            <w:pPr>
              <w:pStyle w:val="BodyText"/>
              <w:rPr>
                <w:lang w:val="en-NZ"/>
              </w:rPr>
            </w:pPr>
            <w:r w:rsidRPr="00095070">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070">
            <w:pPr>
              <w:pStyle w:val="BodyText"/>
              <w:rPr>
                <w:lang w:val="en-NZ"/>
              </w:rPr>
            </w:pPr>
            <w:r w:rsidRPr="00095070">
              <w:t>Show full pre-req chain in the unit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070">
            <w:pPr>
              <w:pStyle w:val="BodyText"/>
              <w:rPr>
                <w:lang w:val="en-NZ"/>
              </w:rPr>
            </w:pPr>
          </w:p>
        </w:tc>
      </w:tr>
      <w:tr w:rsidTr="0044652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070">
            <w:pPr>
              <w:pStyle w:val="BodyText"/>
              <w:rPr>
                <w:lang w:val="en-NZ"/>
              </w:rPr>
            </w:pPr>
            <w:r w:rsidRPr="00095070">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070">
            <w:pPr>
              <w:pStyle w:val="BodyText"/>
              <w:rPr>
                <w:lang w:val="en-NZ"/>
              </w:rPr>
            </w:pPr>
            <w:r w:rsidRPr="00095070">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070">
            <w:pPr>
              <w:pStyle w:val="BodyText"/>
              <w:rPr>
                <w:lang w:val="en-NZ"/>
              </w:rPr>
            </w:pPr>
            <w:r w:rsidRPr="00095070">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070">
            <w:pPr>
              <w:pStyle w:val="BodyText"/>
              <w:rPr>
                <w:lang w:val="en-NZ"/>
              </w:rPr>
            </w:pPr>
            <w:r w:rsidRPr="00095070">
              <w:t xml:space="preserve">Inserted topic numbering in Required Skills and Knowledge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070">
            <w:pPr>
              <w:pStyle w:val="BodyText"/>
              <w:rPr>
                <w:lang w:val="en-NZ"/>
              </w:rPr>
            </w:pPr>
          </w:p>
        </w:tc>
      </w:tr>
      <w:tr w:rsidTr="0044652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070">
            <w:pPr>
              <w:pStyle w:val="BodyText"/>
              <w:rPr>
                <w:lang w:val="en-NZ"/>
              </w:rPr>
            </w:pPr>
            <w:r w:rsidRPr="00095070">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070">
            <w:pPr>
              <w:pStyle w:val="BodyText"/>
              <w:rPr>
                <w:lang w:val="en-NZ"/>
              </w:rPr>
            </w:pPr>
            <w:r w:rsidRPr="00095070">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070">
            <w:pPr>
              <w:pStyle w:val="BodyText"/>
              <w:rPr>
                <w:lang w:val="en-NZ"/>
              </w:rPr>
            </w:pPr>
            <w:r w:rsidRPr="00095070">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070">
            <w:pPr>
              <w:pStyle w:val="BodyText"/>
              <w:rPr>
                <w:lang w:val="en-NZ"/>
              </w:rPr>
            </w:pPr>
            <w:r w:rsidRPr="00095070">
              <w:t>Replaced "essential knowledge and associated skills" with "required skills and knowledge"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070" w:rsidP="00095070">
            <w:pPr>
              <w:pStyle w:val="BodyText"/>
            </w:pPr>
          </w:p>
        </w:tc>
      </w:tr>
    </w:tbl>
    <w:p w:rsidR="00000000" w:rsidRPr="00095070" w:rsidP="00095070">
      <w:pPr>
        <w:pStyle w:val="BodyText"/>
      </w:pPr>
    </w:p>
    <w:p w:rsidR="00000000" w:rsidRPr="00095070" w:rsidP="00095070">
      <w:pPr>
        <w:pStyle w:val="AllowPageBreak"/>
      </w:pPr>
    </w:p>
    <w:p w:rsidR="00000000" w:rsidRPr="00095070" w:rsidP="00095070">
      <w:pPr>
        <w:pStyle w:val="Heading1"/>
      </w:pPr>
      <w:bookmarkStart w:id="2" w:name="O_516834"/>
      <w:bookmarkEnd w:id="2"/>
      <w:r w:rsidRPr="00095070">
        <w:t>Unit Descriptor</w:t>
      </w:r>
    </w:p>
    <w:tbl>
      <w:tblPr>
        <w:tblW w:w="0" w:type="auto"/>
        <w:tblLayout w:type="fixed"/>
        <w:tblCellMar>
          <w:left w:w="62" w:type="dxa"/>
          <w:right w:w="62" w:type="dxa"/>
        </w:tblCellMar>
        <w:tblLook w:val="0000"/>
      </w:tblPr>
      <w:tblGrid>
        <w:gridCol w:w="2700"/>
        <w:gridCol w:w="5760"/>
      </w:tblGrid>
      <w:tr w:rsidTr="004465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rPr>
                <w:rStyle w:val="SpecialBold"/>
              </w:rPr>
              <w:t>1)</w:t>
            </w:r>
            <w:r w:rsidRPr="00095070">
              <w:t xml:space="preserve"> </w:t>
            </w:r>
            <w:r w:rsidRPr="00095070">
              <w:rPr>
                <w:rStyle w:val="SpecialBold"/>
              </w:rPr>
              <w:t>Scope:</w:t>
            </w:r>
          </w:p>
        </w:tc>
      </w:tr>
      <w:tr w:rsidTr="004465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9507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rPr>
                <w:rStyle w:val="SpecialBold"/>
              </w:rPr>
              <w:t>1.1) Descriptor</w:t>
            </w:r>
          </w:p>
        </w:tc>
      </w:tr>
      <w:tr w:rsidTr="004465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t>This unit covers fault finding and repairing analogue applications in electronic control systems. The unit encompasses safe working practices, interpreting diagrams and technical data, applying knowledge of analogue circuits and components to logical fault</w:t>
            </w:r>
            <w:r w:rsidRPr="00095070">
              <w:t xml:space="preserve"> finding processes, implementing fault rectification, safety and functional testing and reporting work activities and outcomes.</w:t>
            </w:r>
          </w:p>
          <w:p w:rsidR="00000000" w:rsidRPr="00095070" w:rsidP="00095070">
            <w:pPr>
              <w:pStyle w:val="BodyText"/>
            </w:pPr>
            <w:r w:rsidRPr="00095070">
              <w:t>Note.</w:t>
            </w:r>
          </w:p>
          <w:p w:rsidR="00000000" w:rsidRPr="00095070" w:rsidP="00095070">
            <w:pPr>
              <w:pStyle w:val="BodyText"/>
            </w:pPr>
            <w:r w:rsidRPr="00095070">
              <w:t>Examples of analogue applications are power and differential amplifiers, integrators, comparators function generators prec</w:t>
            </w:r>
            <w:r w:rsidRPr="00095070">
              <w:t>ision rectifiers, active filters and the like.</w:t>
            </w:r>
          </w:p>
        </w:tc>
      </w:tr>
    </w:tbl>
    <w:p w:rsidR="00000000" w:rsidRPr="00095070" w:rsidP="00095070">
      <w:pPr>
        <w:pStyle w:val="BodyText"/>
      </w:pPr>
    </w:p>
    <w:p w:rsidR="00000000" w:rsidRPr="00095070" w:rsidP="00095070">
      <w:pPr>
        <w:pStyle w:val="AllowPageBreak"/>
      </w:pPr>
    </w:p>
    <w:p w:rsidR="00000000" w:rsidRPr="00095070" w:rsidP="00095070">
      <w:pPr>
        <w:pStyle w:val="Heading1"/>
      </w:pPr>
      <w:bookmarkStart w:id="3" w:name="O_516831"/>
      <w:bookmarkEnd w:id="3"/>
      <w:r w:rsidRPr="00095070">
        <w:t>Application of the Unit</w:t>
      </w:r>
    </w:p>
    <w:tbl>
      <w:tblPr>
        <w:tblW w:w="0" w:type="auto"/>
        <w:tblLayout w:type="fixed"/>
        <w:tblCellMar>
          <w:left w:w="62" w:type="dxa"/>
          <w:right w:w="62" w:type="dxa"/>
        </w:tblCellMar>
        <w:tblLook w:val="0000"/>
      </w:tblPr>
      <w:tblGrid>
        <w:gridCol w:w="2672"/>
        <w:gridCol w:w="5699"/>
      </w:tblGrid>
      <w:tr w:rsidTr="0044652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rPr>
                <w:rStyle w:val="SpecialBold"/>
              </w:rPr>
              <w:t>2)</w:t>
            </w:r>
          </w:p>
        </w:tc>
      </w:tr>
      <w:tr w:rsidTr="0044652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t xml:space="preserve">This unit is intended as an additional competency to relevant competencies previously acquired. It is suitable </w:t>
            </w:r>
            <w:r w:rsidRPr="00095070">
              <w:t>for employment-based progr</w:t>
            </w:r>
            <w:r w:rsidRPr="00095070">
              <w:t>ams under an approved contract of training at the aligned AQF 4 level or higher.</w:t>
            </w:r>
          </w:p>
        </w:tc>
      </w:tr>
    </w:tbl>
    <w:p w:rsidR="00000000" w:rsidRPr="00095070" w:rsidP="00095070">
      <w:pPr>
        <w:pStyle w:val="BodyText"/>
      </w:pPr>
    </w:p>
    <w:p w:rsidR="00000000" w:rsidRPr="00095070" w:rsidP="00095070">
      <w:pPr>
        <w:pStyle w:val="AllowPageBreak"/>
      </w:pPr>
    </w:p>
    <w:p w:rsidR="00000000" w:rsidRPr="00095070" w:rsidP="00095070">
      <w:pPr>
        <w:pStyle w:val="Heading1"/>
      </w:pPr>
      <w:bookmarkStart w:id="4" w:name="O_516830"/>
      <w:bookmarkEnd w:id="4"/>
      <w:r w:rsidRPr="00095070">
        <w:t>Licensing/Regulatory Information</w:t>
      </w:r>
    </w:p>
    <w:tbl>
      <w:tblPr>
        <w:tblW w:w="0" w:type="auto"/>
        <w:tblLayout w:type="fixed"/>
        <w:tblCellMar>
          <w:left w:w="62" w:type="dxa"/>
          <w:right w:w="62" w:type="dxa"/>
        </w:tblCellMar>
        <w:tblLook w:val="0000"/>
      </w:tblPr>
      <w:tblGrid>
        <w:gridCol w:w="2700"/>
        <w:gridCol w:w="5760"/>
      </w:tblGrid>
      <w:tr w:rsidTr="004465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rPr>
                <w:rStyle w:val="SpecialBold"/>
              </w:rPr>
              <w:t xml:space="preserve">3) </w:t>
            </w:r>
          </w:p>
        </w:tc>
      </w:tr>
      <w:tr w:rsidTr="004465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t>The skills and knowledge described in this unit require a license to practice in the workplace where plant and equipment operate at voltage above 50 V a.c. or 120 V d.c. However other conditions may apply in some jurisdictions subject to regulations relate</w:t>
            </w:r>
            <w:r w:rsidRPr="00095070">
              <w:t>d to electrical work. Practice in the workplace and during training is also subject to regulations directly related to occupational health and safety and where applicable contracts of training such as apprenticeships.</w:t>
            </w:r>
          </w:p>
          <w:p w:rsidR="00000000" w:rsidRPr="00095070" w:rsidP="00095070">
            <w:pPr>
              <w:pStyle w:val="BodyText"/>
            </w:pPr>
            <w:r w:rsidRPr="00095070">
              <w:t xml:space="preserve">Note: </w:t>
            </w:r>
          </w:p>
          <w:p w:rsidR="00000000" w:rsidRPr="00095070" w:rsidP="00095070">
            <w:pPr>
              <w:pStyle w:val="BodyText"/>
            </w:pPr>
            <w:r w:rsidRPr="00095070">
              <w:t xml:space="preserve">1. Compliance with permits may </w:t>
            </w:r>
            <w:r w:rsidRPr="00095070">
              <w:t>be required in various jurisdictions and typically relates to the operation of plant, machinery and equipment such as elevating work platforms, powder operated fixing tools, power operated tools, vehicles, road signage and traffic control, lifting equipmen</w:t>
            </w:r>
            <w:r w:rsidRPr="00095070">
              <w:t>t and the like. Permits may also be required for some work environments such as confined spaces, working aloft, near live electrical apparatus and site rehabilitation.</w:t>
            </w:r>
          </w:p>
          <w:p w:rsidR="00000000" w:rsidRPr="00095070" w:rsidP="00095070">
            <w:pPr>
              <w:pStyle w:val="BodyText"/>
            </w:pPr>
            <w:r w:rsidRPr="00095070">
              <w:t>2. Compliance may be required in various jurisdictions relating to currency in First Aid</w:t>
            </w:r>
            <w:r w:rsidRPr="00095070">
              <w:t>, confined space, lifting and risk safety measures</w:t>
            </w:r>
          </w:p>
        </w:tc>
      </w:tr>
    </w:tbl>
    <w:p w:rsidR="00000000" w:rsidRPr="00095070" w:rsidP="00095070">
      <w:pPr>
        <w:pStyle w:val="BodyText"/>
      </w:pPr>
    </w:p>
    <w:p w:rsidR="00000000" w:rsidRPr="00095070" w:rsidP="00095070">
      <w:pPr>
        <w:pStyle w:val="AllowPageBreak"/>
      </w:pPr>
    </w:p>
    <w:p w:rsidR="00000000" w:rsidRPr="00095070" w:rsidP="00095070">
      <w:pPr>
        <w:pStyle w:val="Heading1"/>
      </w:pPr>
      <w:bookmarkStart w:id="5" w:name="O_516829"/>
      <w:bookmarkEnd w:id="5"/>
      <w:r w:rsidRPr="00095070">
        <w:t>Pre-Requisites</w:t>
      </w:r>
    </w:p>
    <w:tbl>
      <w:tblPr>
        <w:tblW w:w="0" w:type="auto"/>
        <w:tblLayout w:type="fixed"/>
        <w:tblCellMar>
          <w:left w:w="62" w:type="dxa"/>
          <w:right w:w="62" w:type="dxa"/>
        </w:tblCellMar>
        <w:tblLook w:val="0000"/>
      </w:tblPr>
      <w:tblGrid>
        <w:gridCol w:w="2638"/>
        <w:gridCol w:w="1800"/>
        <w:gridCol w:w="3960"/>
      </w:tblGrid>
      <w:tr w:rsidTr="00095070">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rPr>
                <w:rStyle w:val="SpecialBold"/>
              </w:rPr>
              <w:t xml:space="preserve">4) </w:t>
            </w:r>
          </w:p>
        </w:tc>
      </w:tr>
      <w:tr w:rsidTr="0009507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rPr>
                <w:rStyle w:val="SpecialBold"/>
              </w:rPr>
              <w:t>4.1)</w:t>
            </w:r>
          </w:p>
        </w:tc>
      </w:tr>
      <w:tr w:rsidTr="0009507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t>Granting of competency in this unit shall be made only after competency in the following unit(s) has/have been confirmed.</w:t>
            </w:r>
          </w:p>
          <w:p w:rsidR="00000000" w:rsidRPr="00095070" w:rsidP="00095070">
            <w:pPr>
              <w:pStyle w:val="BodyText"/>
            </w:pPr>
            <w:r w:rsidRPr="00095070">
              <w:t xml:space="preserve">Where pre-requisite pathways have been identified. All competencies in the Common Unit Group must be have </w:t>
            </w:r>
            <w:r w:rsidRPr="00095070">
              <w:t>been completed plus all the competencies in one (1) of the identified Pathway Unit Group(s):</w:t>
            </w:r>
          </w:p>
          <w:p w:rsidR="00000000" w:rsidRPr="00095070" w:rsidP="00095070">
            <w:pPr>
              <w:pStyle w:val="BodyText"/>
            </w:pPr>
            <w:r w:rsidRPr="00095070">
              <w:t>Instrumentation and Control</w:t>
            </w:r>
          </w:p>
          <w:p w:rsidR="00000000" w:rsidP="00095070">
            <w:pPr>
              <w:pStyle w:val="BodyText"/>
              <w:rPr>
                <w:lang w:val="en-NZ"/>
              </w:rPr>
            </w:pPr>
            <w:r w:rsidRPr="00095070">
              <w:t>Electrical</w:t>
            </w:r>
          </w:p>
        </w:tc>
      </w:tr>
      <w:tr w:rsidTr="0009507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Common Unit Gro</w:t>
            </w:r>
            <w:r w:rsidRPr="00095070">
              <w:t>up</w:t>
            </w:r>
          </w:p>
        </w:tc>
      </w:tr>
      <w:tr w:rsidTr="0009507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Unit Code</w:t>
            </w:r>
          </w:p>
        </w:tc>
        <w:tc>
          <w:tcPr>
            <w:tcW w:w="39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Unit Title</w:t>
            </w:r>
          </w:p>
        </w:tc>
      </w:tr>
      <w:tr w:rsidTr="0009507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095070">
            <w:pPr>
              <w:pStyle w:val="BodyText"/>
              <w:rPr>
                <w:lang w:val="en-NZ"/>
              </w:rPr>
            </w:pPr>
            <w:r w:rsidRPr="00095070">
              <w:t>UEENEEE101A</w:t>
            </w:r>
          </w:p>
        </w:tc>
        <w:tc>
          <w:tcPr>
            <w:tcW w:w="3960" w:type="dxa"/>
            <w:tcBorders>
              <w:top w:val="nil"/>
              <w:left w:val="nil"/>
              <w:bottom w:val="nil"/>
              <w:right w:val="nil"/>
            </w:tcBorders>
            <w:tcMar>
              <w:top w:w="0" w:type="dxa"/>
              <w:left w:w="62" w:type="dxa"/>
              <w:bottom w:w="0" w:type="dxa"/>
              <w:right w:w="62" w:type="dxa"/>
            </w:tcMar>
            <w:vAlign w:val="bottom"/>
          </w:tcPr>
          <w:p w:rsidR="00000000" w:rsidP="00095070">
            <w:pPr>
              <w:pStyle w:val="BodyText"/>
              <w:rPr>
                <w:lang w:val="en-NZ"/>
              </w:rPr>
            </w:pPr>
            <w:r w:rsidRPr="00095070">
              <w:t>Apply Occupational Health and Safety regulations, codes and practices in the workplace</w:t>
            </w:r>
          </w:p>
        </w:tc>
      </w:tr>
      <w:tr w:rsidTr="0009507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UEENEEE104A</w:t>
            </w:r>
          </w:p>
        </w:tc>
        <w:tc>
          <w:tcPr>
            <w:tcW w:w="3960" w:type="dxa"/>
            <w:tcBorders>
              <w:top w:val="nil"/>
              <w:left w:val="nil"/>
              <w:bottom w:val="nil"/>
              <w:right w:val="nil"/>
            </w:tcBorders>
            <w:tcMar>
              <w:top w:w="0" w:type="dxa"/>
              <w:left w:w="62" w:type="dxa"/>
              <w:bottom w:w="0" w:type="dxa"/>
              <w:right w:w="62" w:type="dxa"/>
            </w:tcMar>
            <w:vAlign w:val="bottom"/>
          </w:tcPr>
          <w:p w:rsidR="00000000" w:rsidP="00095070">
            <w:pPr>
              <w:pStyle w:val="BodyText"/>
              <w:rPr>
                <w:lang w:val="en-NZ"/>
              </w:rPr>
            </w:pPr>
            <w:r w:rsidRPr="00095070">
              <w:t>Solve problems in d.c. Circuits</w:t>
            </w:r>
          </w:p>
        </w:tc>
      </w:tr>
      <w:tr w:rsidTr="0009507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095070">
            <w:pPr>
              <w:pStyle w:val="BodyText"/>
              <w:rPr>
                <w:lang w:val="en-NZ"/>
              </w:rPr>
            </w:pPr>
            <w:r w:rsidRPr="00095070">
              <w:t>UEENEEE107A</w:t>
            </w:r>
          </w:p>
        </w:tc>
        <w:tc>
          <w:tcPr>
            <w:tcW w:w="3960" w:type="dxa"/>
            <w:tcBorders>
              <w:top w:val="nil"/>
              <w:left w:val="nil"/>
              <w:bottom w:val="nil"/>
              <w:right w:val="nil"/>
            </w:tcBorders>
            <w:tcMar>
              <w:top w:w="0" w:type="dxa"/>
              <w:left w:w="62" w:type="dxa"/>
              <w:bottom w:w="0" w:type="dxa"/>
              <w:right w:w="62" w:type="dxa"/>
            </w:tcMar>
            <w:vAlign w:val="bottom"/>
          </w:tcPr>
          <w:p w:rsidR="00000000" w:rsidP="00095070">
            <w:pPr>
              <w:pStyle w:val="BodyText"/>
              <w:rPr>
                <w:lang w:val="en-NZ"/>
              </w:rPr>
            </w:pPr>
            <w:r w:rsidRPr="00095070">
              <w:t>Use drawings, diagrams, schedules, standards, codes and specifications</w:t>
            </w:r>
          </w:p>
        </w:tc>
      </w:tr>
      <w:tr w:rsidTr="0009507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Instrumentation and Control Pathway Group</w:t>
            </w:r>
          </w:p>
        </w:tc>
      </w:tr>
      <w:tr w:rsidTr="0009507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Unit Code</w:t>
            </w:r>
          </w:p>
        </w:tc>
        <w:tc>
          <w:tcPr>
            <w:tcW w:w="39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Unit Title</w:t>
            </w:r>
          </w:p>
        </w:tc>
      </w:tr>
      <w:tr w:rsidTr="0009507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 xml:space="preserve">UEENEEE119A </w:t>
            </w:r>
          </w:p>
        </w:tc>
        <w:tc>
          <w:tcPr>
            <w:tcW w:w="39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Solve problems in multiple path extra low voltage (ELV) a.c. circuits</w:t>
            </w:r>
          </w:p>
        </w:tc>
      </w:tr>
      <w:tr w:rsidTr="0009507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095070">
            <w:pPr>
              <w:pStyle w:val="BodyText"/>
              <w:rPr>
                <w:lang w:val="en-NZ"/>
              </w:rPr>
            </w:pPr>
            <w:r w:rsidRPr="00095070">
              <w:t>UEENEEI101A</w:t>
            </w:r>
          </w:p>
        </w:tc>
        <w:tc>
          <w:tcPr>
            <w:tcW w:w="39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Use instrumentation drawings, specification, standards and equipment manuals</w:t>
            </w:r>
          </w:p>
        </w:tc>
      </w:tr>
      <w:tr w:rsidTr="0009507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095070">
            <w:pPr>
              <w:pStyle w:val="BodyText"/>
              <w:rPr>
                <w:lang w:val="en-NZ"/>
              </w:rPr>
            </w:pPr>
            <w:r w:rsidRPr="00095070">
              <w:t>UEENEEI102A</w:t>
            </w:r>
          </w:p>
        </w:tc>
        <w:tc>
          <w:tcPr>
            <w:tcW w:w="39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Solve problems in pressure measurement components and systems</w:t>
            </w:r>
          </w:p>
        </w:tc>
      </w:tr>
      <w:tr w:rsidTr="0009507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095070">
            <w:pPr>
              <w:pStyle w:val="BodyText"/>
              <w:rPr>
                <w:lang w:val="en-NZ"/>
              </w:rPr>
            </w:pPr>
            <w:r w:rsidRPr="00095070">
              <w:t>UEENEEI103A</w:t>
            </w:r>
          </w:p>
        </w:tc>
        <w:tc>
          <w:tcPr>
            <w:tcW w:w="39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Solve problems in density/level measurement components and systems</w:t>
            </w:r>
          </w:p>
        </w:tc>
      </w:tr>
      <w:tr w:rsidTr="0009507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095070">
            <w:pPr>
              <w:pStyle w:val="BodyText"/>
              <w:rPr>
                <w:lang w:val="en-NZ"/>
              </w:rPr>
            </w:pPr>
            <w:r w:rsidRPr="00095070">
              <w:t>UEENEEI104A</w:t>
            </w:r>
          </w:p>
        </w:tc>
        <w:tc>
          <w:tcPr>
            <w:tcW w:w="39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Solve problems in flow measurement components and systems</w:t>
            </w:r>
          </w:p>
        </w:tc>
      </w:tr>
      <w:tr w:rsidTr="0009507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095070">
            <w:pPr>
              <w:pStyle w:val="BodyText"/>
              <w:rPr>
                <w:lang w:val="en-NZ"/>
              </w:rPr>
            </w:pPr>
            <w:r w:rsidRPr="00095070">
              <w:t>UEENEEI105A</w:t>
            </w:r>
          </w:p>
        </w:tc>
        <w:tc>
          <w:tcPr>
            <w:tcW w:w="39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Solve problems in temperature measurement components and systems</w:t>
            </w:r>
          </w:p>
        </w:tc>
      </w:tr>
      <w:tr w:rsidTr="0009507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UEENEEI106A</w:t>
            </w:r>
          </w:p>
        </w:tc>
        <w:tc>
          <w:tcPr>
            <w:tcW w:w="39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Set up and adjust PID control loops</w:t>
            </w:r>
          </w:p>
        </w:tc>
      </w:tr>
      <w:tr w:rsidTr="0009507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UEENEEI110A</w:t>
            </w:r>
          </w:p>
        </w:tc>
        <w:tc>
          <w:tcPr>
            <w:tcW w:w="39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Set up and adjust advanced PID process control loops</w:t>
            </w:r>
          </w:p>
        </w:tc>
      </w:tr>
      <w:tr w:rsidTr="0009507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UEENEEI112A</w:t>
            </w:r>
          </w:p>
        </w:tc>
        <w:tc>
          <w:tcPr>
            <w:tcW w:w="39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Verify compliance and functionality of instrumentation and control installations</w:t>
            </w:r>
          </w:p>
        </w:tc>
      </w:tr>
      <w:tr w:rsidTr="0009507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095070">
            <w:pPr>
              <w:pStyle w:val="BodyText"/>
              <w:rPr>
                <w:lang w:val="en-NZ"/>
              </w:rPr>
            </w:pPr>
            <w:r w:rsidRPr="00095070">
              <w:t>UEENEEI113A</w:t>
            </w:r>
          </w:p>
        </w:tc>
        <w:tc>
          <w:tcPr>
            <w:tcW w:w="39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Setup and configure Human-Machine Interface (HMI) and industrial networks</w:t>
            </w:r>
          </w:p>
        </w:tc>
      </w:tr>
      <w:tr w:rsidTr="0009507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bottom"/>
          </w:tcPr>
          <w:p w:rsidR="00000000" w:rsidP="00095070">
            <w:pPr>
              <w:pStyle w:val="BodyText"/>
              <w:rPr>
                <w:lang w:val="en-NZ"/>
              </w:rPr>
            </w:pPr>
            <w:r w:rsidRPr="00095070">
              <w:t>Electrical Pathway Group</w:t>
            </w:r>
          </w:p>
        </w:tc>
      </w:tr>
      <w:tr w:rsidTr="0009507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Unit Code</w:t>
            </w:r>
          </w:p>
        </w:tc>
        <w:tc>
          <w:tcPr>
            <w:tcW w:w="39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Unit Title</w:t>
            </w:r>
          </w:p>
        </w:tc>
      </w:tr>
      <w:tr w:rsidTr="0009507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095070">
            <w:pPr>
              <w:pStyle w:val="BodyText"/>
              <w:rPr>
                <w:lang w:val="en-NZ"/>
              </w:rPr>
            </w:pPr>
            <w:r w:rsidRPr="00095070">
              <w:t>UEENEEE105A</w:t>
            </w:r>
          </w:p>
        </w:tc>
        <w:tc>
          <w:tcPr>
            <w:tcW w:w="39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Fix and secure electrotechnology equipment</w:t>
            </w:r>
          </w:p>
        </w:tc>
      </w:tr>
      <w:tr w:rsidTr="0009507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095070">
            <w:pPr>
              <w:pStyle w:val="BodyText"/>
              <w:rPr>
                <w:lang w:val="en-NZ"/>
              </w:rPr>
            </w:pPr>
            <w:r w:rsidRPr="00095070">
              <w:t>UEENEEG006A</w:t>
            </w:r>
          </w:p>
        </w:tc>
        <w:tc>
          <w:tcPr>
            <w:tcW w:w="39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Solve problems in single and three phase low voltage machines</w:t>
            </w:r>
          </w:p>
        </w:tc>
      </w:tr>
      <w:tr w:rsidTr="0009507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095070">
            <w:pPr>
              <w:pStyle w:val="BodyText"/>
              <w:rPr>
                <w:lang w:val="en-NZ"/>
              </w:rPr>
            </w:pPr>
            <w:r w:rsidRPr="00095070">
              <w:t>UEENEEG033A</w:t>
            </w:r>
          </w:p>
        </w:tc>
        <w:tc>
          <w:tcPr>
            <w:tcW w:w="39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Solve problems in single and three phase electrical apparatus and circuits</w:t>
            </w:r>
          </w:p>
        </w:tc>
      </w:tr>
      <w:tr w:rsidTr="0009507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095070">
            <w:pPr>
              <w:pStyle w:val="BodyText"/>
              <w:rPr>
                <w:lang w:val="en-NZ"/>
              </w:rPr>
            </w:pPr>
            <w:r w:rsidRPr="00095070">
              <w:t xml:space="preserve">UEENEEG063A </w:t>
            </w:r>
          </w:p>
        </w:tc>
        <w:tc>
          <w:tcPr>
            <w:tcW w:w="39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Arrange circuits, control and protection for general electrical installations</w:t>
            </w:r>
          </w:p>
        </w:tc>
      </w:tr>
      <w:tr w:rsidTr="0009507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095070">
            <w:pPr>
              <w:pStyle w:val="BodyText"/>
              <w:rPr>
                <w:lang w:val="en-NZ"/>
              </w:rPr>
            </w:pPr>
            <w:r w:rsidRPr="00095070">
              <w:t>UEENEEG101A</w:t>
            </w:r>
          </w:p>
        </w:tc>
        <w:tc>
          <w:tcPr>
            <w:tcW w:w="3960" w:type="dxa"/>
            <w:tcBorders>
              <w:top w:val="nil"/>
              <w:left w:val="nil"/>
              <w:bottom w:val="nil"/>
              <w:right w:val="nil"/>
            </w:tcBorders>
            <w:tcMar>
              <w:top w:w="0" w:type="dxa"/>
              <w:left w:w="62" w:type="dxa"/>
              <w:bottom w:w="0" w:type="dxa"/>
              <w:right w:w="62" w:type="dxa"/>
            </w:tcMar>
            <w:vAlign w:val="bottom"/>
          </w:tcPr>
          <w:p w:rsidR="00000000" w:rsidP="00095070">
            <w:pPr>
              <w:pStyle w:val="BodyText"/>
              <w:rPr>
                <w:lang w:val="en-NZ"/>
              </w:rPr>
            </w:pPr>
            <w:r w:rsidRPr="00095070">
              <w:t>Solve problems in electromagnetic devices and related circuits</w:t>
            </w:r>
          </w:p>
        </w:tc>
      </w:tr>
      <w:tr w:rsidTr="0009507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095070">
            <w:pPr>
              <w:pStyle w:val="BodyText"/>
              <w:rPr>
                <w:lang w:val="en-NZ"/>
              </w:rPr>
            </w:pPr>
            <w:r w:rsidRPr="00095070">
              <w:t>UEENEEG101A</w:t>
            </w:r>
          </w:p>
        </w:tc>
        <w:tc>
          <w:tcPr>
            <w:tcW w:w="3960" w:type="dxa"/>
            <w:tcBorders>
              <w:top w:val="nil"/>
              <w:left w:val="nil"/>
              <w:bottom w:val="nil"/>
              <w:right w:val="nil"/>
            </w:tcBorders>
            <w:tcMar>
              <w:top w:w="0" w:type="dxa"/>
              <w:left w:w="62" w:type="dxa"/>
              <w:bottom w:w="0" w:type="dxa"/>
              <w:right w:w="62" w:type="dxa"/>
            </w:tcMar>
            <w:vAlign w:val="bottom"/>
          </w:tcPr>
          <w:p w:rsidR="00000000" w:rsidP="00095070">
            <w:pPr>
              <w:pStyle w:val="BodyText"/>
              <w:rPr>
                <w:lang w:val="en-NZ"/>
              </w:rPr>
            </w:pPr>
            <w:r w:rsidRPr="00095070">
              <w:t>Solve problems in electromagnetic devices and related circuits</w:t>
            </w:r>
          </w:p>
        </w:tc>
      </w:tr>
      <w:tr w:rsidTr="0009507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UEENEEG102A</w:t>
            </w:r>
          </w:p>
        </w:tc>
        <w:tc>
          <w:tcPr>
            <w:tcW w:w="39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Solve problems in low voltage a.c. circuits</w:t>
            </w:r>
          </w:p>
        </w:tc>
      </w:tr>
      <w:tr w:rsidTr="0009507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UEENEEG102A</w:t>
            </w:r>
          </w:p>
        </w:tc>
        <w:tc>
          <w:tcPr>
            <w:tcW w:w="39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Solve problems in low voltage a.c. circuits</w:t>
            </w:r>
          </w:p>
        </w:tc>
      </w:tr>
      <w:tr w:rsidTr="0009507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095070">
            <w:pPr>
              <w:pStyle w:val="BodyText"/>
              <w:rPr>
                <w:lang w:val="en-NZ"/>
              </w:rPr>
            </w:pPr>
            <w:r w:rsidRPr="00095070">
              <w:t>UEENEEG106A</w:t>
            </w:r>
          </w:p>
        </w:tc>
        <w:tc>
          <w:tcPr>
            <w:tcW w:w="39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Terminate cables, cords and accessories for low voltage circuits</w:t>
            </w:r>
          </w:p>
        </w:tc>
      </w:tr>
      <w:tr w:rsidTr="0009507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UEENEEG108A</w:t>
            </w:r>
          </w:p>
        </w:tc>
        <w:tc>
          <w:tcPr>
            <w:tcW w:w="3960" w:type="dxa"/>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t xml:space="preserve">Trouble-shoot and repair faults in low </w:t>
            </w:r>
            <w:r w:rsidRPr="00095070">
              <w:t xml:space="preserve">voltage electrical apparatus and circuits </w:t>
            </w:r>
          </w:p>
        </w:tc>
      </w:tr>
    </w:tbl>
    <w:p w:rsidR="00000000" w:rsidRPr="00095070" w:rsidP="0009507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4652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rPr>
                <w:rStyle w:val="SpecialBold"/>
              </w:rPr>
              <w:t xml:space="preserve">4.2) </w:t>
            </w:r>
          </w:p>
        </w:tc>
      </w:tr>
      <w:tr w:rsidTr="004465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Participants are best equipped to achieve competency in this unit if they have reading, writing and numeracy skills indicated by the following scales. Description of each scale is given in Volume 2, Part 3 ‘Literacy and Numeracy’</w:t>
            </w:r>
          </w:p>
        </w:tc>
      </w:tr>
      <w:tr w:rsidTr="004465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Reading</w:t>
            </w:r>
          </w:p>
        </w:tc>
        <w:tc>
          <w:tcPr>
            <w:tcW w:w="81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4</w:t>
            </w:r>
          </w:p>
        </w:tc>
        <w:tc>
          <w:tcPr>
            <w:tcW w:w="99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Writing</w:t>
            </w:r>
          </w:p>
        </w:tc>
        <w:tc>
          <w:tcPr>
            <w:tcW w:w="90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4</w:t>
            </w:r>
          </w:p>
        </w:tc>
        <w:tc>
          <w:tcPr>
            <w:tcW w:w="12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Numeracy</w:t>
            </w:r>
          </w:p>
        </w:tc>
        <w:tc>
          <w:tcPr>
            <w:tcW w:w="720" w:type="dxa"/>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t>5</w:t>
            </w:r>
          </w:p>
        </w:tc>
      </w:tr>
    </w:tbl>
    <w:p w:rsidR="00000000" w:rsidRPr="00095070" w:rsidP="00095070">
      <w:pPr>
        <w:pStyle w:val="BodyText"/>
      </w:pPr>
    </w:p>
    <w:p w:rsidR="00000000" w:rsidRPr="00095070" w:rsidP="00095070">
      <w:pPr>
        <w:pStyle w:val="AllowPageBreak"/>
      </w:pPr>
    </w:p>
    <w:p w:rsidR="00000000" w:rsidRPr="00095070" w:rsidP="00095070">
      <w:pPr>
        <w:pStyle w:val="Heading1"/>
      </w:pPr>
      <w:bookmarkStart w:id="6" w:name="O_516828"/>
      <w:bookmarkEnd w:id="6"/>
      <w:r w:rsidRPr="00095070">
        <w:t>Employability Skills Information</w:t>
      </w:r>
    </w:p>
    <w:tbl>
      <w:tblPr>
        <w:tblW w:w="0" w:type="auto"/>
        <w:tblLayout w:type="fixed"/>
        <w:tblCellMar>
          <w:left w:w="62" w:type="dxa"/>
          <w:right w:w="62" w:type="dxa"/>
        </w:tblCellMar>
        <w:tblLook w:val="0000"/>
      </w:tblPr>
      <w:tblGrid>
        <w:gridCol w:w="2700"/>
        <w:gridCol w:w="5760"/>
      </w:tblGrid>
      <w:tr w:rsidTr="004465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rPr>
                <w:rStyle w:val="SpecialBold"/>
              </w:rPr>
              <w:t xml:space="preserve">5) </w:t>
            </w:r>
          </w:p>
        </w:tc>
      </w:tr>
      <w:tr w:rsidTr="004465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t>This unit contains Employability Skills</w:t>
            </w:r>
          </w:p>
          <w:p w:rsidR="00000000" w:rsidRPr="00095070" w:rsidP="00095070">
            <w:pPr>
              <w:pStyle w:val="BodyText"/>
            </w:pPr>
            <w:r w:rsidRPr="0009507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95070">
              <w:t>requirements.</w:t>
            </w:r>
          </w:p>
        </w:tc>
      </w:tr>
    </w:tbl>
    <w:p w:rsidR="00000000" w:rsidRPr="00095070" w:rsidP="00095070">
      <w:pPr>
        <w:pStyle w:val="BodyText"/>
      </w:pPr>
    </w:p>
    <w:p w:rsidR="00000000" w:rsidRPr="00095070" w:rsidP="00095070">
      <w:pPr>
        <w:pStyle w:val="AllowPageBreak"/>
      </w:pPr>
    </w:p>
    <w:p w:rsidR="00000000" w:rsidRPr="00095070" w:rsidP="00095070">
      <w:pPr>
        <w:pStyle w:val="Heading1"/>
      </w:pPr>
      <w:bookmarkStart w:id="7" w:name="O_516827"/>
      <w:bookmarkEnd w:id="7"/>
      <w:r w:rsidRPr="00095070">
        <w:t>Elements and Performance Criteria Pre-Content</w:t>
      </w:r>
    </w:p>
    <w:tbl>
      <w:tblPr>
        <w:tblW w:w="0" w:type="auto"/>
        <w:tblLayout w:type="fixed"/>
        <w:tblCellMar>
          <w:left w:w="62" w:type="dxa"/>
          <w:right w:w="62" w:type="dxa"/>
        </w:tblCellMar>
        <w:tblLook w:val="0000"/>
      </w:tblPr>
      <w:tblGrid>
        <w:gridCol w:w="2700"/>
        <w:gridCol w:w="5760"/>
      </w:tblGrid>
      <w:tr w:rsidTr="004465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rPr>
                <w:rStyle w:val="SpecialBold"/>
              </w:rPr>
              <w:t>6)</w:t>
            </w:r>
            <w:r w:rsidRPr="0009507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t>Performance</w:t>
            </w:r>
            <w:r w:rsidRPr="00095070">
              <w:t xml:space="preserve"> Criteria describe the required performance needed to demonstrate achievement of the element. Assessment of performance is to be consistent with the Evidence Guide.</w:t>
            </w:r>
          </w:p>
        </w:tc>
      </w:tr>
    </w:tbl>
    <w:p w:rsidR="00000000" w:rsidRPr="00095070" w:rsidP="00095070">
      <w:pPr>
        <w:pStyle w:val="BodyText"/>
      </w:pPr>
    </w:p>
    <w:p w:rsidR="00000000" w:rsidRPr="00095070" w:rsidP="00095070">
      <w:pPr>
        <w:pStyle w:val="AllowPageBreak"/>
      </w:pPr>
    </w:p>
    <w:p w:rsidR="00000000" w:rsidRPr="00095070" w:rsidP="00095070">
      <w:pPr>
        <w:pStyle w:val="Heading1"/>
      </w:pPr>
      <w:bookmarkStart w:id="8" w:name="O_516826"/>
      <w:bookmarkEnd w:id="8"/>
      <w:r w:rsidRPr="0009507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4652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rPr>
                <w:rStyle w:val="SpecialBold"/>
              </w:rPr>
              <w:t>PERFORMANCE CRITERIA</w:t>
            </w:r>
          </w:p>
        </w:tc>
      </w:tr>
      <w:tr w:rsidTr="00446522">
        <w:tblPrEx>
          <w:tblW w:w="0" w:type="auto"/>
          <w:tblLayout w:type="fixed"/>
          <w:tblCellMar>
            <w:left w:w="62" w:type="dxa"/>
            <w:right w:w="62" w:type="dxa"/>
          </w:tblCellMar>
          <w:tblLook w:val="0000"/>
        </w:tblPrEx>
        <w:trPr>
          <w:trHeight w:val="686"/>
        </w:trPr>
        <w:tc>
          <w:tcPr>
            <w:tcW w:w="404"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1</w:t>
            </w:r>
          </w:p>
        </w:tc>
        <w:tc>
          <w:tcPr>
            <w:tcW w:w="2296" w:type="dxa"/>
            <w:vMerge w:val="restart"/>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t>Prepare to fault find and repair</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1.1</w:t>
            </w:r>
          </w:p>
        </w:tc>
        <w:tc>
          <w:tcPr>
            <w:tcW w:w="48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 xml:space="preserve">OHS procedures for a given work area are identified, obtained and understood.  </w:t>
            </w:r>
          </w:p>
        </w:tc>
      </w:tr>
      <w:tr w:rsidTr="00446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1.2</w:t>
            </w:r>
          </w:p>
        </w:tc>
        <w:tc>
          <w:tcPr>
            <w:tcW w:w="48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Established OHS risk control measures and procedures are followed in preparation for the work.</w:t>
            </w:r>
          </w:p>
        </w:tc>
      </w:tr>
      <w:tr w:rsidTr="00446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1.3</w:t>
            </w:r>
          </w:p>
        </w:tc>
        <w:tc>
          <w:tcPr>
            <w:tcW w:w="48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Safety hazards which have not previously been identified are documented and risk control measures devised and implemented in consultation with appropriate personnel.</w:t>
            </w:r>
          </w:p>
        </w:tc>
      </w:tr>
      <w:tr w:rsidTr="00446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1.4</w:t>
            </w:r>
          </w:p>
        </w:tc>
        <w:tc>
          <w:tcPr>
            <w:tcW w:w="48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The extent of faults is determined from reports and other documentation and fro dis</w:t>
            </w:r>
            <w:r w:rsidRPr="00095070">
              <w:t>cussion with appropriate personnel</w:t>
            </w:r>
          </w:p>
        </w:tc>
      </w:tr>
      <w:tr w:rsidTr="00446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1.5</w:t>
            </w:r>
          </w:p>
        </w:tc>
        <w:tc>
          <w:tcPr>
            <w:tcW w:w="48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Appropriate personnel are consulted to ensure the work is co-ordinated effectively with others involved on the work site</w:t>
            </w:r>
          </w:p>
        </w:tc>
      </w:tr>
      <w:tr w:rsidTr="00446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1.6</w:t>
            </w:r>
          </w:p>
        </w:tc>
        <w:tc>
          <w:tcPr>
            <w:tcW w:w="48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Tools, equipment and testing devices needed to diagnose faults are obtained in accordance with established procedures and checked for correct operation and safety.</w:t>
            </w:r>
          </w:p>
        </w:tc>
      </w:tr>
      <w:tr w:rsidTr="00446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2</w:t>
            </w:r>
          </w:p>
        </w:tc>
        <w:tc>
          <w:tcPr>
            <w:tcW w:w="2296" w:type="dxa"/>
            <w:vMerge w:val="restart"/>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t>Fault find and repair</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2.1</w:t>
            </w:r>
          </w:p>
        </w:tc>
        <w:tc>
          <w:tcPr>
            <w:tcW w:w="48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 xml:space="preserve">OHS risk control measures and procedures for carrying out the </w:t>
            </w:r>
            <w:r w:rsidRPr="00095070">
              <w:t>work are followed.</w:t>
            </w:r>
          </w:p>
        </w:tc>
      </w:tr>
      <w:tr w:rsidTr="00446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2.2</w:t>
            </w:r>
          </w:p>
        </w:tc>
        <w:tc>
          <w:tcPr>
            <w:tcW w:w="48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The need to test or measure live is determined in strict accordance with OHS requirements and when necessary conducted within established safety procedures</w:t>
            </w:r>
          </w:p>
        </w:tc>
      </w:tr>
      <w:tr w:rsidTr="00446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2.3</w:t>
            </w:r>
          </w:p>
        </w:tc>
        <w:tc>
          <w:tcPr>
            <w:tcW w:w="48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Circuits/machines/plant are checked as being isola</w:t>
            </w:r>
            <w:r w:rsidRPr="00095070">
              <w:t>ted where necessary in strict accordance OHS requirements and procedures</w:t>
            </w:r>
          </w:p>
        </w:tc>
      </w:tr>
      <w:tr w:rsidTr="00446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2.4</w:t>
            </w:r>
          </w:p>
        </w:tc>
        <w:tc>
          <w:tcPr>
            <w:tcW w:w="48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Logical diagnostic methods are applied to diagnose electronic control system apparatus faults employing measurements and estimations of system operating parameters referenced t</w:t>
            </w:r>
            <w:r w:rsidRPr="00095070">
              <w:t>o system operational requirements.</w:t>
            </w:r>
          </w:p>
        </w:tc>
      </w:tr>
      <w:tr w:rsidTr="00446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2.5</w:t>
            </w:r>
          </w:p>
        </w:tc>
        <w:tc>
          <w:tcPr>
            <w:tcW w:w="48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Suspected fault scenarios are tested as being the cause(s) of system fault.</w:t>
            </w:r>
          </w:p>
        </w:tc>
      </w:tr>
      <w:tr w:rsidTr="00446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2.6</w:t>
            </w:r>
          </w:p>
        </w:tc>
        <w:tc>
          <w:tcPr>
            <w:tcW w:w="48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Cause of the fault is identified and appropriately competent persons are engaged to rectify the fault where it is outside the scope of the analogue circuits and components.</w:t>
            </w:r>
          </w:p>
        </w:tc>
      </w:tr>
      <w:tr w:rsidTr="00446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2.7</w:t>
            </w:r>
          </w:p>
        </w:tc>
        <w:tc>
          <w:tcPr>
            <w:tcW w:w="48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Faults in the electronic components of the system are rectified to raise app</w:t>
            </w:r>
            <w:r w:rsidRPr="00095070">
              <w:t>aratus and system to its operational standard.</w:t>
            </w:r>
          </w:p>
        </w:tc>
      </w:tr>
      <w:tr w:rsidTr="00446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2.8</w:t>
            </w:r>
          </w:p>
        </w:tc>
        <w:tc>
          <w:tcPr>
            <w:tcW w:w="48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System is tested to verify that the system operates as intended and to specified requirements</w:t>
            </w:r>
          </w:p>
        </w:tc>
      </w:tr>
      <w:tr w:rsidTr="00446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2.9</w:t>
            </w:r>
          </w:p>
        </w:tc>
        <w:tc>
          <w:tcPr>
            <w:tcW w:w="48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Decisions for dealing with unexpected situations are made from discussions with appropriate persons a</w:t>
            </w:r>
            <w:r w:rsidRPr="00095070">
              <w:t>nd job specifications and requirements.</w:t>
            </w:r>
          </w:p>
        </w:tc>
      </w:tr>
      <w:tr w:rsidTr="00446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2.10</w:t>
            </w:r>
          </w:p>
        </w:tc>
        <w:tc>
          <w:tcPr>
            <w:tcW w:w="48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Methods for dealing with unexpected situations are selected on the basis of safety and specified work outcomes.</w:t>
            </w:r>
          </w:p>
        </w:tc>
      </w:tr>
      <w:tr w:rsidTr="00446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2.11</w:t>
            </w:r>
          </w:p>
        </w:tc>
        <w:tc>
          <w:tcPr>
            <w:tcW w:w="48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Diagnosis and rectification activities are carried out efficiently without waste of materials or damage to apparatus and the surrounding environment or services and using sustainable energy practices.</w:t>
            </w:r>
          </w:p>
        </w:tc>
      </w:tr>
      <w:tr w:rsidTr="00446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3</w:t>
            </w:r>
          </w:p>
        </w:tc>
        <w:tc>
          <w:tcPr>
            <w:tcW w:w="2296"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Complete and report fault find and repair activities</w:t>
            </w:r>
          </w:p>
        </w:tc>
        <w:tc>
          <w:tcPr>
            <w:tcW w:w="90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3.1</w:t>
            </w:r>
          </w:p>
        </w:tc>
        <w:tc>
          <w:tcPr>
            <w:tcW w:w="48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OHS work completion risk control measures and procedures are followed.</w:t>
            </w:r>
          </w:p>
        </w:tc>
      </w:tr>
      <w:tr w:rsidTr="00446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3.2</w:t>
            </w:r>
          </w:p>
        </w:tc>
        <w:tc>
          <w:tcPr>
            <w:tcW w:w="48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Work site is made safe in accordance with established safety procedures.</w:t>
            </w:r>
          </w:p>
        </w:tc>
      </w:tr>
      <w:tr w:rsidTr="00446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3.3</w:t>
            </w:r>
          </w:p>
        </w:tc>
        <w:tc>
          <w:tcPr>
            <w:tcW w:w="48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Rectification of faults is documented in accordance with established procedures.</w:t>
            </w:r>
          </w:p>
        </w:tc>
      </w:tr>
      <w:tr w:rsidTr="00446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3.4</w:t>
            </w:r>
          </w:p>
        </w:tc>
        <w:tc>
          <w:tcPr>
            <w:tcW w:w="4860" w:type="dxa"/>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t>Appropriate person or persons notified, in accordance with established procedures, that the system faults have been rectified</w:t>
            </w:r>
          </w:p>
        </w:tc>
      </w:tr>
    </w:tbl>
    <w:p w:rsidR="00000000" w:rsidRPr="00095070" w:rsidP="00095070">
      <w:pPr>
        <w:pStyle w:val="BodyText"/>
      </w:pPr>
    </w:p>
    <w:p w:rsidR="00000000" w:rsidRPr="00095070" w:rsidP="00095070">
      <w:pPr>
        <w:pStyle w:val="AllowPageBreak"/>
      </w:pPr>
    </w:p>
    <w:p w:rsidR="00000000" w:rsidRPr="00095070" w:rsidP="00095070">
      <w:pPr>
        <w:pStyle w:val="Heading1"/>
      </w:pPr>
      <w:bookmarkStart w:id="9" w:name="O_516825"/>
      <w:bookmarkEnd w:id="9"/>
      <w:r w:rsidRPr="00095070">
        <w:t>Required Skills and Knowledge</w:t>
      </w:r>
    </w:p>
    <w:tbl>
      <w:tblPr>
        <w:tblW w:w="0" w:type="auto"/>
        <w:tblLayout w:type="fixed"/>
        <w:tblCellMar>
          <w:left w:w="62" w:type="dxa"/>
          <w:right w:w="62" w:type="dxa"/>
        </w:tblCellMar>
        <w:tblLook w:val="0000"/>
      </w:tblPr>
      <w:tblGrid>
        <w:gridCol w:w="1530"/>
        <w:gridCol w:w="6930"/>
      </w:tblGrid>
      <w:tr w:rsidTr="0044652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rPr>
                <w:rStyle w:val="SpecialBold"/>
              </w:rPr>
              <w:t>REQUIRED SKILLS AND KNOWLEDGE</w:t>
            </w:r>
          </w:p>
        </w:tc>
      </w:tr>
      <w:tr w:rsidTr="00446522">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rPr>
                <w:rStyle w:val="SpecialBold"/>
              </w:rPr>
              <w:t>8)</w:t>
            </w:r>
            <w:r w:rsidRPr="00095070">
              <w:t xml:space="preserve"> This describes the required skills and knowledge and their level, required for this unit.</w:t>
            </w:r>
          </w:p>
          <w:p w:rsidR="00000000" w:rsidRPr="00095070" w:rsidP="00095070">
            <w:pPr>
              <w:pStyle w:val="BodyText"/>
            </w:pPr>
            <w:r w:rsidRPr="00095070">
              <w:t>Evidence shall show that knowledge has been acquired of safe working practices and fault finding and repairing analogue circuits and components in electronic control systems.</w:t>
            </w:r>
          </w:p>
          <w:p w:rsidR="00000000" w:rsidP="00095070">
            <w:pPr>
              <w:pStyle w:val="BodyText"/>
              <w:rPr>
                <w:lang w:val="en-NZ"/>
              </w:rPr>
            </w:pPr>
            <w:r w:rsidRPr="00095070">
              <w:t>All knowledge and skills detailed in this unit should be contextualised to curren</w:t>
            </w:r>
            <w:r w:rsidRPr="00095070">
              <w:t>t industry practices and technologies.</w:t>
            </w:r>
          </w:p>
        </w:tc>
      </w:tr>
      <w:tr w:rsidTr="00446522">
        <w:tblPrEx>
          <w:tblW w:w="0" w:type="auto"/>
          <w:tblLayout w:type="fixed"/>
          <w:tblCellMar>
            <w:left w:w="62" w:type="dxa"/>
            <w:right w:w="62" w:type="dxa"/>
          </w:tblCellMar>
          <w:tblLook w:val="0000"/>
        </w:tblPrEx>
        <w:trPr>
          <w:trHeight w:val="226"/>
        </w:trPr>
        <w:tc>
          <w:tcPr>
            <w:tcW w:w="1530" w:type="dxa"/>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rPr>
                <w:rStyle w:val="SpecialBold"/>
              </w:rPr>
              <w:t>KS01-EI124A</w:t>
            </w:r>
          </w:p>
        </w:tc>
        <w:tc>
          <w:tcPr>
            <w:tcW w:w="693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rPr>
                <w:rStyle w:val="SpecialBold"/>
              </w:rPr>
              <w:t>Analogue electronic control systems</w:t>
            </w:r>
          </w:p>
        </w:tc>
      </w:tr>
      <w:tr w:rsidTr="00446522">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Evidence shall show an understanding of analogue electronic control systems indicated by the following aspects:</w:t>
            </w:r>
          </w:p>
        </w:tc>
      </w:tr>
      <w:tr w:rsidTr="00446522">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T1</w:t>
            </w:r>
          </w:p>
        </w:tc>
        <w:tc>
          <w:tcPr>
            <w:tcW w:w="6930" w:type="dxa"/>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t>Amplifier fundamentals</w:t>
            </w:r>
          </w:p>
          <w:p w:rsidR="00000000" w:rsidRPr="00095070" w:rsidP="00095070">
            <w:pPr>
              <w:pStyle w:val="ListBullet2"/>
            </w:pPr>
            <w:r w:rsidRPr="00095070">
              <w:t>The purpose and application of amplifiers</w:t>
            </w:r>
          </w:p>
          <w:p w:rsidR="00000000" w:rsidRPr="00095070" w:rsidP="00095070">
            <w:pPr>
              <w:pStyle w:val="ListBullet2"/>
            </w:pPr>
            <w:r w:rsidRPr="00095070">
              <w:t>The basic characteristics of small signal amplifiers.</w:t>
            </w:r>
          </w:p>
          <w:p w:rsidR="00000000" w:rsidP="00095070">
            <w:pPr>
              <w:pStyle w:val="ListBullet2"/>
              <w:rPr>
                <w:lang w:val="en-NZ"/>
              </w:rPr>
            </w:pPr>
            <w:r w:rsidRPr="00095070">
              <w:t>The ideal op amp</w:t>
            </w:r>
          </w:p>
        </w:tc>
      </w:tr>
      <w:tr w:rsidTr="00446522">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T2</w:t>
            </w:r>
          </w:p>
        </w:tc>
        <w:tc>
          <w:tcPr>
            <w:tcW w:w="6930" w:type="dxa"/>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t>Basic op-amp configurations</w:t>
            </w:r>
          </w:p>
          <w:p w:rsidR="00000000" w:rsidRPr="00095070" w:rsidP="00095070">
            <w:pPr>
              <w:pStyle w:val="ListBullet2"/>
            </w:pPr>
            <w:r w:rsidRPr="00095070">
              <w:t>Various operational amplifier circuit configurations and where they are used.</w:t>
            </w:r>
          </w:p>
          <w:p w:rsidR="00000000" w:rsidRPr="00095070" w:rsidP="00095070">
            <w:pPr>
              <w:pStyle w:val="ListBullet2"/>
            </w:pPr>
            <w:r w:rsidRPr="00095070">
              <w:t>Measured and calculated values o</w:t>
            </w:r>
            <w:r w:rsidRPr="00095070">
              <w:t>f gain and output voltage for various operational amplifier configurations</w:t>
            </w:r>
          </w:p>
          <w:p w:rsidR="00000000" w:rsidRPr="00095070" w:rsidP="00095070">
            <w:pPr>
              <w:pStyle w:val="ListBullet2"/>
            </w:pPr>
            <w:r w:rsidRPr="00095070">
              <w:t>Circuit configurations:</w:t>
            </w:r>
          </w:p>
          <w:p w:rsidR="00000000" w:rsidRPr="00095070" w:rsidP="00095070">
            <w:pPr>
              <w:pStyle w:val="ListBullet3"/>
            </w:pPr>
            <w:r w:rsidRPr="00095070">
              <w:t xml:space="preserve">inverting, </w:t>
            </w:r>
          </w:p>
          <w:p w:rsidR="00000000" w:rsidRPr="00095070" w:rsidP="00095070">
            <w:pPr>
              <w:pStyle w:val="ListBullet3"/>
            </w:pPr>
            <w:r w:rsidRPr="00095070">
              <w:t xml:space="preserve">non-inverting, </w:t>
            </w:r>
          </w:p>
          <w:p w:rsidR="00000000" w:rsidRPr="00095070" w:rsidP="00095070">
            <w:pPr>
              <w:pStyle w:val="ListBullet3"/>
            </w:pPr>
            <w:r w:rsidRPr="00095070">
              <w:t xml:space="preserve">voltage follower, </w:t>
            </w:r>
          </w:p>
          <w:p w:rsidR="00000000" w:rsidRPr="00095070" w:rsidP="00095070">
            <w:pPr>
              <w:pStyle w:val="ListBullet3"/>
            </w:pPr>
            <w:r w:rsidRPr="00095070">
              <w:t>summing</w:t>
            </w:r>
          </w:p>
          <w:p w:rsidR="00000000" w:rsidRPr="00095070" w:rsidP="00095070">
            <w:pPr>
              <w:pStyle w:val="ListBullet3"/>
            </w:pPr>
            <w:r w:rsidRPr="00095070">
              <w:t xml:space="preserve">comparators </w:t>
            </w:r>
          </w:p>
          <w:p w:rsidR="00000000" w:rsidRPr="00095070" w:rsidP="00095070">
            <w:pPr>
              <w:pStyle w:val="ListBullet3"/>
            </w:pPr>
            <w:r w:rsidRPr="00095070">
              <w:t xml:space="preserve">Schmitt trigger </w:t>
            </w:r>
          </w:p>
          <w:p w:rsidR="00000000" w:rsidP="00095070">
            <w:pPr>
              <w:pStyle w:val="ListBullet3"/>
              <w:rPr>
                <w:lang w:val="en-NZ"/>
              </w:rPr>
            </w:pPr>
            <w:r w:rsidRPr="00095070">
              <w:t>differential configurations</w:t>
            </w:r>
          </w:p>
        </w:tc>
      </w:tr>
      <w:tr w:rsidTr="00446522">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T3</w:t>
            </w:r>
          </w:p>
        </w:tc>
        <w:tc>
          <w:tcPr>
            <w:tcW w:w="6930" w:type="dxa"/>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t>Op amp limitations</w:t>
            </w:r>
          </w:p>
          <w:p w:rsidR="00000000" w:rsidRPr="00095070" w:rsidP="00095070">
            <w:pPr>
              <w:pStyle w:val="ListBullet2"/>
            </w:pPr>
            <w:r w:rsidRPr="00095070">
              <w:t>Use of frequency compensation,</w:t>
            </w:r>
          </w:p>
          <w:p w:rsidR="00000000" w:rsidRPr="00095070" w:rsidP="00095070">
            <w:pPr>
              <w:pStyle w:val="ListBullet2"/>
            </w:pPr>
            <w:r w:rsidRPr="00095070">
              <w:t>Offset null,</w:t>
            </w:r>
          </w:p>
          <w:p w:rsidR="00000000" w:rsidRPr="00095070" w:rsidP="00095070">
            <w:pPr>
              <w:pStyle w:val="ListBullet2"/>
            </w:pPr>
            <w:r w:rsidRPr="00095070">
              <w:t>Bias compensation</w:t>
            </w:r>
          </w:p>
          <w:p w:rsidR="00000000" w:rsidRPr="00095070" w:rsidP="00095070">
            <w:pPr>
              <w:pStyle w:val="ListBullet2"/>
            </w:pPr>
            <w:r w:rsidRPr="00095070">
              <w:t xml:space="preserve">Slew rate </w:t>
            </w:r>
          </w:p>
          <w:p w:rsidR="00000000" w:rsidRPr="00095070" w:rsidP="00095070">
            <w:pPr>
              <w:pStyle w:val="ListBullet2"/>
            </w:pPr>
            <w:r w:rsidRPr="00095070">
              <w:t>Frequency response</w:t>
            </w:r>
          </w:p>
          <w:p w:rsidR="00000000" w:rsidRPr="00095070" w:rsidP="00095070">
            <w:pPr>
              <w:pStyle w:val="ListBullet2"/>
            </w:pPr>
            <w:r w:rsidRPr="00095070">
              <w:t>Bandwidth</w:t>
            </w:r>
          </w:p>
          <w:p w:rsidR="00000000" w:rsidP="00095070">
            <w:pPr>
              <w:pStyle w:val="ListBullet2"/>
              <w:rPr>
                <w:lang w:val="en-NZ"/>
              </w:rPr>
            </w:pPr>
            <w:r w:rsidRPr="00095070">
              <w:t>Noise figures.</w:t>
            </w:r>
          </w:p>
        </w:tc>
      </w:tr>
      <w:tr w:rsidTr="00446522">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T4</w:t>
            </w:r>
          </w:p>
        </w:tc>
        <w:tc>
          <w:tcPr>
            <w:tcW w:w="6930" w:type="dxa"/>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t>Single stage amplifiers</w:t>
            </w:r>
          </w:p>
          <w:p w:rsidR="00000000" w:rsidRPr="00095070" w:rsidP="00095070">
            <w:pPr>
              <w:pStyle w:val="ListBullet2"/>
            </w:pPr>
            <w:r w:rsidRPr="00095070">
              <w:t>Determination of d.c. bias conditions for a single-stage amplifier</w:t>
            </w:r>
          </w:p>
          <w:p w:rsidR="00000000" w:rsidRPr="00095070" w:rsidP="00095070">
            <w:pPr>
              <w:pStyle w:val="ListBullet2"/>
            </w:pPr>
            <w:r w:rsidRPr="00095070">
              <w:t>Small signal terminal characteristics of single-stage amplifiers</w:t>
            </w:r>
          </w:p>
          <w:p w:rsidR="00000000" w:rsidP="00095070">
            <w:pPr>
              <w:pStyle w:val="ListBullet2"/>
              <w:rPr>
                <w:lang w:val="en-NZ"/>
              </w:rPr>
            </w:pPr>
            <w:r w:rsidRPr="00095070">
              <w:t>Effects of coupling and by-pass capacitors in single-stage amplifiers</w:t>
            </w:r>
          </w:p>
        </w:tc>
      </w:tr>
      <w:tr w:rsidTr="00446522">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T5</w:t>
            </w:r>
          </w:p>
        </w:tc>
        <w:tc>
          <w:tcPr>
            <w:tcW w:w="6930" w:type="dxa"/>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t>Amplifier applications</w:t>
            </w:r>
          </w:p>
          <w:p w:rsidR="00000000" w:rsidRPr="00095070" w:rsidP="00095070">
            <w:pPr>
              <w:pStyle w:val="ListBullet2"/>
            </w:pPr>
            <w:r w:rsidRPr="00095070">
              <w:t>Operation of multistage amplifiers</w:t>
            </w:r>
          </w:p>
          <w:p w:rsidR="00000000" w:rsidRPr="00095070" w:rsidP="00095070">
            <w:pPr>
              <w:pStyle w:val="ListBullet2"/>
            </w:pPr>
            <w:r w:rsidRPr="00095070">
              <w:t>Effects of component values and frequency response</w:t>
            </w:r>
          </w:p>
          <w:p w:rsidR="00000000" w:rsidRPr="00095070" w:rsidP="00095070">
            <w:pPr>
              <w:pStyle w:val="ListBullet2"/>
            </w:pPr>
            <w:r w:rsidRPr="00095070">
              <w:t>Negative feedback loop in multistage amplifiers</w:t>
            </w:r>
          </w:p>
          <w:p w:rsidR="00000000" w:rsidRPr="00095070" w:rsidP="00095070">
            <w:pPr>
              <w:pStyle w:val="ListBullet2"/>
            </w:pPr>
            <w:r w:rsidRPr="00095070">
              <w:t>Negative feedback and amplifier parameters</w:t>
            </w:r>
          </w:p>
          <w:p w:rsidR="00000000" w:rsidP="00095070">
            <w:pPr>
              <w:pStyle w:val="ListBullet2"/>
              <w:rPr>
                <w:lang w:val="en-NZ"/>
              </w:rPr>
            </w:pPr>
            <w:r w:rsidRPr="00095070">
              <w:t>Effects on the output voltage when amplifiers are subjected to control signal overdrive, bias faults and amplifying device faults</w:t>
            </w:r>
          </w:p>
        </w:tc>
      </w:tr>
      <w:tr w:rsidTr="00446522">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T6</w:t>
            </w:r>
          </w:p>
        </w:tc>
        <w:tc>
          <w:tcPr>
            <w:tcW w:w="6930" w:type="dxa"/>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t>Op amp/diode circuits</w:t>
            </w:r>
          </w:p>
          <w:p w:rsidR="00000000" w:rsidRPr="00095070" w:rsidP="00095070">
            <w:pPr>
              <w:pStyle w:val="ListBullet2"/>
            </w:pPr>
            <w:r w:rsidRPr="00095070">
              <w:t>Clippers</w:t>
            </w:r>
          </w:p>
          <w:p w:rsidR="00000000" w:rsidRPr="00095070" w:rsidP="00095070">
            <w:pPr>
              <w:pStyle w:val="ListBullet2"/>
            </w:pPr>
            <w:r w:rsidRPr="00095070">
              <w:t>Clamp circuits</w:t>
            </w:r>
          </w:p>
          <w:p w:rsidR="00000000" w:rsidP="00095070">
            <w:pPr>
              <w:pStyle w:val="ListBullet2"/>
              <w:rPr>
                <w:lang w:val="en-NZ"/>
              </w:rPr>
            </w:pPr>
            <w:r w:rsidRPr="00095070">
              <w:t>Precision rectifiers</w:t>
            </w:r>
          </w:p>
        </w:tc>
      </w:tr>
      <w:tr w:rsidTr="00446522">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T7</w:t>
            </w:r>
          </w:p>
        </w:tc>
        <w:tc>
          <w:tcPr>
            <w:tcW w:w="6930" w:type="dxa"/>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t>Oscillators</w:t>
            </w:r>
          </w:p>
          <w:p w:rsidR="00000000" w:rsidRPr="00095070" w:rsidP="00095070">
            <w:pPr>
              <w:pStyle w:val="ListBullet2"/>
            </w:pPr>
            <w:r w:rsidRPr="00095070">
              <w:t>Oscillator circuits using op amps</w:t>
            </w:r>
          </w:p>
          <w:p w:rsidR="00000000" w:rsidRPr="00095070" w:rsidP="00095070">
            <w:pPr>
              <w:pStyle w:val="ListBullet2"/>
            </w:pPr>
            <w:r w:rsidRPr="00095070">
              <w:t>sine wave</w:t>
            </w:r>
          </w:p>
          <w:p w:rsidR="00000000" w:rsidRPr="00095070" w:rsidP="00095070">
            <w:pPr>
              <w:pStyle w:val="ListBullet2"/>
            </w:pPr>
            <w:r w:rsidRPr="00095070">
              <w:t>square wave</w:t>
            </w:r>
          </w:p>
          <w:p w:rsidR="00000000" w:rsidRPr="00095070" w:rsidP="00095070">
            <w:pPr>
              <w:pStyle w:val="ListBullet2"/>
            </w:pPr>
            <w:r w:rsidRPr="00095070">
              <w:t xml:space="preserve">triangular wave </w:t>
            </w:r>
          </w:p>
          <w:p w:rsidR="00000000" w:rsidP="00095070">
            <w:pPr>
              <w:pStyle w:val="ListBullet2"/>
              <w:rPr>
                <w:lang w:val="en-NZ"/>
              </w:rPr>
            </w:pPr>
            <w:r w:rsidRPr="00095070">
              <w:t>sawtooth</w:t>
            </w:r>
          </w:p>
        </w:tc>
      </w:tr>
      <w:tr w:rsidTr="00446522">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T8</w:t>
            </w:r>
          </w:p>
        </w:tc>
        <w:tc>
          <w:tcPr>
            <w:tcW w:w="6930" w:type="dxa"/>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t>Op amp/RC circuits</w:t>
            </w:r>
          </w:p>
          <w:p w:rsidR="00000000" w:rsidRPr="00095070" w:rsidP="00095070">
            <w:pPr>
              <w:pStyle w:val="ListBullet2"/>
            </w:pPr>
            <w:r w:rsidRPr="00095070">
              <w:t xml:space="preserve">Integrator </w:t>
            </w:r>
          </w:p>
          <w:p w:rsidR="00000000" w:rsidRPr="00095070" w:rsidP="00095070">
            <w:pPr>
              <w:pStyle w:val="ListBullet2"/>
            </w:pPr>
            <w:r w:rsidRPr="00095070">
              <w:t>Differentiator</w:t>
            </w:r>
          </w:p>
          <w:p w:rsidR="00000000" w:rsidP="00095070">
            <w:pPr>
              <w:pStyle w:val="ListBullet2"/>
              <w:rPr>
                <w:lang w:val="en-NZ"/>
              </w:rPr>
            </w:pPr>
            <w:r w:rsidRPr="00095070">
              <w:t>Function generators</w:t>
            </w:r>
          </w:p>
        </w:tc>
      </w:tr>
      <w:tr w:rsidTr="00446522">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T9</w:t>
            </w:r>
          </w:p>
        </w:tc>
        <w:tc>
          <w:tcPr>
            <w:tcW w:w="6930" w:type="dxa"/>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t>Filters</w:t>
            </w:r>
          </w:p>
          <w:p w:rsidR="00000000" w:rsidRPr="00095070" w:rsidP="00095070">
            <w:pPr>
              <w:pStyle w:val="ListBullet2"/>
            </w:pPr>
            <w:r w:rsidRPr="00095070">
              <w:t>Active filter circuits</w:t>
            </w:r>
          </w:p>
          <w:p w:rsidR="00000000" w:rsidRPr="00095070" w:rsidP="00095070">
            <w:pPr>
              <w:pStyle w:val="ListBullet2"/>
            </w:pPr>
            <w:r w:rsidRPr="00095070">
              <w:t xml:space="preserve">First and second order </w:t>
            </w:r>
          </w:p>
          <w:p w:rsidR="00000000" w:rsidP="00095070">
            <w:pPr>
              <w:pStyle w:val="ListBullet2"/>
              <w:rPr>
                <w:lang w:val="en-NZ"/>
              </w:rPr>
            </w:pPr>
            <w:r w:rsidRPr="00095070">
              <w:t>Low, high and band pass circuits</w:t>
            </w:r>
          </w:p>
        </w:tc>
      </w:tr>
      <w:tr w:rsidTr="00446522">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T10</w:t>
            </w:r>
          </w:p>
        </w:tc>
        <w:tc>
          <w:tcPr>
            <w:tcW w:w="6930" w:type="dxa"/>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t>Timers</w:t>
            </w:r>
          </w:p>
          <w:p w:rsidR="00000000" w:rsidP="00095070">
            <w:pPr>
              <w:pStyle w:val="ListBullet2"/>
              <w:rPr>
                <w:lang w:val="en-NZ"/>
              </w:rPr>
            </w:pPr>
            <w:r w:rsidRPr="00095070">
              <w:t>Operation of typical timer ICs</w:t>
            </w:r>
          </w:p>
        </w:tc>
      </w:tr>
      <w:tr w:rsidTr="00446522">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T11</w:t>
            </w:r>
          </w:p>
        </w:tc>
        <w:tc>
          <w:tcPr>
            <w:tcW w:w="6930" w:type="dxa"/>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t>Power amplifiers</w:t>
            </w:r>
          </w:p>
          <w:p w:rsidR="00000000" w:rsidRPr="00095070" w:rsidP="00095070">
            <w:pPr>
              <w:pStyle w:val="ListBullet2"/>
            </w:pPr>
            <w:r w:rsidRPr="00095070">
              <w:t xml:space="preserve">Power output ICs </w:t>
            </w:r>
          </w:p>
          <w:p w:rsidR="00000000" w:rsidRPr="00095070" w:rsidP="00095070">
            <w:pPr>
              <w:pStyle w:val="ListBullet2"/>
            </w:pPr>
            <w:r w:rsidRPr="00095070">
              <w:t>Power amplifiers using op amps</w:t>
            </w:r>
          </w:p>
          <w:p w:rsidR="00000000" w:rsidP="00095070">
            <w:pPr>
              <w:pStyle w:val="ListBullet2"/>
              <w:rPr>
                <w:lang w:val="en-NZ"/>
              </w:rPr>
            </w:pPr>
            <w:r w:rsidRPr="00095070">
              <w:t>Power supplies</w:t>
            </w:r>
          </w:p>
        </w:tc>
      </w:tr>
      <w:tr w:rsidTr="00446522">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T12</w:t>
            </w:r>
          </w:p>
        </w:tc>
        <w:tc>
          <w:tcPr>
            <w:tcW w:w="6930" w:type="dxa"/>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t>Multi-stage circuits</w:t>
            </w:r>
          </w:p>
          <w:p w:rsidR="00000000" w:rsidRPr="00095070" w:rsidP="00095070">
            <w:pPr>
              <w:pStyle w:val="ListBullet2"/>
            </w:pPr>
            <w:r w:rsidRPr="00095070">
              <w:t>Circuits using several different op amp configurations.</w:t>
            </w:r>
          </w:p>
          <w:p w:rsidR="00000000" w:rsidRPr="00095070" w:rsidP="00095070">
            <w:pPr>
              <w:pStyle w:val="ListBullet2"/>
            </w:pPr>
            <w:r w:rsidRPr="00095070">
              <w:t>Fault-finding procedures</w:t>
            </w:r>
          </w:p>
        </w:tc>
      </w:tr>
    </w:tbl>
    <w:p w:rsidR="00000000" w:rsidRPr="00095070" w:rsidP="00095070">
      <w:pPr>
        <w:pStyle w:val="BodyText"/>
      </w:pPr>
    </w:p>
    <w:p w:rsidR="00000000" w:rsidRPr="00095070" w:rsidP="00095070">
      <w:pPr>
        <w:pStyle w:val="AllowPageBreak"/>
      </w:pPr>
    </w:p>
    <w:p w:rsidR="00000000" w:rsidRPr="00095070" w:rsidP="00095070">
      <w:pPr>
        <w:pStyle w:val="Heading1"/>
      </w:pPr>
      <w:bookmarkStart w:id="10" w:name="O_516824"/>
      <w:bookmarkEnd w:id="10"/>
      <w:r w:rsidRPr="00095070">
        <w:t>Evidence Guide</w:t>
      </w:r>
    </w:p>
    <w:tbl>
      <w:tblPr>
        <w:tblW w:w="0" w:type="auto"/>
        <w:tblLayout w:type="fixed"/>
        <w:tblCellMar>
          <w:left w:w="62" w:type="dxa"/>
          <w:right w:w="62" w:type="dxa"/>
        </w:tblCellMar>
        <w:tblLook w:val="0000"/>
      </w:tblPr>
      <w:tblGrid>
        <w:gridCol w:w="8460"/>
      </w:tblGrid>
      <w:tr w:rsidTr="0044652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rPr>
                <w:rStyle w:val="SpecialBold"/>
              </w:rPr>
              <w:t>EVIDENCE GUIDE</w:t>
            </w:r>
          </w:p>
        </w:tc>
      </w:tr>
      <w:tr w:rsidTr="0044652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rPr>
                <w:rStyle w:val="SpecialBold"/>
              </w:rPr>
              <w:t>9)</w:t>
            </w:r>
            <w:r w:rsidRPr="00095070">
              <w:t xml:space="preserve"> The evidence guide provides advice on assessment and must be read in conjunction with the Performance </w:t>
            </w:r>
            <w:r w:rsidRPr="00095070">
              <w:t>Criteria, Required Skills and Knowledge, the Range Statement and the Assessment Guidelines for this Training Package. .</w:t>
            </w:r>
          </w:p>
          <w:p w:rsidR="00000000" w:rsidRPr="00095070" w:rsidP="00095070">
            <w:pPr>
              <w:pStyle w:val="BodyText"/>
            </w:pPr>
            <w:r w:rsidRPr="00095070">
              <w:t>The Evidence Guide forms an integral part of this unit. It must be used in conjunction with all parts of the unit and performed in accor</w:t>
            </w:r>
            <w:r w:rsidRPr="00095070">
              <w:t>dance with the Assessment Guidelines of this Training Package.</w:t>
            </w:r>
          </w:p>
        </w:tc>
      </w:tr>
    </w:tbl>
    <w:p w:rsidR="00000000" w:rsidRPr="00095070" w:rsidP="00095070">
      <w:pPr>
        <w:pStyle w:val="BodyText"/>
      </w:pPr>
    </w:p>
    <w:tbl>
      <w:tblPr>
        <w:tblW w:w="0" w:type="auto"/>
        <w:tblLayout w:type="fixed"/>
        <w:tblCellMar>
          <w:left w:w="62" w:type="dxa"/>
          <w:right w:w="62" w:type="dxa"/>
        </w:tblCellMar>
        <w:tblLook w:val="0000"/>
      </w:tblPr>
      <w:tblGrid>
        <w:gridCol w:w="1890"/>
        <w:gridCol w:w="6570"/>
      </w:tblGrid>
      <w:tr w:rsidTr="004465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rPr>
                <w:rStyle w:val="SpecialBold"/>
              </w:rPr>
              <w:t>9.1)</w:t>
            </w:r>
          </w:p>
        </w:tc>
      </w:tr>
      <w:tr w:rsidTr="004465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t>Longitudinal competency development approaches to assessment, such as Profiling, require data to be reliably gathered in a form that can be consistently interpre</w:t>
            </w:r>
            <w:r w:rsidRPr="00095070">
              <w:t xml:space="preserve">ted over time. This approach is best utilised in Apprenticeship programs and reduces assessment intervention. It is the Industry-preferred model for apprenticeships. However, where summative (or final) assessment is used it must include the application of </w:t>
            </w:r>
            <w:r w:rsidRPr="00095070">
              <w:t>the competency in the normal work environment or, at a minimum, the application of the competency in a realistically simulated work environment. It is recognised that, in some circumstances, assessment in part or full can occur outside the workplace. Howev</w:t>
            </w:r>
            <w:r w:rsidRPr="00095070">
              <w:t>er, it must be in accord with industry and regulatory policy.</w:t>
            </w:r>
          </w:p>
          <w:p w:rsidR="00000000" w:rsidRPr="00095070" w:rsidP="00095070">
            <w:pPr>
              <w:pStyle w:val="BodyText"/>
            </w:pPr>
            <w:r w:rsidRPr="00095070">
              <w:t>Methods chosen for a particular assessment will be influenced by various factors. These include the extent of the assessment, the most effective locations for the assessment activities to take p</w:t>
            </w:r>
            <w:r w:rsidRPr="00095070">
              <w:t>lace, access to physical resources, additional safety measures that may be required and the critical nature of the competencies being assessed.</w:t>
            </w:r>
          </w:p>
          <w:p w:rsidR="00000000" w:rsidRPr="00095070" w:rsidP="00095070">
            <w:pPr>
              <w:pStyle w:val="BodyText"/>
            </w:pPr>
            <w:r w:rsidRPr="00095070">
              <w:t>The critical safety nature of working with electricity, electrical equipment, gas or any other hazardous substan</w:t>
            </w:r>
            <w:r w:rsidRPr="00095070">
              <w:t>ce/material carries risk in deeming a person competent. Sources of evidence need to be ‘rich’ in nature to minimise error in judgment.</w:t>
            </w:r>
          </w:p>
          <w:p w:rsidR="00000000" w:rsidRPr="00095070" w:rsidP="00095070">
            <w:pPr>
              <w:pStyle w:val="BodyText"/>
            </w:pPr>
            <w:r w:rsidRPr="00095070">
              <w:t>Activities associated with normal everyday work influence decisions about how/how much the data gathered will contribute to its ‘richness’. Some skills are more critical to safety and operational requirements while the same skills may be more or less frequ</w:t>
            </w:r>
            <w:r w:rsidRPr="00095070">
              <w:t>ently practised. These points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095070" w:rsidP="00095070">
      <w:pPr>
        <w:pStyle w:val="BodyText"/>
      </w:pPr>
    </w:p>
    <w:tbl>
      <w:tblPr>
        <w:tblW w:w="0" w:type="auto"/>
        <w:tblLayout w:type="fixed"/>
        <w:tblCellMar>
          <w:left w:w="62" w:type="dxa"/>
          <w:right w:w="62" w:type="dxa"/>
        </w:tblCellMar>
        <w:tblLook w:val="0000"/>
      </w:tblPr>
      <w:tblGrid>
        <w:gridCol w:w="1890"/>
        <w:gridCol w:w="1530"/>
        <w:gridCol w:w="5040"/>
      </w:tblGrid>
      <w:tr w:rsidTr="004465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rPr>
                <w:rStyle w:val="SpecialBold"/>
              </w:rPr>
              <w:t>9.2)</w:t>
            </w:r>
          </w:p>
        </w:tc>
      </w:tr>
      <w:tr w:rsidTr="004465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t>Before the critical aspects of evidence are considered all prerequisites shall be met.</w:t>
            </w:r>
          </w:p>
          <w:p w:rsidR="00000000" w:rsidRPr="00095070" w:rsidP="00095070">
            <w:pPr>
              <w:pStyle w:val="BodyText"/>
            </w:pPr>
            <w:r w:rsidRPr="00095070">
              <w:t>Evidence for competence in this unit shall be considered holistically.  Each Elem</w:t>
            </w:r>
            <w:r w:rsidRPr="00095070">
              <w:t>ent and associated performance criteria shall be demonstrated on at least two occasions in accordance with the ‘Assessment Guidelines – UEE11’.  Evidence shall also comprise:</w:t>
            </w:r>
          </w:p>
          <w:p w:rsidR="00000000" w:rsidRPr="00095070" w:rsidP="00095070">
            <w:pPr>
              <w:pStyle w:val="ListBullet"/>
            </w:pPr>
            <w:r w:rsidRPr="00095070">
              <w:t>A representative body of work performance demonstrated within the timeframes typ</w:t>
            </w:r>
            <w:r w:rsidRPr="00095070">
              <w:t>ically expected of the discipline, work function and industrial environment. In particular this shall incorporate evidence that shows a candidate is able to:</w:t>
            </w:r>
          </w:p>
          <w:p w:rsidR="00000000" w:rsidRPr="00095070" w:rsidP="00095070">
            <w:pPr>
              <w:pStyle w:val="ListBullet2"/>
            </w:pPr>
            <w:r w:rsidRPr="00095070">
              <w:t xml:space="preserve">Implement Occupational Health and Safety workplace procedures and practices, including </w:t>
            </w:r>
            <w:r w:rsidRPr="00095070">
              <w:t>the use of risk control measures as specified in the performance criteria and range statement</w:t>
            </w:r>
          </w:p>
          <w:p w:rsidR="00000000" w:rsidRPr="00095070" w:rsidP="00095070">
            <w:pPr>
              <w:pStyle w:val="ListBullet2"/>
            </w:pPr>
            <w:r w:rsidRPr="00095070">
              <w:t>Apply sustainable energy principles and practices as specified in the performance criteria and range statement</w:t>
            </w:r>
          </w:p>
          <w:p w:rsidR="00000000" w:rsidRPr="00095070" w:rsidP="00095070">
            <w:pPr>
              <w:pStyle w:val="ListBullet2"/>
            </w:pPr>
            <w:r w:rsidRPr="00095070">
              <w:t>Demonstrate an understanding of the required skills</w:t>
            </w:r>
            <w:r w:rsidRPr="00095070">
              <w:t xml:space="preserve"> and knowledge as described in this unit.  It may be required by some jurisdictions that RTOs provide a percentile graded result for the purpose of regulatory or licensing requirements.</w:t>
            </w:r>
          </w:p>
          <w:p w:rsidR="00000000" w:rsidRPr="00095070" w:rsidP="00095070">
            <w:pPr>
              <w:pStyle w:val="ListBullet2"/>
            </w:pPr>
            <w:r w:rsidRPr="00095070">
              <w:t>Demonstrate an appropriate level of skills enabling employment</w:t>
            </w:r>
          </w:p>
          <w:p w:rsidR="00000000" w:rsidRPr="00095070" w:rsidP="00095070">
            <w:pPr>
              <w:pStyle w:val="ListBullet2"/>
            </w:pPr>
            <w:r w:rsidRPr="00095070">
              <w:t>Conduct</w:t>
            </w:r>
            <w:r w:rsidRPr="00095070">
              <w:t xml:space="preserve"> work observing the relevant Anti Discrimination legislation, regulations, polices and workplace procedures</w:t>
            </w:r>
          </w:p>
          <w:p w:rsidR="00000000" w:rsidRPr="00095070" w:rsidP="00095070">
            <w:pPr>
              <w:pStyle w:val="ListBullet"/>
            </w:pPr>
            <w:r w:rsidRPr="00095070">
              <w:t>Demonstrated consistent performance across a representative range of contexts from the prescribed items below:</w:t>
            </w:r>
          </w:p>
          <w:p w:rsidR="00000000" w:rsidP="00095070">
            <w:pPr>
              <w:pStyle w:val="ListBullet2"/>
              <w:rPr>
                <w:lang w:val="en-NZ"/>
              </w:rPr>
            </w:pPr>
            <w:r w:rsidRPr="00095070">
              <w:t>Fault finding and repairing analogu</w:t>
            </w:r>
            <w:r w:rsidRPr="00095070">
              <w:t>e circuits and components in electronic control systems as described in 8) and including:</w:t>
            </w:r>
          </w:p>
        </w:tc>
      </w:tr>
      <w:tr w:rsidTr="00446522">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A</w:t>
            </w:r>
          </w:p>
        </w:tc>
        <w:tc>
          <w:tcPr>
            <w:tcW w:w="504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Applying logical diagnostic methods.</w:t>
            </w:r>
          </w:p>
        </w:tc>
      </w:tr>
      <w:tr w:rsidTr="004465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B</w:t>
            </w:r>
          </w:p>
        </w:tc>
        <w:tc>
          <w:tcPr>
            <w:tcW w:w="504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Using fault scenarios to test the cause(s) of system faults.</w:t>
            </w:r>
          </w:p>
        </w:tc>
      </w:tr>
      <w:tr w:rsidTr="004465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C</w:t>
            </w:r>
          </w:p>
        </w:tc>
        <w:tc>
          <w:tcPr>
            <w:tcW w:w="504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Identifying faults and their cause and competency needed to rectify them.</w:t>
            </w:r>
          </w:p>
        </w:tc>
      </w:tr>
      <w:tr w:rsidTr="00446522">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D</w:t>
            </w:r>
          </w:p>
        </w:tc>
        <w:tc>
          <w:tcPr>
            <w:tcW w:w="504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Rectifying faults in system analogue circuits and components.</w:t>
            </w:r>
          </w:p>
        </w:tc>
      </w:tr>
      <w:tr w:rsidTr="004465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E</w:t>
            </w:r>
          </w:p>
        </w:tc>
        <w:tc>
          <w:tcPr>
            <w:tcW w:w="504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Verifying that the system operates correctly.</w:t>
            </w:r>
          </w:p>
        </w:tc>
      </w:tr>
      <w:tr w:rsidTr="004465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F</w:t>
            </w:r>
          </w:p>
        </w:tc>
        <w:tc>
          <w:tcPr>
            <w:tcW w:w="504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Documenting fault rectification.</w:t>
            </w:r>
          </w:p>
        </w:tc>
      </w:tr>
      <w:tr w:rsidTr="004465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G</w:t>
            </w:r>
          </w:p>
        </w:tc>
        <w:tc>
          <w:tcPr>
            <w:tcW w:w="504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Dealing with unplanned events by drawing on required skills and knowledge to provide appropriate solutions incorporated in a holistic assessment with the above listed items.</w:t>
            </w:r>
          </w:p>
        </w:tc>
      </w:tr>
      <w:tr w:rsidTr="004465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t xml:space="preserve">Note: </w:t>
            </w:r>
          </w:p>
          <w:p w:rsidR="00000000" w:rsidRPr="00095070" w:rsidP="00095070">
            <w:pPr>
              <w:pStyle w:val="BodyText"/>
            </w:pPr>
            <w:r w:rsidRPr="00095070">
              <w:t>Successful completion of relevant vendor training may be used to contribu</w:t>
            </w:r>
            <w:r w:rsidRPr="00095070">
              <w:t>te to evidence on which competency is deemed. In these cases the alignment of outcomes of vendor training with performance criteria and critical aspects of evidence shall be clearly identified.</w:t>
            </w:r>
          </w:p>
        </w:tc>
      </w:tr>
    </w:tbl>
    <w:p w:rsidR="00000000" w:rsidRPr="00095070" w:rsidP="00095070">
      <w:pPr>
        <w:pStyle w:val="BodyText"/>
      </w:pPr>
    </w:p>
    <w:tbl>
      <w:tblPr>
        <w:tblW w:w="0" w:type="auto"/>
        <w:tblLayout w:type="fixed"/>
        <w:tblCellMar>
          <w:left w:w="62" w:type="dxa"/>
          <w:right w:w="62" w:type="dxa"/>
        </w:tblCellMar>
        <w:tblLook w:val="0000"/>
      </w:tblPr>
      <w:tblGrid>
        <w:gridCol w:w="1890"/>
        <w:gridCol w:w="6570"/>
      </w:tblGrid>
      <w:tr w:rsidTr="0044652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rPr>
                <w:rStyle w:val="SpecialBold"/>
              </w:rPr>
              <w:t>9.3)</w:t>
            </w:r>
          </w:p>
        </w:tc>
      </w:tr>
      <w:tr w:rsidTr="0044652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t>This unit should be assessed as it relates to normal work practice using procedures, information and resources typical of a workplace. This should include:</w:t>
            </w:r>
          </w:p>
          <w:p w:rsidR="00000000" w:rsidRPr="00095070" w:rsidP="00095070">
            <w:pPr>
              <w:pStyle w:val="ListBullet2"/>
            </w:pPr>
            <w:r w:rsidRPr="00095070">
              <w:t>OHS policy and work procedures and instructions.</w:t>
            </w:r>
          </w:p>
          <w:p w:rsidR="00000000" w:rsidRPr="00095070" w:rsidP="00095070">
            <w:pPr>
              <w:pStyle w:val="ListBullet2"/>
            </w:pPr>
            <w:r w:rsidRPr="00095070">
              <w:t>Suitable work environment, facilities, equipment a</w:t>
            </w:r>
            <w:r w:rsidRPr="00095070">
              <w:t>nd materials to undertake actual work as prescribed by this unit.</w:t>
            </w:r>
          </w:p>
          <w:p w:rsidR="00000000" w:rsidRPr="00095070" w:rsidP="00095070">
            <w:pPr>
              <w:pStyle w:val="BodyText"/>
            </w:pPr>
            <w:r w:rsidRPr="00095070">
              <w:t>These should be part of the formal learning/assessment environment.</w:t>
            </w:r>
          </w:p>
          <w:p w:rsidR="00000000" w:rsidRPr="00095070" w:rsidP="00095070">
            <w:pPr>
              <w:pStyle w:val="BodyText"/>
            </w:pPr>
            <w:r w:rsidRPr="00095070">
              <w:t>Note:</w:t>
            </w:r>
          </w:p>
          <w:p w:rsidR="00000000" w:rsidRPr="00095070" w:rsidP="00095070">
            <w:pPr>
              <w:pStyle w:val="BodyText"/>
            </w:pPr>
            <w:r w:rsidRPr="00095070">
              <w:t>Where simulation is considered a suitable strategy for assessment, conditions must be authentic and as far as possib</w:t>
            </w:r>
            <w:r w:rsidRPr="00095070">
              <w:t>le reproduce and replicate the workplace and be consistent with the approved industry simulation policy.</w:t>
            </w:r>
          </w:p>
          <w:p w:rsidR="00000000" w:rsidRPr="00095070" w:rsidP="00095070">
            <w:pPr>
              <w:pStyle w:val="BodyText"/>
            </w:pPr>
            <w:r w:rsidRPr="00095070">
              <w:t>The resources used for assessment should reflect current industry practices in relation to diagnosing and rectifying faults in analogue circuits and co</w:t>
            </w:r>
            <w:r w:rsidRPr="00095070">
              <w:t>mponents in electronic control systems.</w:t>
            </w:r>
          </w:p>
        </w:tc>
      </w:tr>
    </w:tbl>
    <w:p w:rsidR="00000000" w:rsidRPr="00095070" w:rsidP="00095070">
      <w:pPr>
        <w:pStyle w:val="BodyText"/>
      </w:pPr>
    </w:p>
    <w:tbl>
      <w:tblPr>
        <w:tblW w:w="0" w:type="auto"/>
        <w:tblLayout w:type="fixed"/>
        <w:tblCellMar>
          <w:left w:w="62" w:type="dxa"/>
          <w:right w:w="62" w:type="dxa"/>
        </w:tblCellMar>
        <w:tblLook w:val="0000"/>
      </w:tblPr>
      <w:tblGrid>
        <w:gridCol w:w="1890"/>
        <w:gridCol w:w="6570"/>
      </w:tblGrid>
      <w:tr w:rsidTr="004465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rPr>
                <w:rStyle w:val="SpecialBold"/>
              </w:rPr>
              <w:t>9.4)</w:t>
            </w:r>
          </w:p>
        </w:tc>
      </w:tr>
      <w:tr w:rsidTr="004465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t>This unit shall be assessed by methods given in Volume 1, Part 3 ‘Assessment Guidelines’.</w:t>
            </w:r>
          </w:p>
          <w:p w:rsidR="00000000" w:rsidRPr="00095070" w:rsidP="00095070">
            <w:pPr>
              <w:pStyle w:val="BodyText"/>
            </w:pPr>
            <w:r w:rsidRPr="00095070">
              <w:t xml:space="preserve">Note: </w:t>
            </w:r>
          </w:p>
          <w:p w:rsidR="00000000" w:rsidRPr="00095070" w:rsidP="00095070">
            <w:pPr>
              <w:pStyle w:val="BodyText"/>
            </w:pPr>
            <w:r w:rsidRPr="00095070">
              <w:t>Competent performance with inherent safe working practices is expected in the industry to which this unit applies. This requires that the specified required skills and knowledge are assessed in a structured environment which is primarily intended for learn</w:t>
            </w:r>
            <w:r w:rsidRPr="00095070">
              <w:t>ing/assessment and incorporates all necessary equipment and facilities for learners to develop and demonstrate the required skills and knowledge described in this unit.</w:t>
            </w:r>
          </w:p>
        </w:tc>
      </w:tr>
    </w:tbl>
    <w:p w:rsidR="00000000" w:rsidRPr="00095070" w:rsidP="00095070">
      <w:pPr>
        <w:pStyle w:val="BodyText"/>
      </w:pPr>
    </w:p>
    <w:tbl>
      <w:tblPr>
        <w:tblW w:w="0" w:type="auto"/>
        <w:tblLayout w:type="fixed"/>
        <w:tblCellMar>
          <w:left w:w="62" w:type="dxa"/>
          <w:right w:w="62" w:type="dxa"/>
        </w:tblCellMar>
        <w:tblLook w:val="0000"/>
      </w:tblPr>
      <w:tblGrid>
        <w:gridCol w:w="1890"/>
        <w:gridCol w:w="6570"/>
      </w:tblGrid>
      <w:tr w:rsidTr="004465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rPr>
                <w:rStyle w:val="SpecialBold"/>
              </w:rPr>
              <w:t>9.5)</w:t>
            </w:r>
          </w:p>
        </w:tc>
      </w:tr>
      <w:tr w:rsidTr="004465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t>There are no concurren</w:t>
            </w:r>
            <w:r w:rsidRPr="00095070">
              <w:t>t assessment recommendations for this unit.</w:t>
            </w:r>
          </w:p>
        </w:tc>
      </w:tr>
      <w:tr w:rsidTr="0044652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t>The critical aspects of occupational health and safety covered in unit UEENEEE101A and other discipline specific occupational health and safety units shall be incorporated in relation to this unit.</w:t>
            </w:r>
          </w:p>
        </w:tc>
      </w:tr>
    </w:tbl>
    <w:p w:rsidR="00000000" w:rsidRPr="00095070" w:rsidP="00095070">
      <w:pPr>
        <w:pStyle w:val="BodyText"/>
      </w:pPr>
    </w:p>
    <w:p w:rsidR="00000000" w:rsidRPr="00095070" w:rsidP="00095070">
      <w:pPr>
        <w:pStyle w:val="AllowPageBreak"/>
      </w:pPr>
    </w:p>
    <w:p w:rsidR="00000000" w:rsidRPr="00095070" w:rsidP="00095070">
      <w:pPr>
        <w:pStyle w:val="Heading1"/>
      </w:pPr>
      <w:bookmarkStart w:id="11" w:name="O_516823"/>
      <w:bookmarkEnd w:id="11"/>
      <w:r w:rsidRPr="00095070">
        <w:t>Range Statement</w:t>
      </w:r>
    </w:p>
    <w:tbl>
      <w:tblPr>
        <w:tblW w:w="0" w:type="auto"/>
        <w:tblLayout w:type="fixed"/>
        <w:tblCellMar>
          <w:left w:w="62" w:type="dxa"/>
          <w:right w:w="62" w:type="dxa"/>
        </w:tblCellMar>
        <w:tblLook w:val="0000"/>
      </w:tblPr>
      <w:tblGrid>
        <w:gridCol w:w="8460"/>
      </w:tblGrid>
      <w:tr w:rsidTr="0044652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rPr>
                <w:rStyle w:val="SpecialBold"/>
              </w:rPr>
              <w:t>RANGE STATEMENT</w:t>
            </w:r>
          </w:p>
        </w:tc>
      </w:tr>
      <w:tr w:rsidTr="0044652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rPr>
                <w:rStyle w:val="SpecialBold"/>
              </w:rPr>
              <w:t>10)</w:t>
            </w:r>
            <w:r w:rsidRPr="00095070">
              <w:t xml:space="preserve"> This relates to the unit as a whole providing the range of contexts and conditions to which the performance criteria apply. It allows for different work environments and situations that will affect performance.</w:t>
            </w:r>
          </w:p>
          <w:p w:rsidR="00000000" w:rsidRPr="00095070" w:rsidP="00095070">
            <w:pPr>
              <w:pStyle w:val="BodyText"/>
            </w:pPr>
            <w:r w:rsidRPr="00095070">
              <w:t>This unit shall be demonstrated by fault finding and repairing at least four of the following faults in analogue circuits and components:</w:t>
            </w:r>
          </w:p>
          <w:p w:rsidR="00000000" w:rsidRPr="00095070" w:rsidP="00095070">
            <w:pPr>
              <w:pStyle w:val="ListBullet2"/>
            </w:pPr>
            <w:r w:rsidRPr="00095070">
              <w:t xml:space="preserve">Open-circuit </w:t>
            </w:r>
          </w:p>
          <w:p w:rsidR="00000000" w:rsidRPr="00095070" w:rsidP="00095070">
            <w:pPr>
              <w:pStyle w:val="ListBullet2"/>
            </w:pPr>
            <w:r w:rsidRPr="00095070">
              <w:t xml:space="preserve">Short-circuit </w:t>
            </w:r>
          </w:p>
          <w:p w:rsidR="00000000" w:rsidRPr="00095070" w:rsidP="00095070">
            <w:pPr>
              <w:pStyle w:val="ListBullet2"/>
            </w:pPr>
            <w:r w:rsidRPr="00095070">
              <w:t>Incorrect or failed connections</w:t>
            </w:r>
          </w:p>
          <w:p w:rsidR="00000000" w:rsidRPr="00095070" w:rsidP="00095070">
            <w:pPr>
              <w:pStyle w:val="ListBullet2"/>
            </w:pPr>
            <w:r w:rsidRPr="00095070">
              <w:t>Insulation failure</w:t>
            </w:r>
          </w:p>
          <w:p w:rsidR="00000000" w:rsidRPr="00095070" w:rsidP="00095070">
            <w:pPr>
              <w:pStyle w:val="ListBullet2"/>
            </w:pPr>
            <w:r w:rsidRPr="00095070">
              <w:t>Unsafe condition</w:t>
            </w:r>
          </w:p>
          <w:p w:rsidR="00000000" w:rsidRPr="00095070" w:rsidP="00095070">
            <w:pPr>
              <w:pStyle w:val="ListBullet2"/>
            </w:pPr>
            <w:r w:rsidRPr="00095070">
              <w:t xml:space="preserve">Apparatus/component </w:t>
            </w:r>
            <w:r w:rsidRPr="00095070">
              <w:t>failure</w:t>
            </w:r>
          </w:p>
          <w:p w:rsidR="00000000" w:rsidRPr="00095070" w:rsidP="00095070">
            <w:pPr>
              <w:pStyle w:val="ListBullet2"/>
            </w:pPr>
            <w:r w:rsidRPr="00095070">
              <w:t>Related mechanical failure</w:t>
            </w:r>
          </w:p>
          <w:p w:rsidR="00000000" w:rsidRPr="00095070" w:rsidP="00095070">
            <w:pPr>
              <w:pStyle w:val="BodyText"/>
            </w:pPr>
            <w:r w:rsidRPr="00095070">
              <w:t>Generic terms used throughout this Vocational Standard shall be regarded as part of the Range Statement in which competency is demonstrated. The definition of these and other terms that apply are given in Volume 2, Part 2</w:t>
            </w:r>
            <w:r w:rsidRPr="00095070">
              <w:t>.1.</w:t>
            </w:r>
          </w:p>
        </w:tc>
      </w:tr>
    </w:tbl>
    <w:p w:rsidR="00000000" w:rsidRPr="00095070" w:rsidP="00095070">
      <w:pPr>
        <w:pStyle w:val="BodyText"/>
      </w:pPr>
    </w:p>
    <w:p w:rsidR="00000000" w:rsidRPr="00095070" w:rsidP="00095070">
      <w:pPr>
        <w:pStyle w:val="AllowPageBreak"/>
      </w:pPr>
    </w:p>
    <w:p w:rsidR="00000000" w:rsidRPr="00095070" w:rsidP="00095070">
      <w:pPr>
        <w:pStyle w:val="Heading1"/>
      </w:pPr>
      <w:bookmarkStart w:id="12" w:name="O_516822"/>
      <w:bookmarkEnd w:id="12"/>
      <w:r w:rsidRPr="00095070">
        <w:t>Unit Sector(s)</w:t>
      </w:r>
    </w:p>
    <w:p w:rsidR="00000000" w:rsidRPr="00095070" w:rsidP="00095070">
      <w:pPr>
        <w:pStyle w:val="BodyText"/>
      </w:pPr>
      <w:r w:rsidRPr="00095070">
        <w:t>Not applicable.</w:t>
      </w:r>
    </w:p>
    <w:p w:rsidR="00000000" w:rsidRPr="00095070" w:rsidP="00095070">
      <w:pPr>
        <w:pStyle w:val="AllowPageBreak"/>
      </w:pPr>
    </w:p>
    <w:p w:rsidR="00000000" w:rsidRPr="00095070" w:rsidP="00095070">
      <w:pPr>
        <w:pStyle w:val="Heading1"/>
      </w:pPr>
      <w:bookmarkStart w:id="13" w:name="O_516821"/>
      <w:bookmarkEnd w:id="13"/>
      <w:r w:rsidRPr="00095070">
        <w:t>Competency Field</w:t>
      </w:r>
    </w:p>
    <w:tbl>
      <w:tblPr>
        <w:tblW w:w="0" w:type="auto"/>
        <w:tblLayout w:type="fixed"/>
        <w:tblCellMar>
          <w:left w:w="62" w:type="dxa"/>
          <w:right w:w="62" w:type="dxa"/>
        </w:tblCellMar>
        <w:tblLook w:val="0000"/>
      </w:tblPr>
      <w:tblGrid>
        <w:gridCol w:w="2700"/>
        <w:gridCol w:w="5760"/>
      </w:tblGrid>
      <w:tr w:rsidTr="004465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95070">
            <w:pPr>
              <w:pStyle w:val="BodyText"/>
              <w:rPr>
                <w:lang w:val="en-NZ"/>
              </w:rPr>
            </w:pPr>
            <w:r w:rsidRPr="00095070">
              <w:rPr>
                <w:rStyle w:val="SpecialBold"/>
              </w:rPr>
              <w:t xml:space="preserve">11) </w:t>
            </w:r>
          </w:p>
        </w:tc>
      </w:tr>
      <w:tr w:rsidTr="004465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5070" w:rsidP="00095070">
            <w:pPr>
              <w:pStyle w:val="BodyText"/>
            </w:pPr>
            <w:r w:rsidRPr="00095070">
              <w:t>Instrumentation and Control</w:t>
            </w:r>
          </w:p>
        </w:tc>
      </w:tr>
    </w:tbl>
    <w:p w:rsidR="00000000" w:rsidRPr="00095070" w:rsidP="00095070">
      <w:pPr>
        <w:pStyle w:val="BodyText"/>
      </w:pPr>
    </w:p>
    <w:p w:rsidR="00000000" w:rsidRPr="00095070" w:rsidP="00095070"/>
    <w:sectPr w:rsidSect="000950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0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070" w:rsidRPr="00446522" w:rsidP="0044652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0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522" w:rsidP="0009507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46522" w:rsidP="0009507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446522" w:rsidP="000950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0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070" w:rsidRPr="00446522" w:rsidP="0044652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0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522" w:rsidRPr="002D2AF8" w:rsidP="00095070">
    <w:pPr>
      <w:pStyle w:val="Header"/>
      <w:framePr w:wrap="around"/>
    </w:pPr>
    <w:r>
      <w:fldChar w:fldCharType="begin"/>
    </w:r>
    <w:r>
      <w:instrText xml:space="preserve"> TITLE   \* MERGEFORMAT </w:instrText>
    </w:r>
    <w:r>
      <w:fldChar w:fldCharType="separate"/>
    </w:r>
    <w:r>
      <w:t>UEENEEI124A Fault find and repair analogue circuits and components in electronic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446522" w:rsidP="000950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945D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1030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4814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0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5070"/>
    <w:pPr>
      <w:spacing w:before="360" w:after="60"/>
      <w:outlineLvl w:val="0"/>
    </w:pPr>
    <w:rPr>
      <w:sz w:val="32"/>
    </w:rPr>
  </w:style>
  <w:style w:type="paragraph" w:styleId="Heading2">
    <w:name w:val="heading 2"/>
    <w:basedOn w:val="HeadingBase"/>
    <w:next w:val="BodyText"/>
    <w:link w:val="Heading2Char"/>
    <w:qFormat/>
    <w:rsid w:val="00095070"/>
    <w:pPr>
      <w:keepLines/>
      <w:spacing w:before="240" w:after="120"/>
      <w:outlineLvl w:val="1"/>
    </w:pPr>
    <w:rPr>
      <w:sz w:val="28"/>
      <w:szCs w:val="40"/>
    </w:rPr>
  </w:style>
  <w:style w:type="paragraph" w:styleId="Heading3">
    <w:name w:val="heading 3"/>
    <w:basedOn w:val="HeadingBase"/>
    <w:next w:val="BodyText"/>
    <w:link w:val="Heading3Char"/>
    <w:qFormat/>
    <w:rsid w:val="00095070"/>
    <w:pPr>
      <w:spacing w:before="180" w:after="120"/>
      <w:outlineLvl w:val="2"/>
    </w:pPr>
    <w:rPr>
      <w:spacing w:val="-10"/>
      <w:kern w:val="32"/>
    </w:rPr>
  </w:style>
  <w:style w:type="paragraph" w:styleId="Heading4">
    <w:name w:val="heading 4"/>
    <w:basedOn w:val="HeadingBase"/>
    <w:next w:val="BodyText"/>
    <w:link w:val="Heading4Char"/>
    <w:qFormat/>
    <w:rsid w:val="00095070"/>
    <w:pPr>
      <w:spacing w:before="160" w:after="120"/>
      <w:outlineLvl w:val="3"/>
    </w:pPr>
    <w:rPr>
      <w:sz w:val="22"/>
    </w:rPr>
  </w:style>
  <w:style w:type="paragraph" w:styleId="Heading5">
    <w:name w:val="heading 5"/>
    <w:basedOn w:val="HeadingBase"/>
    <w:next w:val="Normal"/>
    <w:link w:val="Heading5Char"/>
    <w:qFormat/>
    <w:rsid w:val="00095070"/>
    <w:pPr>
      <w:spacing w:before="80"/>
      <w:outlineLvl w:val="4"/>
    </w:pPr>
    <w:rPr>
      <w:color w:val="918585"/>
      <w:sz w:val="20"/>
    </w:rPr>
  </w:style>
  <w:style w:type="paragraph" w:styleId="Heading6">
    <w:name w:val="heading 6"/>
    <w:basedOn w:val="HeadingBase"/>
    <w:next w:val="Normal"/>
    <w:link w:val="Heading6Char"/>
    <w:qFormat/>
    <w:rsid w:val="00095070"/>
    <w:pPr>
      <w:spacing w:before="60"/>
      <w:outlineLvl w:val="5"/>
    </w:pPr>
    <w:rPr>
      <w:color w:val="918585"/>
      <w:sz w:val="20"/>
    </w:rPr>
  </w:style>
  <w:style w:type="paragraph" w:styleId="Heading7">
    <w:name w:val="heading 7"/>
    <w:basedOn w:val="Normal"/>
    <w:next w:val="Normal"/>
    <w:link w:val="Heading7Char"/>
    <w:qFormat/>
    <w:rsid w:val="00095070"/>
    <w:pPr>
      <w:ind w:left="720"/>
      <w:outlineLvl w:val="6"/>
    </w:pPr>
    <w:rPr>
      <w:i/>
    </w:rPr>
  </w:style>
  <w:style w:type="paragraph" w:styleId="Heading8">
    <w:name w:val="heading 8"/>
    <w:basedOn w:val="Normal"/>
    <w:next w:val="Normal"/>
    <w:link w:val="Heading8Char"/>
    <w:qFormat/>
    <w:rsid w:val="00095070"/>
    <w:pPr>
      <w:ind w:left="720"/>
      <w:outlineLvl w:val="7"/>
    </w:pPr>
    <w:rPr>
      <w:i/>
    </w:rPr>
  </w:style>
  <w:style w:type="paragraph" w:styleId="Heading9">
    <w:name w:val="heading 9"/>
    <w:basedOn w:val="Normal"/>
    <w:next w:val="Normal"/>
    <w:link w:val="Heading9Char"/>
    <w:qFormat/>
    <w:rsid w:val="00095070"/>
    <w:pPr>
      <w:ind w:left="720"/>
      <w:outlineLvl w:val="8"/>
    </w:pPr>
    <w:rPr>
      <w:i/>
    </w:rPr>
  </w:style>
  <w:style w:type="character" w:default="1" w:styleId="DefaultParagraphFont">
    <w:name w:val="Default Paragraph Font"/>
    <w:uiPriority w:val="1"/>
    <w:unhideWhenUsed/>
    <w:rsid w:val="000950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5070"/>
  </w:style>
  <w:style w:type="character" w:customStyle="1" w:styleId="Heading1Char">
    <w:name w:val="Heading 1 Char"/>
    <w:basedOn w:val="DefaultParagraphFont"/>
    <w:link w:val="Heading1"/>
    <w:rsid w:val="00095070"/>
    <w:rPr>
      <w:rFonts w:ascii="Times New Roman" w:eastAsia="Times New Roman" w:hAnsi="Times New Roman" w:cs="Times New Roman"/>
      <w:b/>
      <w:sz w:val="32"/>
      <w:szCs w:val="20"/>
      <w:lang w:eastAsia="en-US"/>
    </w:rPr>
  </w:style>
  <w:style w:type="paragraph" w:styleId="BodyText">
    <w:name w:val="Body Text"/>
    <w:basedOn w:val="Normal"/>
    <w:link w:val="BodyTextChar"/>
    <w:rsid w:val="000950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5070"/>
    <w:rPr>
      <w:rFonts w:ascii="Times New Roman" w:eastAsia="Times New Roman" w:hAnsi="Times New Roman" w:cs="Times New Roman"/>
      <w:sz w:val="24"/>
      <w:lang w:eastAsia="en-US"/>
    </w:rPr>
  </w:style>
  <w:style w:type="paragraph" w:styleId="ListBullet">
    <w:name w:val="List Bullet"/>
    <w:basedOn w:val="List"/>
    <w:rsid w:val="00095070"/>
    <w:pPr>
      <w:numPr>
        <w:numId w:val="14"/>
      </w:numPr>
      <w:tabs>
        <w:tab w:val="clear" w:pos="340"/>
      </w:tabs>
      <w:spacing w:before="40" w:after="40"/>
    </w:pPr>
  </w:style>
  <w:style w:type="character" w:customStyle="1" w:styleId="SpecialBold">
    <w:name w:val="Special Bold"/>
    <w:basedOn w:val="DefaultParagraphFont"/>
    <w:rsid w:val="00095070"/>
    <w:rPr>
      <w:b/>
      <w:spacing w:val="0"/>
    </w:rPr>
  </w:style>
  <w:style w:type="paragraph" w:styleId="ListBullet2">
    <w:name w:val="List Bullet 2"/>
    <w:basedOn w:val="List2"/>
    <w:rsid w:val="00095070"/>
    <w:pPr>
      <w:numPr>
        <w:numId w:val="15"/>
      </w:numPr>
      <w:tabs>
        <w:tab w:val="clear" w:pos="680"/>
      </w:tabs>
    </w:pPr>
  </w:style>
  <w:style w:type="paragraph" w:customStyle="1" w:styleId="SuperHeading">
    <w:name w:val="SuperHeading"/>
    <w:basedOn w:val="Normal"/>
    <w:rsid w:val="00095070"/>
    <w:pPr>
      <w:spacing w:before="240" w:after="120"/>
      <w:outlineLvl w:val="0"/>
    </w:pPr>
    <w:rPr>
      <w:rFonts w:ascii="Times New Roman" w:hAnsi="Times New Roman"/>
      <w:b/>
      <w:sz w:val="32"/>
    </w:rPr>
  </w:style>
  <w:style w:type="paragraph" w:customStyle="1" w:styleId="AllowPageBreak">
    <w:name w:val="AllowPageBreak"/>
    <w:rsid w:val="0009507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95070"/>
    <w:pPr>
      <w:numPr>
        <w:numId w:val="3"/>
      </w:numPr>
      <w:tabs>
        <w:tab w:val="clear" w:pos="1021"/>
      </w:tabs>
      <w:ind w:left="1037" w:hanging="357"/>
    </w:pPr>
  </w:style>
  <w:style w:type="character" w:customStyle="1" w:styleId="Heading2Char">
    <w:name w:val="Heading 2 Char"/>
    <w:basedOn w:val="DefaultParagraphFont"/>
    <w:link w:val="Heading2"/>
    <w:rsid w:val="000950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50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50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50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50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50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50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5070"/>
    <w:rPr>
      <w:rFonts w:ascii="Courier New" w:eastAsia="Times New Roman" w:hAnsi="Courier New" w:cs="Times New Roman"/>
      <w:i/>
      <w:szCs w:val="20"/>
      <w:lang w:eastAsia="en-US"/>
    </w:rPr>
  </w:style>
  <w:style w:type="paragraph" w:customStyle="1" w:styleId="HeadingBase">
    <w:name w:val="Heading Base"/>
    <w:rsid w:val="000950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5070"/>
    <w:pPr>
      <w:tabs>
        <w:tab w:val="right" w:leader="dot" w:pos="9072"/>
      </w:tabs>
      <w:ind w:left="567"/>
    </w:pPr>
    <w:rPr>
      <w:szCs w:val="22"/>
    </w:rPr>
  </w:style>
  <w:style w:type="paragraph" w:customStyle="1" w:styleId="TOCBase">
    <w:name w:val="TOC Base"/>
    <w:rsid w:val="000950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5070"/>
    <w:pPr>
      <w:tabs>
        <w:tab w:val="right" w:leader="dot" w:pos="9072"/>
      </w:tabs>
      <w:spacing w:before="40" w:after="40"/>
      <w:ind w:left="284"/>
    </w:pPr>
    <w:rPr>
      <w:rFonts w:ascii="Times New Roman" w:hAnsi="Times New Roman"/>
    </w:rPr>
  </w:style>
  <w:style w:type="paragraph" w:styleId="TOC1">
    <w:name w:val="toc 1"/>
    <w:basedOn w:val="TOCBase"/>
    <w:next w:val="Normal"/>
    <w:rsid w:val="000950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50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5070"/>
    <w:rPr>
      <w:rFonts w:ascii="Times New Roman" w:eastAsia="Times New Roman" w:hAnsi="Times New Roman" w:cs="Times New Roman"/>
      <w:sz w:val="16"/>
      <w:lang w:eastAsia="en-US"/>
    </w:rPr>
  </w:style>
  <w:style w:type="paragraph" w:styleId="Title">
    <w:name w:val="Title"/>
    <w:basedOn w:val="HeadingBase"/>
    <w:link w:val="TitleChar"/>
    <w:qFormat/>
    <w:rsid w:val="00095070"/>
    <w:pPr>
      <w:spacing w:before="5040"/>
      <w:jc w:val="center"/>
    </w:pPr>
    <w:rPr>
      <w:sz w:val="48"/>
      <w:szCs w:val="72"/>
      <w:lang w:val="en-US"/>
    </w:rPr>
  </w:style>
  <w:style w:type="character" w:customStyle="1" w:styleId="TitleChar">
    <w:name w:val="Title Char"/>
    <w:basedOn w:val="DefaultParagraphFont"/>
    <w:link w:val="Title"/>
    <w:rsid w:val="000950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5070"/>
    <w:pPr>
      <w:tabs>
        <w:tab w:val="left" w:pos="3600"/>
        <w:tab w:val="left" w:pos="3958"/>
      </w:tabs>
    </w:pPr>
  </w:style>
  <w:style w:type="paragraph" w:styleId="List">
    <w:name w:val="List"/>
    <w:basedOn w:val="BodyText"/>
    <w:next w:val="BodyText"/>
    <w:rsid w:val="00095070"/>
    <w:pPr>
      <w:tabs>
        <w:tab w:val="left" w:pos="340"/>
      </w:tabs>
      <w:spacing w:before="60" w:after="60"/>
      <w:ind w:left="340" w:hanging="340"/>
    </w:pPr>
  </w:style>
  <w:style w:type="paragraph" w:customStyle="1" w:styleId="Note">
    <w:name w:val="Note"/>
    <w:basedOn w:val="BodyText"/>
    <w:rsid w:val="000950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5070"/>
    <w:pPr>
      <w:framePr w:wrap="auto" w:hAnchor="text" w:y="6049"/>
    </w:pPr>
    <w:rPr>
      <w:color w:val="000000"/>
      <w:sz w:val="40"/>
    </w:rPr>
  </w:style>
  <w:style w:type="paragraph" w:customStyle="1" w:styleId="TOCTitle">
    <w:name w:val="TOCTitle"/>
    <w:basedOn w:val="Heading1"/>
    <w:rsid w:val="00095070"/>
    <w:pPr>
      <w:spacing w:after="240"/>
      <w:jc w:val="center"/>
      <w:outlineLvl w:val="9"/>
    </w:pPr>
    <w:rPr>
      <w:caps/>
    </w:rPr>
  </w:style>
  <w:style w:type="paragraph" w:customStyle="1" w:styleId="Version">
    <w:name w:val="Version"/>
    <w:rsid w:val="000950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5070"/>
    <w:pPr>
      <w:keepNext w:val="0"/>
      <w:tabs>
        <w:tab w:val="right" w:pos="4176"/>
      </w:tabs>
      <w:ind w:left="198" w:hanging="198"/>
    </w:pPr>
    <w:rPr>
      <w:rFonts w:ascii="Garamond" w:hAnsi="Garamond"/>
    </w:rPr>
  </w:style>
  <w:style w:type="paragraph" w:styleId="IndexHeading">
    <w:name w:val="index heading"/>
    <w:basedOn w:val="Normal"/>
    <w:next w:val="Index1"/>
    <w:semiHidden/>
    <w:rsid w:val="00095070"/>
    <w:pPr>
      <w:spacing w:before="120" w:after="120"/>
    </w:pPr>
    <w:rPr>
      <w:rFonts w:ascii="Arial" w:hAnsi="Arial"/>
      <w:b/>
      <w:color w:val="918585"/>
      <w:sz w:val="24"/>
    </w:rPr>
  </w:style>
  <w:style w:type="paragraph" w:styleId="Header">
    <w:name w:val="header"/>
    <w:basedOn w:val="Normal"/>
    <w:link w:val="HeaderChar"/>
    <w:rsid w:val="000950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5070"/>
    <w:rPr>
      <w:rFonts w:ascii="Times New Roman" w:eastAsia="Times New Roman" w:hAnsi="Times New Roman" w:cs="Times New Roman"/>
      <w:sz w:val="16"/>
      <w:szCs w:val="20"/>
      <w:lang w:val="en-GB" w:eastAsia="en-US"/>
    </w:rPr>
  </w:style>
  <w:style w:type="paragraph" w:customStyle="1" w:styleId="Chapter">
    <w:name w:val="Chapter"/>
    <w:basedOn w:val="Normal"/>
    <w:rsid w:val="00095070"/>
    <w:pPr>
      <w:spacing w:before="240"/>
    </w:pPr>
    <w:rPr>
      <w:rFonts w:ascii="Times New Roman" w:hAnsi="Times New Roman"/>
      <w:smallCaps/>
      <w:spacing w:val="80"/>
      <w:sz w:val="28"/>
    </w:rPr>
  </w:style>
  <w:style w:type="paragraph" w:customStyle="1" w:styleId="InChapter">
    <w:name w:val="InChapter"/>
    <w:basedOn w:val="Heading3"/>
    <w:rsid w:val="00095070"/>
    <w:pPr>
      <w:spacing w:after="240"/>
      <w:outlineLvl w:val="9"/>
    </w:pPr>
    <w:rPr>
      <w:noProof/>
    </w:rPr>
  </w:style>
  <w:style w:type="paragraph" w:styleId="Index2">
    <w:name w:val="index 2"/>
    <w:basedOn w:val="Normal"/>
    <w:next w:val="Normal"/>
    <w:semiHidden/>
    <w:rsid w:val="00095070"/>
    <w:pPr>
      <w:tabs>
        <w:tab w:val="right" w:pos="4176"/>
      </w:tabs>
      <w:ind w:left="568" w:hanging="284"/>
    </w:pPr>
    <w:rPr>
      <w:rFonts w:ascii="Garamond" w:hAnsi="Garamond"/>
    </w:rPr>
  </w:style>
  <w:style w:type="paragraph" w:customStyle="1" w:styleId="Byline">
    <w:name w:val="Byline"/>
    <w:rsid w:val="000950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5070"/>
    <w:pPr>
      <w:tabs>
        <w:tab w:val="clear" w:pos="3600"/>
        <w:tab w:val="clear" w:pos="3958"/>
      </w:tabs>
      <w:jc w:val="right"/>
    </w:pPr>
  </w:style>
  <w:style w:type="character" w:styleId="Emphasis">
    <w:name w:val="Emphasis"/>
    <w:basedOn w:val="DefaultParagraphFont"/>
    <w:qFormat/>
    <w:rsid w:val="00095070"/>
    <w:rPr>
      <w:i/>
    </w:rPr>
  </w:style>
  <w:style w:type="paragraph" w:styleId="Caption">
    <w:name w:val="caption"/>
    <w:basedOn w:val="BodyText"/>
    <w:next w:val="Normal"/>
    <w:qFormat/>
    <w:rsid w:val="00095070"/>
    <w:pPr>
      <w:framePr w:w="2268" w:hSpace="181" w:vSpace="181" w:wrap="around" w:vAnchor="text" w:hAnchor="page" w:x="1135" w:y="285" w:anchorLock="1"/>
    </w:pPr>
    <w:rPr>
      <w:i/>
    </w:rPr>
  </w:style>
  <w:style w:type="paragraph" w:customStyle="1" w:styleId="MiniTOCTitle">
    <w:name w:val="MiniTOCTitle"/>
    <w:basedOn w:val="Heading4"/>
    <w:rsid w:val="00095070"/>
    <w:pPr>
      <w:spacing w:before="240"/>
      <w:outlineLvl w:val="9"/>
    </w:pPr>
    <w:rPr>
      <w:noProof/>
      <w:sz w:val="24"/>
    </w:rPr>
  </w:style>
  <w:style w:type="paragraph" w:customStyle="1" w:styleId="MiniTOCItem">
    <w:name w:val="MiniTOCItem"/>
    <w:basedOn w:val="ListBullet"/>
    <w:rsid w:val="00095070"/>
    <w:pPr>
      <w:numPr>
        <w:numId w:val="0"/>
      </w:numPr>
      <w:tabs>
        <w:tab w:val="right" w:leader="dot" w:pos="6521"/>
      </w:tabs>
      <w:spacing w:before="0" w:after="0"/>
    </w:pPr>
  </w:style>
  <w:style w:type="paragraph" w:customStyle="1" w:styleId="TOFTitle">
    <w:name w:val="TOFTitle"/>
    <w:basedOn w:val="TOCTitle"/>
    <w:rsid w:val="00095070"/>
  </w:style>
  <w:style w:type="paragraph" w:styleId="TableofFigures">
    <w:name w:val="table of figures"/>
    <w:basedOn w:val="Normal"/>
    <w:next w:val="Normal"/>
    <w:semiHidden/>
    <w:rsid w:val="00095070"/>
    <w:pPr>
      <w:tabs>
        <w:tab w:val="right" w:leader="dot" w:pos="9072"/>
      </w:tabs>
      <w:ind w:left="970" w:hanging="403"/>
    </w:pPr>
    <w:rPr>
      <w:rFonts w:ascii="Times New Roman" w:hAnsi="Times New Roman"/>
      <w:b/>
    </w:rPr>
  </w:style>
  <w:style w:type="paragraph" w:styleId="ListNumber">
    <w:name w:val="List Number"/>
    <w:basedOn w:val="List"/>
    <w:rsid w:val="00095070"/>
    <w:pPr>
      <w:numPr>
        <w:numId w:val="12"/>
      </w:numPr>
    </w:pPr>
  </w:style>
  <w:style w:type="character" w:customStyle="1" w:styleId="WingdingSymbols">
    <w:name w:val="Wingding Symbols"/>
    <w:rsid w:val="00095070"/>
    <w:rPr>
      <w:rFonts w:ascii="Wingdings" w:hAnsi="Wingdings"/>
    </w:rPr>
  </w:style>
  <w:style w:type="paragraph" w:customStyle="1" w:styleId="TableHeading">
    <w:name w:val="Table Heading"/>
    <w:basedOn w:val="HeadingBase"/>
    <w:rsid w:val="00095070"/>
    <w:pPr>
      <w:keepLines/>
      <w:pBdr>
        <w:bottom w:val="single" w:sz="6" w:space="1" w:color="918585"/>
      </w:pBdr>
      <w:spacing w:before="240"/>
    </w:pPr>
  </w:style>
  <w:style w:type="character" w:customStyle="1" w:styleId="HotSpot">
    <w:name w:val="HotSpot"/>
    <w:rsid w:val="00095070"/>
    <w:rPr>
      <w:color w:val="0033CC"/>
      <w:u w:val="none"/>
    </w:rPr>
  </w:style>
  <w:style w:type="paragraph" w:customStyle="1" w:styleId="BodyTextRight">
    <w:name w:val="Body Text Right"/>
    <w:basedOn w:val="BodyText"/>
    <w:rsid w:val="00095070"/>
    <w:pPr>
      <w:spacing w:before="0" w:after="0"/>
      <w:jc w:val="right"/>
    </w:pPr>
  </w:style>
  <w:style w:type="paragraph" w:styleId="Index3">
    <w:name w:val="index 3"/>
    <w:basedOn w:val="ListNumber2"/>
    <w:next w:val="Normal"/>
    <w:semiHidden/>
    <w:rsid w:val="00095070"/>
    <w:pPr>
      <w:numPr>
        <w:numId w:val="0"/>
      </w:numPr>
      <w:tabs>
        <w:tab w:val="right" w:leader="dot" w:pos="4176"/>
      </w:tabs>
    </w:pPr>
  </w:style>
  <w:style w:type="paragraph" w:styleId="ListNumber2">
    <w:name w:val="List Number 2"/>
    <w:basedOn w:val="List2"/>
    <w:rsid w:val="00095070"/>
    <w:pPr>
      <w:numPr>
        <w:numId w:val="11"/>
      </w:numPr>
      <w:tabs>
        <w:tab w:val="clear" w:pos="1060"/>
      </w:tabs>
    </w:pPr>
  </w:style>
  <w:style w:type="paragraph" w:customStyle="1" w:styleId="MarginNote">
    <w:name w:val="Margin Note"/>
    <w:basedOn w:val="BodyText"/>
    <w:rsid w:val="000950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50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50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5070"/>
    <w:rPr>
      <w:sz w:val="32"/>
    </w:rPr>
  </w:style>
  <w:style w:type="paragraph" w:customStyle="1" w:styleId="HeadingProcedure">
    <w:name w:val="Heading Procedure"/>
    <w:basedOn w:val="HeadingBase"/>
    <w:next w:val="Normal"/>
    <w:rsid w:val="00095070"/>
    <w:pPr>
      <w:tabs>
        <w:tab w:val="left" w:pos="0"/>
      </w:tabs>
      <w:spacing w:before="120" w:after="60"/>
    </w:pPr>
    <w:rPr>
      <w:i/>
      <w:color w:val="918585"/>
      <w:sz w:val="22"/>
    </w:rPr>
  </w:style>
  <w:style w:type="paragraph" w:customStyle="1" w:styleId="TableBodyText">
    <w:name w:val="Table Body Text"/>
    <w:basedOn w:val="BodyText"/>
    <w:rsid w:val="00095070"/>
    <w:pPr>
      <w:spacing w:before="60" w:after="60"/>
    </w:pPr>
  </w:style>
  <w:style w:type="paragraph" w:styleId="ListContinue">
    <w:name w:val="List Continue"/>
    <w:basedOn w:val="List"/>
    <w:rsid w:val="00095070"/>
    <w:pPr>
      <w:ind w:firstLine="0"/>
    </w:pPr>
  </w:style>
  <w:style w:type="paragraph" w:customStyle="1" w:styleId="ListNote">
    <w:name w:val="List Note"/>
    <w:basedOn w:val="List"/>
    <w:rsid w:val="00095070"/>
    <w:pPr>
      <w:pBdr>
        <w:top w:val="single" w:sz="6" w:space="2" w:color="918585"/>
        <w:bottom w:val="single" w:sz="6" w:space="2" w:color="918585"/>
      </w:pBdr>
      <w:tabs>
        <w:tab w:val="left" w:pos="1021"/>
      </w:tabs>
      <w:ind w:firstLine="0"/>
    </w:pPr>
  </w:style>
  <w:style w:type="paragraph" w:customStyle="1" w:styleId="Warning">
    <w:name w:val="Warning"/>
    <w:basedOn w:val="BodyText"/>
    <w:rsid w:val="00095070"/>
    <w:pPr>
      <w:shd w:val="clear" w:color="auto" w:fill="D9D9D9"/>
      <w:tabs>
        <w:tab w:val="left" w:pos="992"/>
      </w:tabs>
      <w:ind w:left="119" w:right="119"/>
    </w:pPr>
    <w:rPr>
      <w:sz w:val="20"/>
    </w:rPr>
  </w:style>
  <w:style w:type="paragraph" w:customStyle="1" w:styleId="MarginIcons">
    <w:name w:val="Margin Icons"/>
    <w:basedOn w:val="BodyText"/>
    <w:rsid w:val="000950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5070"/>
    <w:rPr>
      <w:rFonts w:ascii="Courier New" w:hAnsi="Courier New"/>
    </w:rPr>
  </w:style>
  <w:style w:type="paragraph" w:customStyle="1" w:styleId="NoteBullet">
    <w:name w:val="Note Bullet"/>
    <w:basedOn w:val="Note"/>
    <w:rsid w:val="00095070"/>
    <w:pPr>
      <w:tabs>
        <w:tab w:val="clear" w:pos="680"/>
      </w:tabs>
      <w:spacing w:before="60" w:after="60"/>
    </w:pPr>
  </w:style>
  <w:style w:type="paragraph" w:customStyle="1" w:styleId="SubHeading2">
    <w:name w:val="SubHeading2"/>
    <w:basedOn w:val="HeadingBase"/>
    <w:rsid w:val="00095070"/>
    <w:pPr>
      <w:spacing w:before="240" w:after="60"/>
    </w:pPr>
    <w:rPr>
      <w:sz w:val="20"/>
    </w:rPr>
  </w:style>
  <w:style w:type="paragraph" w:customStyle="1" w:styleId="SubHeading1">
    <w:name w:val="SubHeading1"/>
    <w:basedOn w:val="HeadingBase"/>
    <w:rsid w:val="00095070"/>
    <w:pPr>
      <w:spacing w:before="240" w:after="60"/>
    </w:pPr>
    <w:rPr>
      <w:color w:val="918585"/>
      <w:sz w:val="22"/>
    </w:rPr>
  </w:style>
  <w:style w:type="paragraph" w:customStyle="1" w:styleId="SideHeading">
    <w:name w:val="Side Heading"/>
    <w:basedOn w:val="HeadingBase"/>
    <w:rsid w:val="000950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5070"/>
    <w:pPr>
      <w:numPr>
        <w:numId w:val="13"/>
      </w:numPr>
    </w:pPr>
  </w:style>
  <w:style w:type="paragraph" w:styleId="PlainText">
    <w:name w:val="Plain Text"/>
    <w:basedOn w:val="Normal"/>
    <w:link w:val="PlainTextChar"/>
    <w:rsid w:val="00095070"/>
    <w:rPr>
      <w:sz w:val="20"/>
    </w:rPr>
  </w:style>
  <w:style w:type="character" w:customStyle="1" w:styleId="PlainTextChar">
    <w:name w:val="Plain Text Char"/>
    <w:basedOn w:val="DefaultParagraphFont"/>
    <w:link w:val="PlainText"/>
    <w:rsid w:val="00095070"/>
    <w:rPr>
      <w:rFonts w:ascii="Courier New" w:eastAsia="Times New Roman" w:hAnsi="Courier New" w:cs="Times New Roman"/>
      <w:sz w:val="20"/>
      <w:szCs w:val="20"/>
      <w:lang w:eastAsia="en-US"/>
    </w:rPr>
  </w:style>
  <w:style w:type="character" w:customStyle="1" w:styleId="MenuOption">
    <w:name w:val="Menu Option"/>
    <w:basedOn w:val="DefaultParagraphFont"/>
    <w:rsid w:val="00095070"/>
    <w:rPr>
      <w:b/>
      <w:smallCaps/>
    </w:rPr>
  </w:style>
  <w:style w:type="paragraph" w:customStyle="1" w:styleId="TableListNumber">
    <w:name w:val="Table List Number"/>
    <w:basedOn w:val="ListNumber"/>
    <w:rsid w:val="00095070"/>
    <w:pPr>
      <w:numPr>
        <w:numId w:val="0"/>
      </w:numPr>
    </w:pPr>
  </w:style>
  <w:style w:type="paragraph" w:styleId="TOC4">
    <w:name w:val="toc 4"/>
    <w:basedOn w:val="TOCBase"/>
    <w:next w:val="Normal"/>
    <w:semiHidden/>
    <w:rsid w:val="00095070"/>
    <w:pPr>
      <w:tabs>
        <w:tab w:val="right" w:leader="dot" w:pos="9071"/>
      </w:tabs>
      <w:ind w:left="1701"/>
    </w:pPr>
  </w:style>
  <w:style w:type="paragraph" w:customStyle="1" w:styleId="ListAlpha">
    <w:name w:val="List Alpha"/>
    <w:basedOn w:val="List"/>
    <w:rsid w:val="00095070"/>
    <w:pPr>
      <w:numPr>
        <w:numId w:val="10"/>
      </w:numPr>
    </w:pPr>
  </w:style>
  <w:style w:type="paragraph" w:customStyle="1" w:styleId="ListAlpha2">
    <w:name w:val="List Alpha 2"/>
    <w:basedOn w:val="List2"/>
    <w:rsid w:val="00095070"/>
    <w:pPr>
      <w:numPr>
        <w:numId w:val="9"/>
      </w:numPr>
    </w:pPr>
  </w:style>
  <w:style w:type="paragraph" w:styleId="List2">
    <w:name w:val="List 2"/>
    <w:basedOn w:val="BodyText"/>
    <w:rsid w:val="00095070"/>
    <w:pPr>
      <w:tabs>
        <w:tab w:val="left" w:pos="680"/>
      </w:tabs>
      <w:spacing w:before="60" w:after="60"/>
      <w:ind w:left="680" w:hanging="340"/>
    </w:pPr>
  </w:style>
  <w:style w:type="paragraph" w:styleId="List3">
    <w:name w:val="List 3"/>
    <w:basedOn w:val="BodyText"/>
    <w:rsid w:val="00095070"/>
    <w:pPr>
      <w:tabs>
        <w:tab w:val="left" w:pos="1021"/>
      </w:tabs>
      <w:spacing w:before="60" w:after="60"/>
      <w:ind w:left="1020" w:hanging="340"/>
    </w:pPr>
  </w:style>
  <w:style w:type="paragraph" w:styleId="List4">
    <w:name w:val="List 4"/>
    <w:basedOn w:val="BodyText"/>
    <w:rsid w:val="00095070"/>
    <w:pPr>
      <w:tabs>
        <w:tab w:val="left" w:pos="1361"/>
      </w:tabs>
      <w:spacing w:before="60" w:after="60"/>
      <w:ind w:left="1361" w:hanging="340"/>
    </w:pPr>
  </w:style>
  <w:style w:type="paragraph" w:styleId="List5">
    <w:name w:val="List 5"/>
    <w:basedOn w:val="BodyText"/>
    <w:rsid w:val="00095070"/>
    <w:pPr>
      <w:tabs>
        <w:tab w:val="left" w:pos="1701"/>
      </w:tabs>
      <w:spacing w:before="60" w:after="60"/>
      <w:ind w:left="1701" w:hanging="340"/>
    </w:pPr>
  </w:style>
  <w:style w:type="paragraph" w:styleId="ListBullet4">
    <w:name w:val="List Bullet 4"/>
    <w:basedOn w:val="List4"/>
    <w:rsid w:val="00095070"/>
    <w:pPr>
      <w:numPr>
        <w:numId w:val="4"/>
      </w:numPr>
    </w:pPr>
  </w:style>
  <w:style w:type="paragraph" w:styleId="ListBullet5">
    <w:name w:val="List Bullet 5"/>
    <w:basedOn w:val="List5"/>
    <w:rsid w:val="00095070"/>
    <w:pPr>
      <w:numPr>
        <w:numId w:val="5"/>
      </w:numPr>
    </w:pPr>
  </w:style>
  <w:style w:type="paragraph" w:styleId="ListContinue2">
    <w:name w:val="List Continue 2"/>
    <w:basedOn w:val="List2"/>
    <w:rsid w:val="00095070"/>
    <w:pPr>
      <w:ind w:firstLine="0"/>
    </w:pPr>
  </w:style>
  <w:style w:type="paragraph" w:styleId="ListContinue3">
    <w:name w:val="List Continue 3"/>
    <w:basedOn w:val="List3"/>
    <w:rsid w:val="00095070"/>
    <w:pPr>
      <w:ind w:left="1021" w:firstLine="0"/>
    </w:pPr>
  </w:style>
  <w:style w:type="paragraph" w:styleId="ListContinue4">
    <w:name w:val="List Continue 4"/>
    <w:basedOn w:val="List4"/>
    <w:rsid w:val="00095070"/>
    <w:pPr>
      <w:ind w:firstLine="0"/>
    </w:pPr>
  </w:style>
  <w:style w:type="paragraph" w:styleId="ListContinue5">
    <w:name w:val="List Continue 5"/>
    <w:basedOn w:val="List5"/>
    <w:rsid w:val="00095070"/>
    <w:pPr>
      <w:ind w:firstLine="0"/>
    </w:pPr>
  </w:style>
  <w:style w:type="paragraph" w:styleId="ListNumber3">
    <w:name w:val="List Number 3"/>
    <w:basedOn w:val="List3"/>
    <w:rsid w:val="00095070"/>
    <w:pPr>
      <w:numPr>
        <w:numId w:val="6"/>
      </w:numPr>
    </w:pPr>
  </w:style>
  <w:style w:type="paragraph" w:styleId="ListNumber4">
    <w:name w:val="List Number 4"/>
    <w:basedOn w:val="List4"/>
    <w:rsid w:val="00095070"/>
    <w:pPr>
      <w:numPr>
        <w:numId w:val="7"/>
      </w:numPr>
    </w:pPr>
  </w:style>
  <w:style w:type="paragraph" w:styleId="ListNumber5">
    <w:name w:val="List Number 5"/>
    <w:basedOn w:val="List5"/>
    <w:rsid w:val="00095070"/>
    <w:pPr>
      <w:numPr>
        <w:numId w:val="8"/>
      </w:numPr>
    </w:pPr>
  </w:style>
  <w:style w:type="paragraph" w:styleId="BlockText">
    <w:name w:val="Block Text"/>
    <w:basedOn w:val="Normal"/>
    <w:rsid w:val="00095070"/>
    <w:pPr>
      <w:spacing w:after="120"/>
      <w:ind w:left="1440" w:right="1440"/>
    </w:pPr>
  </w:style>
  <w:style w:type="character" w:customStyle="1" w:styleId="Subscript">
    <w:name w:val="Subscript"/>
    <w:basedOn w:val="DefaultParagraphFont"/>
    <w:rsid w:val="00095070"/>
    <w:rPr>
      <w:sz w:val="16"/>
      <w:vertAlign w:val="subscript"/>
    </w:rPr>
  </w:style>
  <w:style w:type="character" w:customStyle="1" w:styleId="Superscript">
    <w:name w:val="Superscript"/>
    <w:basedOn w:val="DefaultParagraphFont"/>
    <w:rsid w:val="00095070"/>
    <w:rPr>
      <w:sz w:val="16"/>
      <w:vertAlign w:val="superscript"/>
    </w:rPr>
  </w:style>
  <w:style w:type="character" w:customStyle="1" w:styleId="Symbols">
    <w:name w:val="Symbols"/>
    <w:basedOn w:val="DefaultParagraphFont"/>
    <w:rsid w:val="00095070"/>
    <w:rPr>
      <w:rFonts w:ascii="Symbol" w:hAnsi="Symbol"/>
    </w:rPr>
  </w:style>
  <w:style w:type="character" w:customStyle="1" w:styleId="MenuOptions">
    <w:name w:val="Menu Options"/>
    <w:basedOn w:val="DefaultParagraphFont"/>
    <w:rsid w:val="00095070"/>
    <w:rPr>
      <w:rFonts w:ascii="Arial Narrow" w:hAnsi="Arial Narrow"/>
      <w:smallCaps/>
    </w:rPr>
  </w:style>
  <w:style w:type="character" w:customStyle="1" w:styleId="Buttons">
    <w:name w:val="Buttons"/>
    <w:basedOn w:val="DefaultParagraphFont"/>
    <w:rsid w:val="00095070"/>
    <w:rPr>
      <w:b/>
    </w:rPr>
  </w:style>
  <w:style w:type="character" w:customStyle="1" w:styleId="Underlined">
    <w:name w:val="Underlined"/>
    <w:basedOn w:val="DefaultParagraphFont"/>
    <w:rsid w:val="00095070"/>
    <w:rPr>
      <w:u w:val="single"/>
    </w:rPr>
  </w:style>
  <w:style w:type="paragraph" w:customStyle="1" w:styleId="TableBodyTextRight">
    <w:name w:val="Table Body Text Right"/>
    <w:basedOn w:val="TableBodyText"/>
    <w:rsid w:val="00095070"/>
    <w:pPr>
      <w:widowControl w:val="0"/>
      <w:autoSpaceDE w:val="0"/>
      <w:autoSpaceDN w:val="0"/>
      <w:adjustRightInd w:val="0"/>
      <w:jc w:val="right"/>
    </w:pPr>
    <w:rPr>
      <w:rFonts w:cs="Arial"/>
      <w:szCs w:val="18"/>
    </w:rPr>
  </w:style>
  <w:style w:type="paragraph" w:customStyle="1" w:styleId="CopyrightText">
    <w:name w:val="Copyright Text"/>
    <w:basedOn w:val="BodyText"/>
    <w:rsid w:val="00095070"/>
    <w:rPr>
      <w:sz w:val="18"/>
    </w:rPr>
  </w:style>
  <w:style w:type="paragraph" w:customStyle="1" w:styleId="BodySmallRight">
    <w:name w:val="Body Small Right"/>
    <w:basedOn w:val="BodyTextRight"/>
    <w:rsid w:val="00095070"/>
    <w:rPr>
      <w:sz w:val="18"/>
      <w:szCs w:val="18"/>
    </w:rPr>
  </w:style>
  <w:style w:type="paragraph" w:customStyle="1" w:styleId="MarginEdition">
    <w:name w:val="Margin Edition"/>
    <w:basedOn w:val="MarginNote"/>
    <w:rsid w:val="00095070"/>
    <w:pPr>
      <w:spacing w:before="0" w:after="0"/>
    </w:pPr>
    <w:rPr>
      <w:rFonts w:ascii="Times New Roman" w:hAnsi="Times New Roman"/>
      <w:color w:val="999999"/>
    </w:rPr>
  </w:style>
  <w:style w:type="paragraph" w:customStyle="1" w:styleId="Spacer">
    <w:name w:val="Spacer"/>
    <w:basedOn w:val="Normal"/>
    <w:rsid w:val="00095070"/>
    <w:rPr>
      <w:sz w:val="2"/>
      <w:szCs w:val="2"/>
    </w:rPr>
  </w:style>
  <w:style w:type="character" w:customStyle="1" w:styleId="Small">
    <w:name w:val="Small"/>
    <w:basedOn w:val="DefaultParagraphFont"/>
    <w:rsid w:val="00095070"/>
    <w:rPr>
      <w:sz w:val="16"/>
    </w:rPr>
  </w:style>
  <w:style w:type="paragraph" w:customStyle="1" w:styleId="WideTable">
    <w:name w:val="Wide Table"/>
    <w:basedOn w:val="Normal"/>
    <w:rsid w:val="00095070"/>
    <w:pPr>
      <w:ind w:left="-1418"/>
    </w:pPr>
    <w:rPr>
      <w:sz w:val="2"/>
      <w:szCs w:val="2"/>
    </w:rPr>
  </w:style>
  <w:style w:type="character" w:styleId="PageNumber">
    <w:name w:val="page number"/>
    <w:basedOn w:val="DefaultParagraphFont"/>
    <w:rsid w:val="00095070"/>
  </w:style>
  <w:style w:type="paragraph" w:styleId="Quote">
    <w:name w:val="Quote"/>
    <w:basedOn w:val="Heading1"/>
    <w:link w:val="QuoteChar"/>
    <w:qFormat/>
    <w:rsid w:val="00095070"/>
    <w:rPr>
      <w:b w:val="0"/>
      <w:sz w:val="72"/>
      <w:szCs w:val="72"/>
      <w:lang w:val="en-NZ"/>
    </w:rPr>
  </w:style>
  <w:style w:type="character" w:customStyle="1" w:styleId="QuoteChar">
    <w:name w:val="Quote Char"/>
    <w:basedOn w:val="DefaultParagraphFont"/>
    <w:link w:val="Quote"/>
    <w:rsid w:val="000950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5070"/>
    <w:pPr>
      <w:pageBreakBefore/>
    </w:pPr>
  </w:style>
  <w:style w:type="paragraph" w:customStyle="1" w:styleId="Border">
    <w:name w:val="Border"/>
    <w:basedOn w:val="Normal"/>
    <w:qFormat/>
    <w:rsid w:val="000950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5070"/>
    <w:rPr>
      <w:b/>
      <w:bCs/>
      <w:i/>
      <w:iCs/>
      <w:color w:val="auto"/>
    </w:rPr>
  </w:style>
  <w:style w:type="paragraph" w:styleId="IntenseQuote">
    <w:name w:val="Intense Quote"/>
    <w:basedOn w:val="Normal"/>
    <w:next w:val="Normal"/>
    <w:link w:val="IntenseQuoteChar"/>
    <w:uiPriority w:val="30"/>
    <w:qFormat/>
    <w:rsid w:val="000950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50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5070"/>
    <w:rPr>
      <w:smallCaps/>
      <w:color w:val="auto"/>
      <w:u w:val="single"/>
    </w:rPr>
  </w:style>
  <w:style w:type="character" w:styleId="IntenseReference">
    <w:name w:val="Intense Reference"/>
    <w:basedOn w:val="DefaultParagraphFont"/>
    <w:uiPriority w:val="32"/>
    <w:qFormat/>
    <w:rsid w:val="00095070"/>
    <w:rPr>
      <w:b/>
      <w:bCs/>
      <w:smallCaps/>
      <w:color w:val="auto"/>
      <w:spacing w:val="5"/>
      <w:u w:val="single"/>
    </w:rPr>
  </w:style>
  <w:style w:type="paragraph" w:customStyle="1" w:styleId="2ColumnHeading">
    <w:name w:val="2Column Heading"/>
    <w:basedOn w:val="BodyText"/>
    <w:qFormat/>
    <w:rsid w:val="00095070"/>
    <w:pPr>
      <w:spacing w:after="60"/>
      <w:ind w:left="-2268"/>
    </w:pPr>
    <w:rPr>
      <w:b/>
    </w:rPr>
  </w:style>
  <w:style w:type="paragraph" w:customStyle="1" w:styleId="Heading1TOC">
    <w:name w:val="Heading1 TOC"/>
    <w:basedOn w:val="Normal"/>
    <w:qFormat/>
    <w:rsid w:val="00095070"/>
    <w:pPr>
      <w:spacing w:before="240" w:after="120"/>
    </w:pPr>
    <w:rPr>
      <w:rFonts w:ascii="Times New Roman" w:hAnsi="Times New Roman"/>
      <w:b/>
      <w:sz w:val="32"/>
    </w:rPr>
  </w:style>
  <w:style w:type="paragraph" w:customStyle="1" w:styleId="Heading2TOC">
    <w:name w:val="Heading2 TOC"/>
    <w:basedOn w:val="Normal"/>
    <w:qFormat/>
    <w:rsid w:val="00095070"/>
    <w:pPr>
      <w:spacing w:before="240" w:after="60"/>
    </w:pPr>
    <w:rPr>
      <w:rFonts w:ascii="Times New Roman" w:hAnsi="Times New Roman"/>
      <w:b/>
      <w:sz w:val="28"/>
    </w:rPr>
  </w:style>
  <w:style w:type="character" w:customStyle="1" w:styleId="Underline">
    <w:name w:val="Underline"/>
    <w:basedOn w:val="DefaultParagraphFont"/>
    <w:qFormat/>
    <w:rsid w:val="00095070"/>
    <w:rPr>
      <w:u w:val="single"/>
    </w:rPr>
  </w:style>
  <w:style w:type="character" w:customStyle="1" w:styleId="BoldandItalics">
    <w:name w:val="Bold and Italics"/>
    <w:qFormat/>
    <w:rsid w:val="00095070"/>
    <w:rPr>
      <w:b/>
      <w:i/>
      <w:u w:val="none"/>
    </w:rPr>
  </w:style>
  <w:style w:type="paragraph" w:styleId="BalloonText">
    <w:name w:val="Balloon Text"/>
    <w:basedOn w:val="Normal"/>
    <w:link w:val="BalloonTextChar"/>
    <w:rsid w:val="00095070"/>
    <w:rPr>
      <w:rFonts w:ascii="Tahoma" w:hAnsi="Tahoma" w:cs="Tahoma"/>
      <w:sz w:val="16"/>
      <w:szCs w:val="16"/>
    </w:rPr>
  </w:style>
  <w:style w:type="character" w:customStyle="1" w:styleId="BalloonTextChar">
    <w:name w:val="Balloon Text Char"/>
    <w:basedOn w:val="DefaultParagraphFont"/>
    <w:link w:val="BalloonText"/>
    <w:rsid w:val="000950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50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50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5070"/>
    <w:rPr>
      <w:b/>
      <w:color w:val="660033"/>
      <w:spacing w:val="0"/>
    </w:rPr>
  </w:style>
  <w:style w:type="paragraph" w:customStyle="1" w:styleId="Nameditemlist">
    <w:name w:val="Named item list"/>
    <w:basedOn w:val="BodyText"/>
    <w:qFormat/>
    <w:rsid w:val="0009507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2579</Words>
  <Characters>15718</Characters>
  <Application>Microsoft Office Word</Application>
  <DocSecurity>0</DocSecurity>
  <Lines>688</Lines>
  <Paragraphs>325</Paragraphs>
  <ScaleCrop>false</ScaleCrop>
  <Company>Author-it Software Corporation Ltd.</Company>
  <LinksUpToDate>false</LinksUpToDate>
  <CharactersWithSpaces>18067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UEENEEI124A Fault find and repair analogue circuits and components in electronic control systems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2013-03-07T18:04:00Z</dcterms:created>
  <dcterms:modified xsi:type="dcterms:W3CDTF">2013-03-07T18:04:00Z</dcterms:modified>
</cp:coreProperties>
</file>