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0566" w:rsidP="00D50566">
      <w:pPr>
        <w:pStyle w:val="Title"/>
      </w:pPr>
      <w:bookmarkStart w:id="0" w:name="_GoBack"/>
      <w:bookmarkEnd w:id="0"/>
      <w:r>
        <w:fldChar w:fldCharType="begin"/>
      </w:r>
      <w:r>
        <w:instrText xml:space="preserve"> TITLE   \* MERGEFORMAT </w:instrText>
      </w:r>
      <w:r>
        <w:fldChar w:fldCharType="separate"/>
      </w:r>
      <w:r>
        <w:t>UEENEEI121A Trouble shoot in measuring and analysis systems</w:t>
      </w:r>
      <w:r>
        <w:fldChar w:fldCharType="end"/>
      </w:r>
    </w:p>
    <w:p w:rsidR="00D50566" w:rsidP="00D50566">
      <w:pPr>
        <w:pStyle w:val="Version"/>
        <w:sectPr w:rsidSect="00CC64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6474" w:rsidP="00CC6474">
      <w:pPr>
        <w:pStyle w:val="SuperHeading"/>
      </w:pPr>
      <w:r w:rsidRPr="00CC6474">
        <w:t>UEENEEI121A Trouble shoot in measuring and analysis systems</w:t>
      </w:r>
    </w:p>
    <w:p w:rsidR="00000000" w:rsidRPr="00CC6474" w:rsidP="00CC6474">
      <w:pPr>
        <w:pStyle w:val="Heading1"/>
      </w:pPr>
      <w:bookmarkStart w:id="1" w:name="O_516773"/>
      <w:bookmarkEnd w:id="1"/>
      <w:r w:rsidRPr="00CC6474">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D5056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474">
            <w:pPr>
              <w:pStyle w:val="BodyText"/>
              <w:rPr>
                <w:lang w:val="en-NZ"/>
              </w:rPr>
            </w:pPr>
            <w:r w:rsidRPr="00CC6474">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474">
            <w:pPr>
              <w:pStyle w:val="BodyText"/>
              <w:rPr>
                <w:lang w:val="en-NZ"/>
              </w:rPr>
            </w:pPr>
            <w:r w:rsidRPr="00CC6474">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474">
            <w:pPr>
              <w:pStyle w:val="BodyText"/>
              <w:rPr>
                <w:lang w:val="en-NZ"/>
              </w:rPr>
            </w:pPr>
            <w:r w:rsidRPr="00CC6474">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474">
            <w:pPr>
              <w:pStyle w:val="BodyText"/>
              <w:rPr>
                <w:lang w:val="en-NZ"/>
              </w:rPr>
            </w:pPr>
            <w:r w:rsidRPr="00CC6474">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474">
            <w:pPr>
              <w:pStyle w:val="BodyText"/>
              <w:rPr>
                <w:lang w:val="en-NZ"/>
              </w:rPr>
            </w:pPr>
            <w:r w:rsidRPr="00CC6474">
              <w:t>Points</w:t>
            </w:r>
          </w:p>
        </w:tc>
      </w:tr>
      <w:tr w:rsidTr="00D5056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474">
            <w:pPr>
              <w:pStyle w:val="BodyText"/>
              <w:rPr>
                <w:lang w:val="en-NZ"/>
              </w:rPr>
            </w:pPr>
            <w:r w:rsidRPr="00CC6474">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474">
            <w:pPr>
              <w:pStyle w:val="BodyText"/>
              <w:rPr>
                <w:lang w:val="en-NZ"/>
              </w:rPr>
            </w:pPr>
            <w:r w:rsidRPr="00CC6474">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474">
            <w:pPr>
              <w:pStyle w:val="BodyText"/>
              <w:rPr>
                <w:lang w:val="en-NZ"/>
              </w:rPr>
            </w:pPr>
            <w:r w:rsidRPr="00CC6474">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474">
            <w:pPr>
              <w:pStyle w:val="BodyText"/>
              <w:rPr>
                <w:lang w:val="en-NZ"/>
              </w:rPr>
            </w:pPr>
            <w:r w:rsidRPr="00CC6474">
              <w:t>Show full pre-req chain in the unit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474">
            <w:pPr>
              <w:pStyle w:val="BodyText"/>
              <w:rPr>
                <w:lang w:val="en-NZ"/>
              </w:rPr>
            </w:pPr>
          </w:p>
        </w:tc>
      </w:tr>
      <w:tr w:rsidTr="00D5056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474">
            <w:pPr>
              <w:pStyle w:val="BodyText"/>
              <w:rPr>
                <w:lang w:val="en-NZ"/>
              </w:rPr>
            </w:pPr>
            <w:r w:rsidRPr="00CC6474">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474">
            <w:pPr>
              <w:pStyle w:val="BodyText"/>
              <w:rPr>
                <w:lang w:val="en-NZ"/>
              </w:rPr>
            </w:pPr>
            <w:r w:rsidRPr="00CC6474">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474">
            <w:pPr>
              <w:pStyle w:val="BodyText"/>
              <w:rPr>
                <w:lang w:val="en-NZ"/>
              </w:rPr>
            </w:pPr>
            <w:r w:rsidRPr="00CC6474">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474">
            <w:pPr>
              <w:pStyle w:val="BodyText"/>
              <w:rPr>
                <w:lang w:val="en-NZ"/>
              </w:rPr>
            </w:pPr>
            <w:r w:rsidRPr="00CC6474">
              <w:t xml:space="preserve">Inserted topic numbering in Required Skills and Knowledge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474">
            <w:pPr>
              <w:pStyle w:val="BodyText"/>
              <w:rPr>
                <w:lang w:val="en-NZ"/>
              </w:rPr>
            </w:pPr>
          </w:p>
        </w:tc>
      </w:tr>
      <w:tr w:rsidTr="00D5056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474">
            <w:pPr>
              <w:pStyle w:val="BodyText"/>
              <w:rPr>
                <w:lang w:val="en-NZ"/>
              </w:rPr>
            </w:pPr>
            <w:r w:rsidRPr="00CC6474">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474">
            <w:pPr>
              <w:pStyle w:val="BodyText"/>
              <w:rPr>
                <w:lang w:val="en-NZ"/>
              </w:rPr>
            </w:pPr>
            <w:r w:rsidRPr="00CC6474">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474">
            <w:pPr>
              <w:pStyle w:val="BodyText"/>
              <w:rPr>
                <w:lang w:val="en-NZ"/>
              </w:rPr>
            </w:pPr>
            <w:r w:rsidRPr="00CC6474">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474">
            <w:pPr>
              <w:pStyle w:val="BodyText"/>
              <w:rPr>
                <w:lang w:val="en-NZ"/>
              </w:rPr>
            </w:pPr>
            <w:r w:rsidRPr="00CC6474">
              <w:t>Replaced "essential knowledge and associated skills" with "required skills and knowledge"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474" w:rsidP="00CC6474">
            <w:pPr>
              <w:pStyle w:val="BodyText"/>
            </w:pPr>
          </w:p>
        </w:tc>
      </w:tr>
    </w:tbl>
    <w:p w:rsidR="00000000" w:rsidRPr="00CC6474" w:rsidP="00CC6474">
      <w:pPr>
        <w:pStyle w:val="BodyText"/>
      </w:pPr>
    </w:p>
    <w:p w:rsidR="00000000" w:rsidRPr="00CC6474" w:rsidP="00CC6474">
      <w:pPr>
        <w:pStyle w:val="AllowPageBreak"/>
      </w:pPr>
    </w:p>
    <w:p w:rsidR="00000000" w:rsidRPr="00CC6474" w:rsidP="00CC6474">
      <w:pPr>
        <w:pStyle w:val="Heading1"/>
      </w:pPr>
      <w:bookmarkStart w:id="2" w:name="O_516772"/>
      <w:bookmarkEnd w:id="2"/>
      <w:r w:rsidRPr="00CC6474">
        <w:t>Unit Descriptor</w:t>
      </w:r>
    </w:p>
    <w:tbl>
      <w:tblPr>
        <w:tblW w:w="0" w:type="auto"/>
        <w:tblLayout w:type="fixed"/>
        <w:tblCellMar>
          <w:left w:w="62" w:type="dxa"/>
          <w:right w:w="62" w:type="dxa"/>
        </w:tblCellMar>
        <w:tblLook w:val="0000"/>
      </w:tblPr>
      <w:tblGrid>
        <w:gridCol w:w="2700"/>
        <w:gridCol w:w="5760"/>
      </w:tblGrid>
      <w:tr w:rsidTr="00D5056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rPr>
                <w:rStyle w:val="SpecialBold"/>
              </w:rPr>
              <w:t>1)</w:t>
            </w:r>
            <w:r w:rsidRPr="00CC6474">
              <w:t xml:space="preserve"> </w:t>
            </w:r>
            <w:r w:rsidRPr="00CC6474">
              <w:rPr>
                <w:rStyle w:val="SpecialBold"/>
              </w:rPr>
              <w:t>Scope:</w:t>
            </w:r>
          </w:p>
        </w:tc>
      </w:tr>
      <w:tr w:rsidTr="00D505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C647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rPr>
                <w:rStyle w:val="SpecialBold"/>
              </w:rPr>
              <w:t>1.1) Descriptor</w:t>
            </w:r>
          </w:p>
        </w:tc>
      </w:tr>
      <w:tr w:rsidTr="00D505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t>This unit covers findin</w:t>
            </w:r>
            <w:r w:rsidRPr="00CC6474">
              <w:t>g and repairing faults in measuring and analysis systems. It encompasses working safely, reading circuit diagrams and device specifications, applying logical fault finding procedures, conducting repairs and completing the necessary service documentation.</w:t>
            </w:r>
          </w:p>
        </w:tc>
      </w:tr>
    </w:tbl>
    <w:p w:rsidR="00000000" w:rsidRPr="00CC6474" w:rsidP="00CC6474">
      <w:pPr>
        <w:pStyle w:val="BodyText"/>
      </w:pPr>
    </w:p>
    <w:p w:rsidR="00000000" w:rsidRPr="00CC6474" w:rsidP="00CC6474">
      <w:pPr>
        <w:pStyle w:val="AllowPageBreak"/>
      </w:pPr>
    </w:p>
    <w:p w:rsidR="00000000" w:rsidRPr="00CC6474" w:rsidP="00CC6474">
      <w:pPr>
        <w:pStyle w:val="Heading1"/>
      </w:pPr>
      <w:bookmarkStart w:id="3" w:name="O_516771"/>
      <w:bookmarkEnd w:id="3"/>
      <w:r w:rsidRPr="00CC6474">
        <w:t>Application of the Unit</w:t>
      </w:r>
    </w:p>
    <w:tbl>
      <w:tblPr>
        <w:tblW w:w="0" w:type="auto"/>
        <w:tblLayout w:type="fixed"/>
        <w:tblCellMar>
          <w:left w:w="62" w:type="dxa"/>
          <w:right w:w="62" w:type="dxa"/>
        </w:tblCellMar>
        <w:tblLook w:val="0000"/>
      </w:tblPr>
      <w:tblGrid>
        <w:gridCol w:w="2672"/>
        <w:gridCol w:w="5699"/>
      </w:tblGrid>
      <w:tr w:rsidTr="00D5056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rPr>
                <w:rStyle w:val="SpecialBold"/>
              </w:rPr>
              <w:t>2)</w:t>
            </w:r>
          </w:p>
        </w:tc>
      </w:tr>
      <w:tr w:rsidTr="00D5056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t>This unit is intended for competency development entry-level employment-based programs incorporated in approved contracts of training. It may also be used to augment formally acquired c</w:t>
            </w:r>
            <w:r w:rsidRPr="00CC6474">
              <w:t>ompetencies.</w:t>
            </w:r>
          </w:p>
        </w:tc>
      </w:tr>
    </w:tbl>
    <w:p w:rsidR="00000000" w:rsidRPr="00CC6474" w:rsidP="00CC6474">
      <w:pPr>
        <w:pStyle w:val="BodyText"/>
      </w:pPr>
    </w:p>
    <w:p w:rsidR="00000000" w:rsidRPr="00CC6474" w:rsidP="00CC6474">
      <w:pPr>
        <w:pStyle w:val="AllowPageBreak"/>
      </w:pPr>
    </w:p>
    <w:p w:rsidR="00000000" w:rsidRPr="00CC6474" w:rsidP="00CC6474">
      <w:pPr>
        <w:pStyle w:val="Heading1"/>
      </w:pPr>
      <w:bookmarkStart w:id="4" w:name="O_516770"/>
      <w:bookmarkEnd w:id="4"/>
      <w:r w:rsidRPr="00CC6474">
        <w:t>Licensing/Regulatory Information</w:t>
      </w:r>
    </w:p>
    <w:tbl>
      <w:tblPr>
        <w:tblW w:w="0" w:type="auto"/>
        <w:tblLayout w:type="fixed"/>
        <w:tblCellMar>
          <w:left w:w="62" w:type="dxa"/>
          <w:right w:w="62" w:type="dxa"/>
        </w:tblCellMar>
        <w:tblLook w:val="0000"/>
      </w:tblPr>
      <w:tblGrid>
        <w:gridCol w:w="2700"/>
        <w:gridCol w:w="5760"/>
      </w:tblGrid>
      <w:tr w:rsidTr="00D5056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rPr>
                <w:rStyle w:val="SpecialBold"/>
              </w:rPr>
              <w:t xml:space="preserve">3) </w:t>
            </w:r>
          </w:p>
        </w:tc>
      </w:tr>
      <w:tr w:rsidTr="00D505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t xml:space="preserve">The skills and knowledge described in this unit do not require a license to practice in the workplace provided equipment is not connected to </w:t>
            </w:r>
            <w:r w:rsidRPr="00CC6474">
              <w:t xml:space="preserve">installation wiring at voltage above 50 V a.c. or 120 V d.c. However other conditions may apply in some States and Territories subject to regulations related to electrical work. </w:t>
            </w:r>
          </w:p>
          <w:p w:rsidR="00000000" w:rsidRPr="00CC6474" w:rsidP="00CC6474">
            <w:pPr>
              <w:pStyle w:val="BodyText"/>
            </w:pPr>
            <w:r w:rsidRPr="00CC6474">
              <w:t xml:space="preserve">Practice in the workplace and during training is also subject to regulations </w:t>
            </w:r>
            <w:r w:rsidRPr="00CC6474">
              <w:t>directly related to occupational health and safety and where applicable contracts of training such as apprenticeships.</w:t>
            </w:r>
          </w:p>
          <w:p w:rsidR="00000000" w:rsidRPr="00CC6474" w:rsidP="00CC6474">
            <w:pPr>
              <w:pStyle w:val="BodyText"/>
            </w:pPr>
          </w:p>
          <w:p w:rsidR="00000000" w:rsidRPr="00CC6474" w:rsidP="00CC6474">
            <w:pPr>
              <w:pStyle w:val="BodyText"/>
            </w:pPr>
            <w:r w:rsidRPr="00CC6474">
              <w:t xml:space="preserve">Note: </w:t>
            </w:r>
          </w:p>
          <w:p w:rsidR="00000000" w:rsidRPr="00CC6474" w:rsidP="00CC6474">
            <w:pPr>
              <w:pStyle w:val="BodyText"/>
            </w:pPr>
            <w:r w:rsidRPr="00CC6474">
              <w:t>1. Compliance with permits may be required in various jurisdictions and typically relates to the operation of plant, machinery an</w:t>
            </w:r>
            <w:r w:rsidRPr="00CC6474">
              <w:t>d equipment such as elevating work platforms, powder operated fixing tools, power operated tools, vehicles, road signage and traffic control and lifting equipment. Permits may also be required for some work environments such as confined spaces, working alo</w:t>
            </w:r>
            <w:r w:rsidRPr="00CC6474">
              <w:t>ft, near live electrical apparatus and site rehabilitation.</w:t>
            </w:r>
          </w:p>
          <w:p w:rsidR="00000000" w:rsidRPr="00CC6474" w:rsidP="00CC6474">
            <w:pPr>
              <w:pStyle w:val="BodyText"/>
            </w:pPr>
            <w:r w:rsidRPr="00CC6474">
              <w:t>2. Compliance may be required in various jurisdictions relating to currency in First Aid, confined space and lifting and risk safety measures.</w:t>
            </w:r>
          </w:p>
        </w:tc>
      </w:tr>
    </w:tbl>
    <w:p w:rsidR="00000000" w:rsidRPr="00CC6474" w:rsidP="00CC6474">
      <w:pPr>
        <w:pStyle w:val="BodyText"/>
      </w:pPr>
    </w:p>
    <w:p w:rsidR="00000000" w:rsidRPr="00CC6474" w:rsidP="00CC6474">
      <w:pPr>
        <w:pStyle w:val="AllowPageBreak"/>
      </w:pPr>
    </w:p>
    <w:p w:rsidR="00000000" w:rsidRPr="00CC6474" w:rsidP="00CC6474">
      <w:pPr>
        <w:pStyle w:val="Heading1"/>
      </w:pPr>
      <w:bookmarkStart w:id="5" w:name="O_516769"/>
      <w:bookmarkEnd w:id="5"/>
      <w:r w:rsidRPr="00CC6474">
        <w:t>Pre-Requisites</w:t>
      </w:r>
    </w:p>
    <w:tbl>
      <w:tblPr>
        <w:tblW w:w="0" w:type="auto"/>
        <w:tblLayout w:type="fixed"/>
        <w:tblCellMar>
          <w:left w:w="62" w:type="dxa"/>
          <w:right w:w="62" w:type="dxa"/>
        </w:tblCellMar>
        <w:tblLook w:val="0000"/>
      </w:tblPr>
      <w:tblGrid>
        <w:gridCol w:w="2700"/>
        <w:gridCol w:w="1440"/>
        <w:gridCol w:w="4320"/>
      </w:tblGrid>
      <w:tr w:rsidTr="00D5056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rPr>
                <w:rStyle w:val="SpecialBold"/>
              </w:rPr>
              <w:t>Prerequisite Unit(s</w:t>
            </w:r>
            <w:r w:rsidRPr="00CC6474">
              <w:rPr>
                <w:rStyle w:val="SpecialBold"/>
              </w:rPr>
              <w:t>)</w:t>
            </w:r>
          </w:p>
        </w:tc>
        <w:tc>
          <w:tcPr>
            <w:tcW w:w="5760" w:type="dxa"/>
            <w:gridSpan w:val="2"/>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rPr>
                <w:rStyle w:val="SpecialBold"/>
              </w:rPr>
              <w:t xml:space="preserve">4) </w:t>
            </w:r>
          </w:p>
        </w:tc>
      </w:tr>
      <w:tr w:rsidTr="00D505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rPr>
                <w:rStyle w:val="SpecialBold"/>
              </w:rPr>
              <w:t>4.1)</w:t>
            </w:r>
          </w:p>
        </w:tc>
      </w:tr>
      <w:tr w:rsidTr="00D505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Granting competency in this unit shall be made only after competency in the following unit(s) has/have been confirmed.</w:t>
            </w:r>
          </w:p>
        </w:tc>
      </w:tr>
      <w:tr w:rsidTr="00D50566">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UEENEEI112A</w:t>
            </w:r>
          </w:p>
        </w:tc>
        <w:tc>
          <w:tcPr>
            <w:tcW w:w="432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 xml:space="preserve">Verify compliance and functionality of instrumentation and control installations </w:t>
            </w:r>
          </w:p>
        </w:tc>
      </w:tr>
      <w:tr w:rsidTr="00D505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AND</w:t>
            </w:r>
          </w:p>
        </w:tc>
        <w:tc>
          <w:tcPr>
            <w:tcW w:w="432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p>
        </w:tc>
      </w:tr>
      <w:tr w:rsidTr="00D505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UEENEEI11</w:t>
            </w:r>
            <w:r w:rsidRPr="00CC6474">
              <w:t>8A</w:t>
            </w:r>
          </w:p>
        </w:tc>
        <w:tc>
          <w:tcPr>
            <w:tcW w:w="432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 xml:space="preserve">Set up weighting measuring and control </w:t>
            </w:r>
            <w:r w:rsidRPr="00CC6474">
              <w:t xml:space="preserve">instruments </w:t>
            </w:r>
          </w:p>
        </w:tc>
      </w:tr>
      <w:tr w:rsidTr="00D505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OR</w:t>
            </w:r>
          </w:p>
        </w:tc>
        <w:tc>
          <w:tcPr>
            <w:tcW w:w="432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p>
        </w:tc>
      </w:tr>
      <w:tr w:rsidTr="00D505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UEENEEI131A</w:t>
            </w:r>
          </w:p>
        </w:tc>
        <w:tc>
          <w:tcPr>
            <w:tcW w:w="432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 xml:space="preserve">Set up gas analysis measuring and control instruments </w:t>
            </w:r>
          </w:p>
        </w:tc>
      </w:tr>
      <w:tr w:rsidTr="00D505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OR</w:t>
            </w:r>
          </w:p>
        </w:tc>
        <w:tc>
          <w:tcPr>
            <w:tcW w:w="432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p>
        </w:tc>
      </w:tr>
      <w:tr w:rsidTr="00D505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UEENEEI132A</w:t>
            </w:r>
          </w:p>
        </w:tc>
        <w:tc>
          <w:tcPr>
            <w:tcW w:w="432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 xml:space="preserve">Set up water analysis measuring and control instruments </w:t>
            </w:r>
          </w:p>
        </w:tc>
      </w:tr>
      <w:tr w:rsidTr="00D505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OR</w:t>
            </w:r>
          </w:p>
        </w:tc>
        <w:tc>
          <w:tcPr>
            <w:tcW w:w="432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p>
        </w:tc>
      </w:tr>
      <w:tr w:rsidTr="00D505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UEENEEI133A</w:t>
            </w:r>
          </w:p>
        </w:tc>
        <w:tc>
          <w:tcPr>
            <w:tcW w:w="4320" w:type="dxa"/>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t xml:space="preserve">Set up scientific analysis measuring and control instruments </w:t>
            </w:r>
          </w:p>
        </w:tc>
      </w:tr>
    </w:tbl>
    <w:p w:rsidR="00000000" w:rsidRPr="00CC6474" w:rsidP="00CC647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5056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rPr>
                <w:rStyle w:val="SpecialBold"/>
              </w:rPr>
              <w:t xml:space="preserve">4.2) </w:t>
            </w:r>
          </w:p>
        </w:tc>
      </w:tr>
      <w:tr w:rsidTr="00D505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 xml:space="preserve">Participants are best equipped to achieve competency in this unit if they have reading, writing and numeracy skills indicated by the following </w:t>
            </w:r>
            <w:r w:rsidRPr="00CC6474">
              <w:t>scales. Description of each scale is given in Volume 2, Part 3 ‘Literacy and Numeracy’</w:t>
            </w:r>
          </w:p>
        </w:tc>
      </w:tr>
      <w:tr w:rsidTr="00D505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Reading</w:t>
            </w:r>
          </w:p>
        </w:tc>
        <w:tc>
          <w:tcPr>
            <w:tcW w:w="81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4</w:t>
            </w:r>
          </w:p>
        </w:tc>
        <w:tc>
          <w:tcPr>
            <w:tcW w:w="99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Writing</w:t>
            </w:r>
          </w:p>
        </w:tc>
        <w:tc>
          <w:tcPr>
            <w:tcW w:w="90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4</w:t>
            </w:r>
          </w:p>
        </w:tc>
        <w:tc>
          <w:tcPr>
            <w:tcW w:w="126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Numeracy</w:t>
            </w:r>
          </w:p>
        </w:tc>
        <w:tc>
          <w:tcPr>
            <w:tcW w:w="720" w:type="dxa"/>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t>4</w:t>
            </w:r>
          </w:p>
        </w:tc>
      </w:tr>
    </w:tbl>
    <w:p w:rsidR="00000000" w:rsidRPr="00CC6474" w:rsidP="00CC6474">
      <w:pPr>
        <w:pStyle w:val="BodyText"/>
      </w:pPr>
    </w:p>
    <w:p w:rsidR="00000000" w:rsidRPr="00CC6474" w:rsidP="00CC6474">
      <w:pPr>
        <w:pStyle w:val="AllowPageBreak"/>
      </w:pPr>
    </w:p>
    <w:p w:rsidR="00000000" w:rsidRPr="00CC6474" w:rsidP="00CC6474">
      <w:pPr>
        <w:pStyle w:val="Heading1"/>
      </w:pPr>
      <w:bookmarkStart w:id="6" w:name="O_516768"/>
      <w:bookmarkEnd w:id="6"/>
      <w:r w:rsidRPr="00CC6474">
        <w:t>Employability Skills Information</w:t>
      </w:r>
    </w:p>
    <w:tbl>
      <w:tblPr>
        <w:tblW w:w="0" w:type="auto"/>
        <w:tblLayout w:type="fixed"/>
        <w:tblCellMar>
          <w:left w:w="62" w:type="dxa"/>
          <w:right w:w="62" w:type="dxa"/>
        </w:tblCellMar>
        <w:tblLook w:val="0000"/>
      </w:tblPr>
      <w:tblGrid>
        <w:gridCol w:w="2700"/>
        <w:gridCol w:w="5760"/>
      </w:tblGrid>
      <w:tr w:rsidTr="00D5056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rPr>
                <w:rStyle w:val="SpecialBold"/>
              </w:rPr>
              <w:t xml:space="preserve">5) </w:t>
            </w:r>
          </w:p>
        </w:tc>
      </w:tr>
      <w:tr w:rsidTr="00D505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t>This unit contains Employability Skills</w:t>
            </w:r>
          </w:p>
          <w:p w:rsidR="00000000" w:rsidRPr="00CC6474" w:rsidP="00CC6474">
            <w:pPr>
              <w:pStyle w:val="BodyText"/>
            </w:pPr>
            <w:r w:rsidRPr="00CC647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C6474">
              <w:t>requirements.</w:t>
            </w:r>
          </w:p>
        </w:tc>
      </w:tr>
    </w:tbl>
    <w:p w:rsidR="00000000" w:rsidRPr="00CC6474" w:rsidP="00CC6474">
      <w:pPr>
        <w:pStyle w:val="BodyText"/>
      </w:pPr>
    </w:p>
    <w:p w:rsidR="00000000" w:rsidRPr="00CC6474" w:rsidP="00CC6474">
      <w:pPr>
        <w:pStyle w:val="AllowPageBreak"/>
      </w:pPr>
    </w:p>
    <w:p w:rsidR="00000000" w:rsidRPr="00CC6474" w:rsidP="00CC6474">
      <w:pPr>
        <w:pStyle w:val="Heading1"/>
      </w:pPr>
      <w:bookmarkStart w:id="7" w:name="O_516767"/>
      <w:bookmarkEnd w:id="7"/>
      <w:r w:rsidRPr="00CC6474">
        <w:t>Elements and Performance Criteria Pre-Content</w:t>
      </w:r>
    </w:p>
    <w:tbl>
      <w:tblPr>
        <w:tblW w:w="0" w:type="auto"/>
        <w:tblLayout w:type="fixed"/>
        <w:tblCellMar>
          <w:left w:w="62" w:type="dxa"/>
          <w:right w:w="62" w:type="dxa"/>
        </w:tblCellMar>
        <w:tblLook w:val="0000"/>
      </w:tblPr>
      <w:tblGrid>
        <w:gridCol w:w="2700"/>
        <w:gridCol w:w="5760"/>
      </w:tblGrid>
      <w:tr w:rsidTr="00D505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rPr>
                <w:rStyle w:val="SpecialBold"/>
              </w:rPr>
              <w:t>6)</w:t>
            </w:r>
            <w:r w:rsidRPr="00CC647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t>Performance Criteria describe the required performance needed to demonstrate achievement of the element. Assessment of performance is to be consistent with the Evidence Guide.</w:t>
            </w:r>
          </w:p>
        </w:tc>
      </w:tr>
    </w:tbl>
    <w:p w:rsidR="00000000" w:rsidRPr="00CC6474" w:rsidP="00CC6474">
      <w:pPr>
        <w:pStyle w:val="BodyText"/>
      </w:pPr>
    </w:p>
    <w:p w:rsidR="00000000" w:rsidRPr="00CC6474" w:rsidP="00CC6474">
      <w:pPr>
        <w:pStyle w:val="AllowPageBreak"/>
      </w:pPr>
    </w:p>
    <w:p w:rsidR="00000000" w:rsidRPr="00CC6474" w:rsidP="00CC6474">
      <w:pPr>
        <w:pStyle w:val="Heading1"/>
      </w:pPr>
      <w:bookmarkStart w:id="8" w:name="O_516766"/>
      <w:bookmarkEnd w:id="8"/>
      <w:r w:rsidRPr="00CC647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5056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rPr>
                <w:rStyle w:val="SpecialBold"/>
              </w:rPr>
              <w:t>PERFORMANCE CRITER</w:t>
            </w:r>
            <w:r w:rsidRPr="00CC6474">
              <w:rPr>
                <w:rStyle w:val="SpecialBold"/>
              </w:rPr>
              <w:t>IA</w:t>
            </w:r>
          </w:p>
        </w:tc>
      </w:tr>
      <w:tr w:rsidTr="00D505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1</w:t>
            </w:r>
          </w:p>
        </w:tc>
        <w:tc>
          <w:tcPr>
            <w:tcW w:w="2296" w:type="dxa"/>
            <w:vMerge w:val="restart"/>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Prepare to find and repair faults</w:t>
            </w:r>
          </w:p>
        </w:tc>
        <w:tc>
          <w:tcPr>
            <w:tcW w:w="90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1.1</w:t>
            </w:r>
          </w:p>
        </w:tc>
        <w:tc>
          <w:tcPr>
            <w:tcW w:w="486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OHS procedures for a given work area are identified, obtained and understood</w:t>
            </w:r>
          </w:p>
        </w:tc>
      </w:tr>
      <w:tr w:rsidTr="00D505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1.2</w:t>
            </w:r>
          </w:p>
        </w:tc>
        <w:tc>
          <w:tcPr>
            <w:tcW w:w="486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OHS risk control measures and procedures are followed in preparation for the work.</w:t>
            </w:r>
          </w:p>
        </w:tc>
      </w:tr>
      <w:tr w:rsidTr="00D505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1.3</w:t>
            </w:r>
          </w:p>
        </w:tc>
        <w:tc>
          <w:tcPr>
            <w:tcW w:w="486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The nature of the fault is obtained from documentation or from work supervisor to establish the scope of work to be undertaken.</w:t>
            </w:r>
          </w:p>
        </w:tc>
      </w:tr>
      <w:tr w:rsidTr="00D505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1.4</w:t>
            </w:r>
          </w:p>
        </w:tc>
        <w:tc>
          <w:tcPr>
            <w:tcW w:w="486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 xml:space="preserve">Advice is sought from the work supervisor to ensure the work is coordinated effectively with others. </w:t>
            </w:r>
          </w:p>
        </w:tc>
      </w:tr>
      <w:tr w:rsidTr="00D505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1.5</w:t>
            </w:r>
          </w:p>
        </w:tc>
        <w:tc>
          <w:tcPr>
            <w:tcW w:w="486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Sources of m</w:t>
            </w:r>
            <w:r w:rsidRPr="00CC6474">
              <w:t>aterials that may be required for the work are established in accordance with established procedures.</w:t>
            </w:r>
          </w:p>
        </w:tc>
      </w:tr>
      <w:tr w:rsidTr="00D505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1.6</w:t>
            </w:r>
          </w:p>
        </w:tc>
        <w:tc>
          <w:tcPr>
            <w:tcW w:w="486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 xml:space="preserve">Tools, equipment and testing devices needed to carry out the work are obtained in accordance with established procedures and checked for correct </w:t>
            </w:r>
            <w:r w:rsidRPr="00CC6474">
              <w:t>operation and safety.</w:t>
            </w:r>
          </w:p>
        </w:tc>
      </w:tr>
      <w:tr w:rsidTr="00D505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2</w:t>
            </w:r>
          </w:p>
        </w:tc>
        <w:tc>
          <w:tcPr>
            <w:tcW w:w="2296" w:type="dxa"/>
            <w:vMerge w:val="restart"/>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Find and repair faults</w:t>
            </w:r>
          </w:p>
        </w:tc>
        <w:tc>
          <w:tcPr>
            <w:tcW w:w="90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2.1</w:t>
            </w:r>
          </w:p>
        </w:tc>
        <w:tc>
          <w:tcPr>
            <w:tcW w:w="486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OHS risk control measures and procedures for carrying out the work are followed.</w:t>
            </w:r>
          </w:p>
        </w:tc>
      </w:tr>
      <w:tr w:rsidTr="00D505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2.2</w:t>
            </w:r>
          </w:p>
        </w:tc>
        <w:tc>
          <w:tcPr>
            <w:tcW w:w="486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The need to test or measure live is determined in strict accordance with OHS requirements and when necessary conduct</w:t>
            </w:r>
            <w:r w:rsidRPr="00CC6474">
              <w:t>ed within established safety procedures.</w:t>
            </w:r>
          </w:p>
        </w:tc>
      </w:tr>
      <w:tr w:rsidTr="00D505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2.3</w:t>
            </w:r>
          </w:p>
        </w:tc>
        <w:tc>
          <w:tcPr>
            <w:tcW w:w="486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Apparatus is checked as being isolated where necessary in strict accordance OHS requirements and procedures.</w:t>
            </w:r>
          </w:p>
        </w:tc>
      </w:tr>
      <w:tr w:rsidTr="00D505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2.4</w:t>
            </w:r>
          </w:p>
        </w:tc>
        <w:tc>
          <w:tcPr>
            <w:tcW w:w="486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Fault finding is approached methodically drawing on knowledge of measuring and analytical equipment and circuit using measured and calculated values of apparatus parameters.</w:t>
            </w:r>
          </w:p>
        </w:tc>
      </w:tr>
      <w:tr w:rsidTr="00D505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2.5</w:t>
            </w:r>
          </w:p>
        </w:tc>
        <w:tc>
          <w:tcPr>
            <w:tcW w:w="486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Equipment components are dismantled where necessary and parts stored to pro</w:t>
            </w:r>
            <w:r w:rsidRPr="00CC6474">
              <w:t>tect them against loss or damage.</w:t>
            </w:r>
          </w:p>
        </w:tc>
      </w:tr>
      <w:tr w:rsidTr="00D505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2.6</w:t>
            </w:r>
          </w:p>
        </w:tc>
        <w:tc>
          <w:tcPr>
            <w:tcW w:w="486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Faulty components are rechecked and their fault status confirmed.</w:t>
            </w:r>
          </w:p>
        </w:tc>
      </w:tr>
      <w:tr w:rsidTr="00D505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2.7</w:t>
            </w:r>
          </w:p>
        </w:tc>
        <w:tc>
          <w:tcPr>
            <w:tcW w:w="486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Faulty components are readjusted or replaced in accordance with established procedures.</w:t>
            </w:r>
          </w:p>
        </w:tc>
      </w:tr>
      <w:tr w:rsidTr="00D505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2.8</w:t>
            </w:r>
          </w:p>
        </w:tc>
        <w:tc>
          <w:tcPr>
            <w:tcW w:w="486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Effectiveness of the repaired component is tested in accordance with established procedures.</w:t>
            </w:r>
          </w:p>
        </w:tc>
      </w:tr>
      <w:tr w:rsidTr="00D505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2.9</w:t>
            </w:r>
          </w:p>
        </w:tc>
        <w:tc>
          <w:tcPr>
            <w:tcW w:w="486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Apparatus is reassembled, finally tested and prepared for return to customer.</w:t>
            </w:r>
          </w:p>
        </w:tc>
      </w:tr>
      <w:tr w:rsidTr="00D505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2.10</w:t>
            </w:r>
          </w:p>
        </w:tc>
        <w:tc>
          <w:tcPr>
            <w:tcW w:w="486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 xml:space="preserve">Unexpected situations are dealt </w:t>
            </w:r>
            <w:r w:rsidRPr="00CC6474">
              <w:t>with safely and with the approval of an authorised person.</w:t>
            </w:r>
          </w:p>
        </w:tc>
      </w:tr>
      <w:tr w:rsidTr="00D505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2.11</w:t>
            </w:r>
          </w:p>
        </w:tc>
        <w:tc>
          <w:tcPr>
            <w:tcW w:w="486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Fault finding and repair activities are carried out efficiently without waste of materials or damage to apparatus and the surrounding environment or services and using sustainable energy pr</w:t>
            </w:r>
            <w:r w:rsidRPr="00CC6474">
              <w:t>actices.</w:t>
            </w:r>
          </w:p>
        </w:tc>
      </w:tr>
      <w:tr w:rsidTr="00D505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3</w:t>
            </w:r>
          </w:p>
        </w:tc>
        <w:tc>
          <w:tcPr>
            <w:tcW w:w="2296" w:type="dxa"/>
            <w:vMerge w:val="restart"/>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Completion and report fault finding and repair activities</w:t>
            </w:r>
          </w:p>
        </w:tc>
        <w:tc>
          <w:tcPr>
            <w:tcW w:w="90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3.1</w:t>
            </w:r>
          </w:p>
        </w:tc>
        <w:tc>
          <w:tcPr>
            <w:tcW w:w="486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OHS work completion risk control measures and procedures are followed.</w:t>
            </w:r>
          </w:p>
        </w:tc>
      </w:tr>
      <w:tr w:rsidTr="00D505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3.2</w:t>
            </w:r>
          </w:p>
        </w:tc>
        <w:tc>
          <w:tcPr>
            <w:tcW w:w="486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Work area is cleaned and made safe in accordance with established procedures.</w:t>
            </w:r>
          </w:p>
        </w:tc>
      </w:tr>
      <w:tr w:rsidTr="00D505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3.3</w:t>
            </w:r>
          </w:p>
        </w:tc>
        <w:tc>
          <w:tcPr>
            <w:tcW w:w="486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Written justification is made for repairs to apparatus, including components and materials used.</w:t>
            </w:r>
          </w:p>
        </w:tc>
      </w:tr>
      <w:tr w:rsidTr="00D505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3.4</w:t>
            </w:r>
          </w:p>
        </w:tc>
        <w:tc>
          <w:tcPr>
            <w:tcW w:w="4860" w:type="dxa"/>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t>Acceptance that the reported fault(s) have been repaired is sought from an appropriate person in accordance with established procedures.</w:t>
            </w:r>
          </w:p>
        </w:tc>
      </w:tr>
    </w:tbl>
    <w:p w:rsidR="00000000" w:rsidRPr="00CC6474" w:rsidP="00CC6474">
      <w:pPr>
        <w:pStyle w:val="BodyText"/>
      </w:pPr>
    </w:p>
    <w:p w:rsidR="00000000" w:rsidRPr="00CC6474" w:rsidP="00CC6474">
      <w:pPr>
        <w:pStyle w:val="AllowPageBreak"/>
      </w:pPr>
    </w:p>
    <w:p w:rsidR="00000000" w:rsidRPr="00CC6474" w:rsidP="00CC6474">
      <w:pPr>
        <w:pStyle w:val="Heading1"/>
      </w:pPr>
      <w:bookmarkStart w:id="9" w:name="O_516765"/>
      <w:bookmarkEnd w:id="9"/>
      <w:r w:rsidRPr="00CC6474">
        <w:t>Required Skills and Knowledge</w:t>
      </w:r>
    </w:p>
    <w:tbl>
      <w:tblPr>
        <w:tblW w:w="0" w:type="auto"/>
        <w:tblLayout w:type="fixed"/>
        <w:tblCellMar>
          <w:left w:w="62" w:type="dxa"/>
          <w:right w:w="62" w:type="dxa"/>
        </w:tblCellMar>
        <w:tblLook w:val="0000"/>
      </w:tblPr>
      <w:tblGrid>
        <w:gridCol w:w="1440"/>
        <w:gridCol w:w="7020"/>
      </w:tblGrid>
      <w:tr w:rsidTr="00D5056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rPr>
                <w:rStyle w:val="SpecialBold"/>
              </w:rPr>
              <w:t>REQUIRED SKILLS AND KNOWLEDGE</w:t>
            </w:r>
          </w:p>
        </w:tc>
      </w:tr>
      <w:tr w:rsidTr="00D50566">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rPr>
                <w:rStyle w:val="SpecialBold"/>
              </w:rPr>
              <w:t>8)</w:t>
            </w:r>
            <w:r w:rsidRPr="00CC6474">
              <w:t xml:space="preserve"> This describes the required skills and knowledge and their level, required for this unit.</w:t>
            </w:r>
          </w:p>
          <w:p w:rsidR="00000000" w:rsidRPr="00CC6474" w:rsidP="00CC6474">
            <w:pPr>
              <w:pStyle w:val="BodyText"/>
            </w:pPr>
            <w:r w:rsidRPr="00CC6474">
              <w:t xml:space="preserve">Evidence shall show that knowledge has been acquired of safe working practices and finding and repairing faults in measuring and analysis systems. </w:t>
            </w:r>
          </w:p>
          <w:p w:rsidR="00000000" w:rsidP="00CC6474">
            <w:pPr>
              <w:pStyle w:val="BodyText"/>
              <w:rPr>
                <w:lang w:val="en-NZ"/>
              </w:rPr>
            </w:pPr>
            <w:r w:rsidRPr="00CC6474">
              <w:t>All knowledge and skills detailed in this unit should be contextualised to current industry practices and te</w:t>
            </w:r>
            <w:r w:rsidRPr="00CC6474">
              <w:t>chnologies.</w:t>
            </w:r>
          </w:p>
        </w:tc>
      </w:tr>
      <w:tr w:rsidTr="00D50566">
        <w:tblPrEx>
          <w:tblW w:w="0" w:type="auto"/>
          <w:tblLayout w:type="fixed"/>
          <w:tblCellMar>
            <w:left w:w="62" w:type="dxa"/>
            <w:right w:w="62" w:type="dxa"/>
          </w:tblCellMar>
          <w:tblLook w:val="0000"/>
        </w:tblPrEx>
        <w:trPr>
          <w:trHeight w:val="226"/>
        </w:trPr>
        <w:tc>
          <w:tcPr>
            <w:tcW w:w="1440" w:type="dxa"/>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rPr>
                <w:rStyle w:val="SpecialBold"/>
              </w:rPr>
              <w:t>KS01-EI121A</w:t>
            </w:r>
          </w:p>
        </w:tc>
        <w:tc>
          <w:tcPr>
            <w:tcW w:w="702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rPr>
                <w:rStyle w:val="SpecialBold"/>
              </w:rPr>
              <w:t>Trouble shooting measuring and analysis systems</w:t>
            </w:r>
          </w:p>
        </w:tc>
      </w:tr>
      <w:tr w:rsidTr="00D5056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Evidence shall show an understanding of measurement circuits and applications to an extent indicated by the following aspects:</w:t>
            </w:r>
          </w:p>
        </w:tc>
      </w:tr>
      <w:tr w:rsidTr="00D50566">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p>
        </w:tc>
        <w:tc>
          <w:tcPr>
            <w:tcW w:w="7020" w:type="dxa"/>
            <w:tcBorders>
              <w:top w:val="nil"/>
              <w:left w:val="nil"/>
              <w:bottom w:val="nil"/>
              <w:right w:val="nil"/>
            </w:tcBorders>
            <w:tcMar>
              <w:top w:w="0" w:type="dxa"/>
              <w:left w:w="62" w:type="dxa"/>
              <w:bottom w:w="0" w:type="dxa"/>
              <w:right w:w="62" w:type="dxa"/>
            </w:tcMar>
          </w:tcPr>
          <w:p w:rsidR="00000000" w:rsidP="00CC6474">
            <w:pPr>
              <w:pStyle w:val="ListBullet2"/>
              <w:rPr>
                <w:lang w:val="en-NZ"/>
              </w:rPr>
            </w:pPr>
            <w:r w:rsidRPr="00CC6474">
              <w:t>Principles of measurement</w:t>
            </w:r>
          </w:p>
        </w:tc>
      </w:tr>
      <w:tr w:rsidTr="00D50566">
        <w:tblPrEx>
          <w:tblW w:w="0" w:type="auto"/>
          <w:tblLayout w:type="fixed"/>
          <w:tblCellMar>
            <w:left w:w="62" w:type="dxa"/>
            <w:right w:w="62" w:type="dxa"/>
          </w:tblCellMar>
          <w:tblLook w:val="0000"/>
        </w:tblPrEx>
        <w:trPr>
          <w:trHeight w:val="226"/>
        </w:trPr>
        <w:tc>
          <w:tcPr>
            <w:tcW w:w="144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p>
        </w:tc>
        <w:tc>
          <w:tcPr>
            <w:tcW w:w="7020" w:type="dxa"/>
            <w:tcBorders>
              <w:top w:val="nil"/>
              <w:left w:val="nil"/>
              <w:bottom w:val="nil"/>
              <w:right w:val="nil"/>
            </w:tcBorders>
            <w:tcMar>
              <w:top w:w="0" w:type="dxa"/>
              <w:left w:w="62" w:type="dxa"/>
              <w:bottom w:w="0" w:type="dxa"/>
              <w:right w:w="62" w:type="dxa"/>
            </w:tcMar>
          </w:tcPr>
          <w:p w:rsidR="00000000" w:rsidP="00CC6474">
            <w:pPr>
              <w:pStyle w:val="ListBullet2"/>
              <w:rPr>
                <w:lang w:val="en-NZ"/>
              </w:rPr>
            </w:pPr>
            <w:r w:rsidRPr="00CC6474">
              <w:t xml:space="preserve">Circuit components and configurations </w:t>
            </w:r>
          </w:p>
        </w:tc>
      </w:tr>
      <w:tr w:rsidTr="00D5056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p>
        </w:tc>
        <w:tc>
          <w:tcPr>
            <w:tcW w:w="7020" w:type="dxa"/>
            <w:tcBorders>
              <w:top w:val="nil"/>
              <w:left w:val="nil"/>
              <w:bottom w:val="nil"/>
              <w:right w:val="nil"/>
            </w:tcBorders>
            <w:tcMar>
              <w:top w:w="0" w:type="dxa"/>
              <w:left w:w="62" w:type="dxa"/>
              <w:bottom w:w="0" w:type="dxa"/>
              <w:right w:w="62" w:type="dxa"/>
            </w:tcMar>
          </w:tcPr>
          <w:p w:rsidR="00000000" w:rsidRPr="00CC6474" w:rsidP="00CC6474">
            <w:pPr>
              <w:pStyle w:val="ListBullet2"/>
            </w:pPr>
            <w:r w:rsidRPr="00CC6474">
              <w:t>Applications of measurement circuits</w:t>
            </w:r>
          </w:p>
        </w:tc>
      </w:tr>
    </w:tbl>
    <w:p w:rsidR="00000000" w:rsidRPr="00CC6474" w:rsidP="00CC6474">
      <w:pPr>
        <w:pStyle w:val="BodyText"/>
      </w:pPr>
    </w:p>
    <w:p w:rsidR="00000000" w:rsidRPr="00CC6474" w:rsidP="00CC6474">
      <w:pPr>
        <w:pStyle w:val="AllowPageBreak"/>
      </w:pPr>
    </w:p>
    <w:p w:rsidR="00000000" w:rsidRPr="00CC6474" w:rsidP="00CC6474">
      <w:pPr>
        <w:pStyle w:val="Heading1"/>
      </w:pPr>
      <w:bookmarkStart w:id="10" w:name="O_516764"/>
      <w:bookmarkEnd w:id="10"/>
      <w:r w:rsidRPr="00CC6474">
        <w:t>Evidence Guide</w:t>
      </w:r>
    </w:p>
    <w:tbl>
      <w:tblPr>
        <w:tblW w:w="0" w:type="auto"/>
        <w:tblLayout w:type="fixed"/>
        <w:tblCellMar>
          <w:left w:w="62" w:type="dxa"/>
          <w:right w:w="62" w:type="dxa"/>
        </w:tblCellMar>
        <w:tblLook w:val="0000"/>
      </w:tblPr>
      <w:tblGrid>
        <w:gridCol w:w="8460"/>
      </w:tblGrid>
      <w:tr w:rsidTr="00D5056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rPr>
                <w:rStyle w:val="SpecialBold"/>
              </w:rPr>
              <w:t>EVIDENCE GUIDE</w:t>
            </w:r>
          </w:p>
        </w:tc>
      </w:tr>
      <w:tr w:rsidTr="00D5056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rPr>
                <w:rStyle w:val="SpecialBold"/>
              </w:rPr>
              <w:t>9)</w:t>
            </w:r>
            <w:r w:rsidRPr="00CC6474">
              <w:t xml:space="preserve"> The evidence guide provides advice on assessment and must be read in conjunction with the Performance </w:t>
            </w:r>
            <w:r w:rsidRPr="00CC6474">
              <w:t>Criteria, Required Skills and Knowledge, the Range Statement and the Assessment Guidelines for this Training Package.</w:t>
            </w:r>
          </w:p>
          <w:p w:rsidR="00000000" w:rsidRPr="00CC6474" w:rsidP="00CC6474">
            <w:pPr>
              <w:pStyle w:val="BodyText"/>
            </w:pPr>
            <w:r w:rsidRPr="00CC6474">
              <w:t>The Evidence Guide forms an integral part of this unit. It must be used in conjunction with all parts of the unit and performed in accorda</w:t>
            </w:r>
            <w:r w:rsidRPr="00CC6474">
              <w:t>nce with the Assessment Guidelines of this Training Package.</w:t>
            </w:r>
          </w:p>
        </w:tc>
      </w:tr>
    </w:tbl>
    <w:p w:rsidR="00000000" w:rsidRPr="00CC6474" w:rsidP="00CC6474">
      <w:pPr>
        <w:pStyle w:val="BodyText"/>
      </w:pPr>
    </w:p>
    <w:tbl>
      <w:tblPr>
        <w:tblW w:w="0" w:type="auto"/>
        <w:tblLayout w:type="fixed"/>
        <w:tblCellMar>
          <w:left w:w="62" w:type="dxa"/>
          <w:right w:w="62" w:type="dxa"/>
        </w:tblCellMar>
        <w:tblLook w:val="0000"/>
      </w:tblPr>
      <w:tblGrid>
        <w:gridCol w:w="1890"/>
        <w:gridCol w:w="6570"/>
      </w:tblGrid>
      <w:tr w:rsidTr="00D505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rPr>
                <w:rStyle w:val="SpecialBold"/>
              </w:rPr>
              <w:t>9.1)</w:t>
            </w:r>
          </w:p>
        </w:tc>
      </w:tr>
      <w:tr w:rsidTr="00D505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t>Longitudinal competency development approaches to assessment, such as Profiling, require data to be reliably gathered in a form that can be consiste</w:t>
            </w:r>
            <w:r w:rsidRPr="00CC6474">
              <w:t>ntly interpreted over time. This approach is best utilised in Apprenticeship programs and reduces assessment intervention. It is the industry-preferred model for apprenticeships. However, where summative (or final) assessment is used it is to include the a</w:t>
            </w:r>
            <w:r w:rsidRPr="00CC6474">
              <w:t>pplication of the competency in the normal work environment or, at a minimum, the application of the competency in a realistically simulated work environment. In some circumstances, assessment in part or full can occur outside the workplace. However, it mu</w:t>
            </w:r>
            <w:r w:rsidRPr="00CC6474">
              <w:t>st be in accordance with industry and regulatory policy.</w:t>
            </w:r>
          </w:p>
          <w:p w:rsidR="00000000" w:rsidRPr="00CC6474" w:rsidP="00CC6474">
            <w:pPr>
              <w:pStyle w:val="BodyText"/>
            </w:pPr>
            <w:r w:rsidRPr="00CC6474">
              <w:t>Methods chosen for a particular assessment will be influenced by various factors. These include the extent of the assessment, the most effective locations for the assessment activities to take place,</w:t>
            </w:r>
            <w:r w:rsidRPr="00CC6474">
              <w:t xml:space="preserve"> access to physical resources, additional safety measures that may be required and the critical nature of the competencies being assessed.</w:t>
            </w:r>
          </w:p>
          <w:p w:rsidR="00000000" w:rsidRPr="00CC6474" w:rsidP="00CC6474">
            <w:pPr>
              <w:pStyle w:val="BodyText"/>
            </w:pPr>
            <w:r w:rsidRPr="00CC6474">
              <w:t>The critical safety nature of working with electricity, electrical equipment, gas or any other hazardous substance/ma</w:t>
            </w:r>
            <w:r w:rsidRPr="00CC6474">
              <w:t>terial carries risk in deeming a person competent. Sources of evidence need to be ‘rich’ in nature to minimise error in judgment.</w:t>
            </w:r>
          </w:p>
          <w:p w:rsidR="00000000" w:rsidRPr="00CC6474" w:rsidP="00CC6474">
            <w:pPr>
              <w:pStyle w:val="BodyText"/>
            </w:pPr>
            <w:r w:rsidRPr="00CC6474">
              <w:t>Activities associated with normal everyday work influence how/how much the data gathered will contribute to its ‘richness’. So</w:t>
            </w:r>
            <w:r w:rsidRPr="00CC6474">
              <w:t>me skills are more critical to safety and operational requirements while the same skills may be more or less frequently practised. These points are raised for the assessors to consider when choosing an assessment method and developing assessment instrument</w:t>
            </w:r>
            <w:r w:rsidRPr="00CC6474">
              <w:t>s. Sample assessment instruments are included for Assessors in the Assessment Guidelines of this Training Package.</w:t>
            </w:r>
          </w:p>
        </w:tc>
      </w:tr>
    </w:tbl>
    <w:p w:rsidR="00000000" w:rsidRPr="00CC6474" w:rsidP="00CC6474">
      <w:pPr>
        <w:pStyle w:val="BodyText"/>
      </w:pPr>
    </w:p>
    <w:tbl>
      <w:tblPr>
        <w:tblW w:w="0" w:type="auto"/>
        <w:tblLayout w:type="fixed"/>
        <w:tblCellMar>
          <w:left w:w="62" w:type="dxa"/>
          <w:right w:w="62" w:type="dxa"/>
        </w:tblCellMar>
        <w:tblLook w:val="0000"/>
      </w:tblPr>
      <w:tblGrid>
        <w:gridCol w:w="1890"/>
        <w:gridCol w:w="1530"/>
        <w:gridCol w:w="5040"/>
      </w:tblGrid>
      <w:tr w:rsidTr="00D505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rPr>
                <w:rStyle w:val="SpecialBold"/>
              </w:rPr>
              <w:t>9.2)</w:t>
            </w:r>
          </w:p>
        </w:tc>
      </w:tr>
      <w:tr w:rsidTr="00D505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t>Before the critical aspects of evidence are considered</w:t>
            </w:r>
            <w:r w:rsidRPr="00CC6474">
              <w:t xml:space="preserve"> all prerequisites must be met.</w:t>
            </w:r>
          </w:p>
          <w:p w:rsidR="00000000" w:rsidRPr="00CC6474" w:rsidP="00CC6474">
            <w:pPr>
              <w:pStyle w:val="BodyText"/>
            </w:pPr>
            <w:r w:rsidRPr="00CC6474">
              <w:t xml:space="preserve">Evidence for competence in this unit shall be considered holistically.  Each Element and associated performance criteria must be demonstrated on at least two occasions in accordance with the ‘Assessment Guidelines – UEE11’. </w:t>
            </w:r>
            <w:r w:rsidRPr="00CC6474">
              <w:t xml:space="preserve"> Evidence shall also comprise:</w:t>
            </w:r>
          </w:p>
          <w:p w:rsidR="00000000" w:rsidRPr="00CC6474" w:rsidP="00CC6474">
            <w:pPr>
              <w:pStyle w:val="ListBullet"/>
            </w:pPr>
            <w:r w:rsidRPr="00CC6474">
              <w:t xml:space="preserve">A representative body of work performance demonstrated within the timeframes typically </w:t>
            </w:r>
            <w:r w:rsidRPr="00CC6474">
              <w:t>expected of the discipline, work function and industrial environment. In particular this shall incorporate evidence that shows a candidate is able to:</w:t>
            </w:r>
          </w:p>
          <w:p w:rsidR="00000000" w:rsidRPr="00CC6474" w:rsidP="00CC6474">
            <w:pPr>
              <w:pStyle w:val="ListBullet2"/>
            </w:pPr>
            <w:r w:rsidRPr="00CC6474">
              <w:t>Implement Occupational Health and Safety workplace procedures and practices, including the use of risk c</w:t>
            </w:r>
            <w:r w:rsidRPr="00CC6474">
              <w:t>ontrol measures as specified in the performance criteria and range statement</w:t>
            </w:r>
          </w:p>
          <w:p w:rsidR="00000000" w:rsidRPr="00CC6474" w:rsidP="00CC6474">
            <w:pPr>
              <w:pStyle w:val="ListBullet2"/>
            </w:pPr>
            <w:r w:rsidRPr="00CC6474">
              <w:t>Apply sustainable energy principles and practices as specified in the performance criteria and range statement</w:t>
            </w:r>
          </w:p>
          <w:p w:rsidR="00000000" w:rsidRPr="00CC6474" w:rsidP="00CC6474">
            <w:pPr>
              <w:pStyle w:val="ListBullet2"/>
            </w:pPr>
            <w:r w:rsidRPr="00CC6474">
              <w:t>Demonstrate an understanding of the required skills and knowledge as</w:t>
            </w:r>
            <w:r w:rsidRPr="00CC6474">
              <w:t xml:space="preserve"> described in this unit.  It may be required by some jurisdictions that RTOs provide a percentile graded result for the purpose of regulatory or licensing requirements.</w:t>
            </w:r>
          </w:p>
          <w:p w:rsidR="00000000" w:rsidRPr="00CC6474" w:rsidP="00CC6474">
            <w:pPr>
              <w:pStyle w:val="ListBullet2"/>
            </w:pPr>
            <w:r w:rsidRPr="00CC6474">
              <w:t>Demonstrate an appropriate level of skills enabling employment</w:t>
            </w:r>
          </w:p>
          <w:p w:rsidR="00000000" w:rsidRPr="00CC6474" w:rsidP="00CC6474">
            <w:pPr>
              <w:pStyle w:val="ListBullet2"/>
            </w:pPr>
            <w:r w:rsidRPr="00CC6474">
              <w:t>Conduct work observing t</w:t>
            </w:r>
            <w:r w:rsidRPr="00CC6474">
              <w:t>he relevant Anti Discrimination legislation, regulations, polices and workplace procedures</w:t>
            </w:r>
          </w:p>
          <w:p w:rsidR="00000000" w:rsidRPr="00CC6474" w:rsidP="00CC6474">
            <w:pPr>
              <w:pStyle w:val="ListBullet"/>
            </w:pPr>
            <w:r w:rsidRPr="00CC6474">
              <w:t>Demonstrated consistent performance across a representative range of contexts from the prescribed items below:</w:t>
            </w:r>
          </w:p>
          <w:p w:rsidR="00000000" w:rsidP="00CC6474">
            <w:pPr>
              <w:pStyle w:val="ListBullet2"/>
              <w:rPr>
                <w:lang w:val="en-NZ"/>
              </w:rPr>
            </w:pPr>
            <w:r w:rsidRPr="00CC6474">
              <w:t>Find and repair faults in measuring and analysis sys</w:t>
            </w:r>
            <w:r w:rsidRPr="00CC6474">
              <w:t>tems as described in 10) and including:</w:t>
            </w:r>
          </w:p>
        </w:tc>
      </w:tr>
      <w:tr w:rsidTr="00D50566">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A</w:t>
            </w:r>
          </w:p>
        </w:tc>
        <w:tc>
          <w:tcPr>
            <w:tcW w:w="504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Using methodical fault finding techniques</w:t>
            </w:r>
          </w:p>
        </w:tc>
      </w:tr>
      <w:tr w:rsidTr="00D505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B</w:t>
            </w:r>
          </w:p>
        </w:tc>
        <w:tc>
          <w:tcPr>
            <w:tcW w:w="504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Finding faults efficiently</w:t>
            </w:r>
          </w:p>
        </w:tc>
      </w:tr>
      <w:tr w:rsidTr="00D505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C</w:t>
            </w:r>
          </w:p>
        </w:tc>
        <w:tc>
          <w:tcPr>
            <w:tcW w:w="504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Replacing components without damage</w:t>
            </w:r>
          </w:p>
        </w:tc>
      </w:tr>
      <w:tr w:rsidTr="00D505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D</w:t>
            </w:r>
          </w:p>
        </w:tc>
        <w:tc>
          <w:tcPr>
            <w:tcW w:w="504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Providing written justification for the repairs</w:t>
            </w:r>
          </w:p>
        </w:tc>
      </w:tr>
      <w:tr w:rsidTr="00D505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E</w:t>
            </w:r>
          </w:p>
        </w:tc>
        <w:tc>
          <w:tcPr>
            <w:tcW w:w="504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Dealing with unplanned events by drawing on required skills and knowledge to provide appropriate solutions incorporated in a holistic assessment with the above listed items</w:t>
            </w:r>
          </w:p>
        </w:tc>
      </w:tr>
      <w:tr w:rsidTr="00D505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t xml:space="preserve">Note: </w:t>
            </w:r>
          </w:p>
          <w:p w:rsidR="00000000" w:rsidRPr="00CC6474" w:rsidP="00CC6474">
            <w:pPr>
              <w:pStyle w:val="BodyText"/>
            </w:pPr>
            <w:r w:rsidRPr="00CC6474">
              <w:t>Successful completion of relevant vendor training may be used to contribut</w:t>
            </w:r>
            <w:r w:rsidRPr="00CC6474">
              <w:t>e to evidence on which competency is deemed. In these cases the alignment of outcomes of vendor training with performance criteria and critical aspects of evidence shall be clearly identified.</w:t>
            </w:r>
          </w:p>
        </w:tc>
      </w:tr>
    </w:tbl>
    <w:p w:rsidR="00000000" w:rsidRPr="00CC6474" w:rsidP="00CC6474">
      <w:pPr>
        <w:pStyle w:val="BodyText"/>
      </w:pPr>
    </w:p>
    <w:tbl>
      <w:tblPr>
        <w:tblW w:w="0" w:type="auto"/>
        <w:tblLayout w:type="fixed"/>
        <w:tblCellMar>
          <w:left w:w="62" w:type="dxa"/>
          <w:right w:w="62" w:type="dxa"/>
        </w:tblCellMar>
        <w:tblLook w:val="0000"/>
      </w:tblPr>
      <w:tblGrid>
        <w:gridCol w:w="1890"/>
        <w:gridCol w:w="6570"/>
      </w:tblGrid>
      <w:tr w:rsidTr="00D5056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rPr>
                <w:rStyle w:val="SpecialBold"/>
              </w:rPr>
              <w:t>9.3)</w:t>
            </w:r>
          </w:p>
        </w:tc>
      </w:tr>
      <w:tr w:rsidTr="00D50566">
        <w:tblPrEx>
          <w:tblW w:w="0" w:type="auto"/>
          <w:tblLayout w:type="fixed"/>
          <w:tblCellMar>
            <w:left w:w="62" w:type="dxa"/>
            <w:right w:w="62" w:type="dxa"/>
          </w:tblCellMar>
          <w:tblLook w:val="0000"/>
        </w:tblPrEx>
        <w:trPr>
          <w:trHeight w:val="485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t>This unit must be assessed as it relates to normal work practice using procedures, information and resources typical of a workplace. This should include:</w:t>
            </w:r>
          </w:p>
          <w:p w:rsidR="00000000" w:rsidRPr="00CC6474" w:rsidP="00CC6474">
            <w:pPr>
              <w:pStyle w:val="ListBullet2"/>
            </w:pPr>
            <w:r w:rsidRPr="00CC6474">
              <w:t>OHS policy and work procedures and instructions.</w:t>
            </w:r>
          </w:p>
          <w:p w:rsidR="00000000" w:rsidRPr="00CC6474" w:rsidP="00CC6474">
            <w:pPr>
              <w:pStyle w:val="ListBullet2"/>
            </w:pPr>
            <w:r w:rsidRPr="00CC6474">
              <w:t>Suitable work environment, facilities, equipment and</w:t>
            </w:r>
            <w:r w:rsidRPr="00CC6474">
              <w:t xml:space="preserve"> materials to undertake actual work as prescribed by this unit.</w:t>
            </w:r>
          </w:p>
          <w:p w:rsidR="00000000" w:rsidRPr="00CC6474" w:rsidP="00CC6474">
            <w:pPr>
              <w:pStyle w:val="BodyText"/>
            </w:pPr>
            <w:r w:rsidRPr="00CC6474">
              <w:t>These should be part of the formal learning/assessment environment.</w:t>
            </w:r>
          </w:p>
          <w:p w:rsidR="00000000" w:rsidRPr="00CC6474" w:rsidP="00CC6474">
            <w:pPr>
              <w:pStyle w:val="BodyText"/>
            </w:pPr>
            <w:r w:rsidRPr="00CC6474">
              <w:t>Note:</w:t>
            </w:r>
          </w:p>
          <w:p w:rsidR="00000000" w:rsidRPr="00CC6474" w:rsidP="00CC6474">
            <w:pPr>
              <w:pStyle w:val="BodyText"/>
            </w:pPr>
            <w:r w:rsidRPr="00CC6474">
              <w:t>Where simulation is considered a suitable strategy for assessment, the conditions must be authentic and as far as poss</w:t>
            </w:r>
            <w:r w:rsidRPr="00CC6474">
              <w:t>ible reproduce and replicate the workplace and be consistent with the approved industry simulation policy.</w:t>
            </w:r>
          </w:p>
          <w:p w:rsidR="00000000" w:rsidRPr="00CC6474" w:rsidP="00CC6474">
            <w:pPr>
              <w:pStyle w:val="BodyText"/>
            </w:pPr>
            <w:r w:rsidRPr="00CC6474">
              <w:t>The resources used for assessment should reflect current industry practices in relation to finding and repairing faults in measuring and analysis sys</w:t>
            </w:r>
            <w:r w:rsidRPr="00CC6474">
              <w:t>tems.</w:t>
            </w:r>
          </w:p>
        </w:tc>
      </w:tr>
    </w:tbl>
    <w:p w:rsidR="00000000" w:rsidRPr="00CC6474" w:rsidP="00CC6474">
      <w:pPr>
        <w:pStyle w:val="BodyText"/>
      </w:pPr>
    </w:p>
    <w:tbl>
      <w:tblPr>
        <w:tblW w:w="0" w:type="auto"/>
        <w:tblLayout w:type="fixed"/>
        <w:tblCellMar>
          <w:left w:w="62" w:type="dxa"/>
          <w:right w:w="62" w:type="dxa"/>
        </w:tblCellMar>
        <w:tblLook w:val="0000"/>
      </w:tblPr>
      <w:tblGrid>
        <w:gridCol w:w="1890"/>
        <w:gridCol w:w="6570"/>
      </w:tblGrid>
      <w:tr w:rsidTr="00D505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rPr>
                <w:rStyle w:val="SpecialBold"/>
              </w:rPr>
              <w:t>9.4)</w:t>
            </w:r>
          </w:p>
        </w:tc>
      </w:tr>
      <w:tr w:rsidTr="00D505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t>This unit shall be assessed by methods given in Volume 1, Part 3 ‘Assessment Guidelines’.</w:t>
            </w:r>
          </w:p>
          <w:p w:rsidR="00000000" w:rsidRPr="00CC6474" w:rsidP="00CC6474">
            <w:pPr>
              <w:pStyle w:val="BodyText"/>
            </w:pPr>
            <w:r w:rsidRPr="00CC6474">
              <w:t xml:space="preserve">Note: </w:t>
            </w:r>
          </w:p>
          <w:p w:rsidR="00000000" w:rsidRPr="00CC6474" w:rsidP="00CC6474">
            <w:pPr>
              <w:pStyle w:val="BodyText"/>
            </w:pPr>
            <w:r w:rsidRPr="00CC6474">
              <w:t>Competent performance with inherent safe working practices is expected in the Industry to which this unit applies. This requires assessment in a structured environment which is intended primarily for learning/assessment and incorporates all necessary equip</w:t>
            </w:r>
            <w:r w:rsidRPr="00CC6474">
              <w:t>ment and facilities for learners to develop and demonstrate the required skills and knowledge described in this unit.</w:t>
            </w:r>
          </w:p>
        </w:tc>
      </w:tr>
    </w:tbl>
    <w:p w:rsidR="00000000" w:rsidRPr="00CC6474" w:rsidP="00CC6474">
      <w:pPr>
        <w:pStyle w:val="BodyText"/>
      </w:pPr>
    </w:p>
    <w:tbl>
      <w:tblPr>
        <w:tblW w:w="0" w:type="auto"/>
        <w:tblLayout w:type="fixed"/>
        <w:tblCellMar>
          <w:left w:w="62" w:type="dxa"/>
          <w:right w:w="62" w:type="dxa"/>
        </w:tblCellMar>
        <w:tblLook w:val="0000"/>
      </w:tblPr>
      <w:tblGrid>
        <w:gridCol w:w="1890"/>
        <w:gridCol w:w="6570"/>
      </w:tblGrid>
      <w:tr w:rsidTr="00D505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rPr>
                <w:rStyle w:val="SpecialBold"/>
              </w:rPr>
              <w:t>9.5)</w:t>
            </w:r>
          </w:p>
        </w:tc>
      </w:tr>
      <w:tr w:rsidTr="00D505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t>For optimisation of training and assessment effort, competency developmen</w:t>
            </w:r>
            <w:r w:rsidRPr="00CC6474">
              <w:t>t in this unit may be arranged concurrently with unit:</w:t>
            </w:r>
          </w:p>
        </w:tc>
      </w:tr>
      <w:tr w:rsidTr="00D505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t>The critical aspects of occupational health and safety covered in unit UEENEEE101A and other discipline specific occupational health and safety units shall be incorporated in relation to this unit.</w:t>
            </w:r>
          </w:p>
        </w:tc>
      </w:tr>
    </w:tbl>
    <w:p w:rsidR="00000000" w:rsidRPr="00CC6474" w:rsidP="00CC6474">
      <w:pPr>
        <w:pStyle w:val="BodyText"/>
      </w:pPr>
    </w:p>
    <w:p w:rsidR="00000000" w:rsidRPr="00CC6474" w:rsidP="00CC6474">
      <w:pPr>
        <w:pStyle w:val="AllowPageBreak"/>
      </w:pPr>
    </w:p>
    <w:p w:rsidR="00000000" w:rsidRPr="00CC6474" w:rsidP="00CC6474">
      <w:pPr>
        <w:pStyle w:val="Heading1"/>
      </w:pPr>
      <w:bookmarkStart w:id="11" w:name="O_516763"/>
      <w:bookmarkEnd w:id="11"/>
      <w:r w:rsidRPr="00CC6474">
        <w:t>Range Statement</w:t>
      </w:r>
    </w:p>
    <w:tbl>
      <w:tblPr>
        <w:tblW w:w="0" w:type="auto"/>
        <w:tblLayout w:type="fixed"/>
        <w:tblCellMar>
          <w:left w:w="62" w:type="dxa"/>
          <w:right w:w="62" w:type="dxa"/>
        </w:tblCellMar>
        <w:tblLook w:val="0000"/>
      </w:tblPr>
      <w:tblGrid>
        <w:gridCol w:w="8460"/>
      </w:tblGrid>
      <w:tr w:rsidTr="00D5056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rPr>
                <w:rStyle w:val="SpecialBold"/>
              </w:rPr>
              <w:t>RANGE STATEMENT</w:t>
            </w:r>
          </w:p>
        </w:tc>
      </w:tr>
      <w:tr w:rsidTr="00D5056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rPr>
                <w:rStyle w:val="SpecialBold"/>
              </w:rPr>
              <w:t>10)</w:t>
            </w:r>
            <w:r w:rsidRPr="00CC6474">
              <w:t xml:space="preserve"> This relates to the unit as a whole providing the range of contexts and conditions to which the performance criteria apply. It allows for different work environments and situations that will affect per</w:t>
            </w:r>
            <w:r w:rsidRPr="00CC6474">
              <w:t>formance.</w:t>
            </w:r>
          </w:p>
          <w:p w:rsidR="00000000" w:rsidRPr="00CC6474" w:rsidP="00CC6474">
            <w:pPr>
              <w:pStyle w:val="BodyText"/>
            </w:pPr>
            <w:r w:rsidRPr="00CC6474">
              <w:t>This unit must be demonstrated in relation to finding and repairing at least four faults in two different types of measuring and analytical equipment.</w:t>
            </w:r>
          </w:p>
          <w:p w:rsidR="00000000" w:rsidRPr="00CC6474" w:rsidP="00CC6474">
            <w:pPr>
              <w:pStyle w:val="BodyText"/>
            </w:pPr>
            <w:r w:rsidRPr="00CC6474">
              <w:t>Generic terms used throughout this Vocational Standard shall be regarded as part of the Range S</w:t>
            </w:r>
            <w:r w:rsidRPr="00CC6474">
              <w:t>tatement in which competency is demonstrated. The definition of these and other terms that apply are given in Volume 2, Part 2.1.</w:t>
            </w:r>
          </w:p>
        </w:tc>
      </w:tr>
    </w:tbl>
    <w:p w:rsidR="00000000" w:rsidRPr="00CC6474" w:rsidP="00CC6474">
      <w:pPr>
        <w:pStyle w:val="BodyText"/>
      </w:pPr>
    </w:p>
    <w:p w:rsidR="00000000" w:rsidRPr="00CC6474" w:rsidP="00CC6474">
      <w:pPr>
        <w:pStyle w:val="AllowPageBreak"/>
      </w:pPr>
    </w:p>
    <w:p w:rsidR="00000000" w:rsidRPr="00CC6474" w:rsidP="00CC6474">
      <w:pPr>
        <w:pStyle w:val="Heading1"/>
      </w:pPr>
      <w:bookmarkStart w:id="12" w:name="O_516762"/>
      <w:bookmarkEnd w:id="12"/>
      <w:r w:rsidRPr="00CC6474">
        <w:t>Unit Sector(s)</w:t>
      </w:r>
    </w:p>
    <w:p w:rsidR="00000000" w:rsidRPr="00CC6474" w:rsidP="00CC6474">
      <w:pPr>
        <w:pStyle w:val="BodyText"/>
      </w:pPr>
      <w:r w:rsidRPr="00CC6474">
        <w:t>Not applicable.</w:t>
      </w:r>
    </w:p>
    <w:p w:rsidR="00000000" w:rsidRPr="00CC6474" w:rsidP="00CC6474">
      <w:pPr>
        <w:pStyle w:val="AllowPageBreak"/>
      </w:pPr>
    </w:p>
    <w:p w:rsidR="00000000" w:rsidRPr="00CC6474" w:rsidP="00CC6474">
      <w:pPr>
        <w:pStyle w:val="Heading1"/>
      </w:pPr>
      <w:bookmarkStart w:id="13" w:name="O_516761"/>
      <w:bookmarkEnd w:id="13"/>
      <w:r w:rsidRPr="00CC6474">
        <w:t>Competency Field</w:t>
      </w:r>
    </w:p>
    <w:tbl>
      <w:tblPr>
        <w:tblW w:w="0" w:type="auto"/>
        <w:tblLayout w:type="fixed"/>
        <w:tblCellMar>
          <w:left w:w="62" w:type="dxa"/>
          <w:right w:w="62" w:type="dxa"/>
        </w:tblCellMar>
        <w:tblLook w:val="0000"/>
      </w:tblPr>
      <w:tblGrid>
        <w:gridCol w:w="2700"/>
        <w:gridCol w:w="5760"/>
      </w:tblGrid>
      <w:tr w:rsidTr="00D5056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C6474">
            <w:pPr>
              <w:pStyle w:val="BodyText"/>
              <w:rPr>
                <w:lang w:val="en-NZ"/>
              </w:rPr>
            </w:pPr>
            <w:r w:rsidRPr="00CC6474">
              <w:rPr>
                <w:rStyle w:val="SpecialBold"/>
              </w:rPr>
              <w:t xml:space="preserve">11) </w:t>
            </w:r>
          </w:p>
        </w:tc>
      </w:tr>
      <w:tr w:rsidTr="00D505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C6474" w:rsidP="00CC6474">
            <w:pPr>
              <w:pStyle w:val="BodyText"/>
            </w:pPr>
            <w:r w:rsidRPr="00CC6474">
              <w:t>Instrumentation and control</w:t>
            </w:r>
          </w:p>
        </w:tc>
      </w:tr>
    </w:tbl>
    <w:p w:rsidR="00000000" w:rsidRPr="00CC6474" w:rsidP="00CC6474">
      <w:pPr>
        <w:pStyle w:val="BodyText"/>
      </w:pPr>
    </w:p>
    <w:p w:rsidR="00000000" w:rsidRPr="00CC6474" w:rsidP="00CC6474"/>
    <w:sectPr w:rsidSect="00CC64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4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474" w:rsidRPr="00D50566" w:rsidP="00D5056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4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566" w:rsidP="00CC647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50566" w:rsidP="00CC647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D50566" w:rsidP="00CC64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4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474" w:rsidRPr="00D50566" w:rsidP="00D505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4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566" w:rsidRPr="002D2AF8" w:rsidP="00CC6474">
    <w:pPr>
      <w:pStyle w:val="Header"/>
      <w:framePr w:wrap="around"/>
    </w:pPr>
    <w:r>
      <w:fldChar w:fldCharType="begin"/>
    </w:r>
    <w:r>
      <w:instrText xml:space="preserve"> TITLE   \* MERGEFORMAT </w:instrText>
    </w:r>
    <w:r>
      <w:fldChar w:fldCharType="separate"/>
    </w:r>
    <w:r>
      <w:t>UEENEEI121A Trouble shoot in measuring and analysis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D50566" w:rsidP="00CC64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BCD2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62E2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1277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4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6474"/>
    <w:pPr>
      <w:spacing w:before="360" w:after="60"/>
      <w:outlineLvl w:val="0"/>
    </w:pPr>
    <w:rPr>
      <w:sz w:val="32"/>
    </w:rPr>
  </w:style>
  <w:style w:type="paragraph" w:styleId="Heading2">
    <w:name w:val="heading 2"/>
    <w:basedOn w:val="HeadingBase"/>
    <w:next w:val="BodyText"/>
    <w:link w:val="Heading2Char"/>
    <w:qFormat/>
    <w:rsid w:val="00CC6474"/>
    <w:pPr>
      <w:keepLines/>
      <w:spacing w:before="240" w:after="120"/>
      <w:outlineLvl w:val="1"/>
    </w:pPr>
    <w:rPr>
      <w:sz w:val="28"/>
      <w:szCs w:val="40"/>
    </w:rPr>
  </w:style>
  <w:style w:type="paragraph" w:styleId="Heading3">
    <w:name w:val="heading 3"/>
    <w:basedOn w:val="HeadingBase"/>
    <w:next w:val="BodyText"/>
    <w:link w:val="Heading3Char"/>
    <w:qFormat/>
    <w:rsid w:val="00CC6474"/>
    <w:pPr>
      <w:spacing w:before="180" w:after="120"/>
      <w:outlineLvl w:val="2"/>
    </w:pPr>
    <w:rPr>
      <w:spacing w:val="-10"/>
      <w:kern w:val="32"/>
    </w:rPr>
  </w:style>
  <w:style w:type="paragraph" w:styleId="Heading4">
    <w:name w:val="heading 4"/>
    <w:basedOn w:val="HeadingBase"/>
    <w:next w:val="BodyText"/>
    <w:link w:val="Heading4Char"/>
    <w:qFormat/>
    <w:rsid w:val="00CC6474"/>
    <w:pPr>
      <w:spacing w:before="160" w:after="120"/>
      <w:outlineLvl w:val="3"/>
    </w:pPr>
    <w:rPr>
      <w:sz w:val="22"/>
    </w:rPr>
  </w:style>
  <w:style w:type="paragraph" w:styleId="Heading5">
    <w:name w:val="heading 5"/>
    <w:basedOn w:val="HeadingBase"/>
    <w:next w:val="Normal"/>
    <w:link w:val="Heading5Char"/>
    <w:qFormat/>
    <w:rsid w:val="00CC6474"/>
    <w:pPr>
      <w:spacing w:before="80"/>
      <w:outlineLvl w:val="4"/>
    </w:pPr>
    <w:rPr>
      <w:color w:val="918585"/>
      <w:sz w:val="20"/>
    </w:rPr>
  </w:style>
  <w:style w:type="paragraph" w:styleId="Heading6">
    <w:name w:val="heading 6"/>
    <w:basedOn w:val="HeadingBase"/>
    <w:next w:val="Normal"/>
    <w:link w:val="Heading6Char"/>
    <w:qFormat/>
    <w:rsid w:val="00CC6474"/>
    <w:pPr>
      <w:spacing w:before="60"/>
      <w:outlineLvl w:val="5"/>
    </w:pPr>
    <w:rPr>
      <w:color w:val="918585"/>
      <w:sz w:val="20"/>
    </w:rPr>
  </w:style>
  <w:style w:type="paragraph" w:styleId="Heading7">
    <w:name w:val="heading 7"/>
    <w:basedOn w:val="Normal"/>
    <w:next w:val="Normal"/>
    <w:link w:val="Heading7Char"/>
    <w:qFormat/>
    <w:rsid w:val="00CC6474"/>
    <w:pPr>
      <w:ind w:left="720"/>
      <w:outlineLvl w:val="6"/>
    </w:pPr>
    <w:rPr>
      <w:i/>
    </w:rPr>
  </w:style>
  <w:style w:type="paragraph" w:styleId="Heading8">
    <w:name w:val="heading 8"/>
    <w:basedOn w:val="Normal"/>
    <w:next w:val="Normal"/>
    <w:link w:val="Heading8Char"/>
    <w:qFormat/>
    <w:rsid w:val="00CC6474"/>
    <w:pPr>
      <w:ind w:left="720"/>
      <w:outlineLvl w:val="7"/>
    </w:pPr>
    <w:rPr>
      <w:i/>
    </w:rPr>
  </w:style>
  <w:style w:type="paragraph" w:styleId="Heading9">
    <w:name w:val="heading 9"/>
    <w:basedOn w:val="Normal"/>
    <w:next w:val="Normal"/>
    <w:link w:val="Heading9Char"/>
    <w:qFormat/>
    <w:rsid w:val="00CC6474"/>
    <w:pPr>
      <w:ind w:left="720"/>
      <w:outlineLvl w:val="8"/>
    </w:pPr>
    <w:rPr>
      <w:i/>
    </w:rPr>
  </w:style>
  <w:style w:type="character" w:default="1" w:styleId="DefaultParagraphFont">
    <w:name w:val="Default Paragraph Font"/>
    <w:uiPriority w:val="1"/>
    <w:unhideWhenUsed/>
    <w:rsid w:val="00CC64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6474"/>
  </w:style>
  <w:style w:type="character" w:customStyle="1" w:styleId="Heading1Char">
    <w:name w:val="Heading 1 Char"/>
    <w:basedOn w:val="DefaultParagraphFont"/>
    <w:link w:val="Heading1"/>
    <w:rsid w:val="00CC6474"/>
    <w:rPr>
      <w:rFonts w:ascii="Times New Roman" w:eastAsia="Times New Roman" w:hAnsi="Times New Roman" w:cs="Times New Roman"/>
      <w:b/>
      <w:sz w:val="32"/>
      <w:szCs w:val="20"/>
      <w:lang w:eastAsia="en-US"/>
    </w:rPr>
  </w:style>
  <w:style w:type="paragraph" w:styleId="BodyText">
    <w:name w:val="Body Text"/>
    <w:basedOn w:val="Normal"/>
    <w:link w:val="BodyTextChar"/>
    <w:rsid w:val="00CC64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6474"/>
    <w:rPr>
      <w:rFonts w:ascii="Times New Roman" w:eastAsia="Times New Roman" w:hAnsi="Times New Roman" w:cs="Times New Roman"/>
      <w:sz w:val="24"/>
      <w:lang w:eastAsia="en-US"/>
    </w:rPr>
  </w:style>
  <w:style w:type="paragraph" w:styleId="ListBullet">
    <w:name w:val="List Bullet"/>
    <w:basedOn w:val="List"/>
    <w:rsid w:val="00CC6474"/>
    <w:pPr>
      <w:numPr>
        <w:numId w:val="13"/>
      </w:numPr>
      <w:tabs>
        <w:tab w:val="clear" w:pos="340"/>
      </w:tabs>
      <w:spacing w:before="40" w:after="40"/>
    </w:pPr>
  </w:style>
  <w:style w:type="character" w:customStyle="1" w:styleId="SpecialBold">
    <w:name w:val="Special Bold"/>
    <w:basedOn w:val="DefaultParagraphFont"/>
    <w:rsid w:val="00CC6474"/>
    <w:rPr>
      <w:b/>
      <w:spacing w:val="0"/>
    </w:rPr>
  </w:style>
  <w:style w:type="paragraph" w:styleId="ListBullet2">
    <w:name w:val="List Bullet 2"/>
    <w:basedOn w:val="List2"/>
    <w:rsid w:val="00CC6474"/>
    <w:pPr>
      <w:numPr>
        <w:numId w:val="14"/>
      </w:numPr>
      <w:tabs>
        <w:tab w:val="clear" w:pos="680"/>
      </w:tabs>
    </w:pPr>
  </w:style>
  <w:style w:type="paragraph" w:customStyle="1" w:styleId="SuperHeading">
    <w:name w:val="SuperHeading"/>
    <w:basedOn w:val="Normal"/>
    <w:rsid w:val="00CC6474"/>
    <w:pPr>
      <w:spacing w:before="240" w:after="120"/>
      <w:outlineLvl w:val="0"/>
    </w:pPr>
    <w:rPr>
      <w:rFonts w:ascii="Times New Roman" w:hAnsi="Times New Roman"/>
      <w:b/>
      <w:sz w:val="32"/>
    </w:rPr>
  </w:style>
  <w:style w:type="paragraph" w:customStyle="1" w:styleId="AllowPageBreak">
    <w:name w:val="AllowPageBreak"/>
    <w:rsid w:val="00CC64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64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64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64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64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64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64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64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6474"/>
    <w:rPr>
      <w:rFonts w:ascii="Courier New" w:eastAsia="Times New Roman" w:hAnsi="Courier New" w:cs="Times New Roman"/>
      <w:i/>
      <w:szCs w:val="20"/>
      <w:lang w:eastAsia="en-US"/>
    </w:rPr>
  </w:style>
  <w:style w:type="paragraph" w:customStyle="1" w:styleId="HeadingBase">
    <w:name w:val="Heading Base"/>
    <w:rsid w:val="00CC64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6474"/>
    <w:pPr>
      <w:tabs>
        <w:tab w:val="right" w:leader="dot" w:pos="9072"/>
      </w:tabs>
      <w:ind w:left="567"/>
    </w:pPr>
    <w:rPr>
      <w:szCs w:val="22"/>
    </w:rPr>
  </w:style>
  <w:style w:type="paragraph" w:customStyle="1" w:styleId="TOCBase">
    <w:name w:val="TOC Base"/>
    <w:rsid w:val="00CC64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6474"/>
    <w:pPr>
      <w:tabs>
        <w:tab w:val="right" w:leader="dot" w:pos="9072"/>
      </w:tabs>
      <w:spacing w:before="40" w:after="40"/>
      <w:ind w:left="284"/>
    </w:pPr>
    <w:rPr>
      <w:rFonts w:ascii="Times New Roman" w:hAnsi="Times New Roman"/>
    </w:rPr>
  </w:style>
  <w:style w:type="paragraph" w:styleId="TOC1">
    <w:name w:val="toc 1"/>
    <w:basedOn w:val="TOCBase"/>
    <w:next w:val="Normal"/>
    <w:rsid w:val="00CC64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64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6474"/>
    <w:rPr>
      <w:rFonts w:ascii="Times New Roman" w:eastAsia="Times New Roman" w:hAnsi="Times New Roman" w:cs="Times New Roman"/>
      <w:sz w:val="16"/>
      <w:lang w:eastAsia="en-US"/>
    </w:rPr>
  </w:style>
  <w:style w:type="paragraph" w:styleId="Title">
    <w:name w:val="Title"/>
    <w:basedOn w:val="HeadingBase"/>
    <w:link w:val="TitleChar"/>
    <w:qFormat/>
    <w:rsid w:val="00CC6474"/>
    <w:pPr>
      <w:spacing w:before="5040"/>
      <w:jc w:val="center"/>
    </w:pPr>
    <w:rPr>
      <w:sz w:val="48"/>
      <w:szCs w:val="72"/>
      <w:lang w:val="en-US"/>
    </w:rPr>
  </w:style>
  <w:style w:type="character" w:customStyle="1" w:styleId="TitleChar">
    <w:name w:val="Title Char"/>
    <w:basedOn w:val="DefaultParagraphFont"/>
    <w:link w:val="Title"/>
    <w:rsid w:val="00CC64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6474"/>
    <w:pPr>
      <w:tabs>
        <w:tab w:val="left" w:pos="3600"/>
        <w:tab w:val="left" w:pos="3958"/>
      </w:tabs>
    </w:pPr>
  </w:style>
  <w:style w:type="paragraph" w:styleId="List">
    <w:name w:val="List"/>
    <w:basedOn w:val="BodyText"/>
    <w:next w:val="BodyText"/>
    <w:rsid w:val="00CC6474"/>
    <w:pPr>
      <w:tabs>
        <w:tab w:val="left" w:pos="340"/>
      </w:tabs>
      <w:spacing w:before="60" w:after="60"/>
      <w:ind w:left="340" w:hanging="340"/>
    </w:pPr>
  </w:style>
  <w:style w:type="paragraph" w:customStyle="1" w:styleId="Note">
    <w:name w:val="Note"/>
    <w:basedOn w:val="BodyText"/>
    <w:rsid w:val="00CC64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6474"/>
    <w:pPr>
      <w:framePr w:wrap="auto" w:hAnchor="text" w:y="6049"/>
    </w:pPr>
    <w:rPr>
      <w:color w:val="000000"/>
      <w:sz w:val="40"/>
    </w:rPr>
  </w:style>
  <w:style w:type="paragraph" w:customStyle="1" w:styleId="TOCTitle">
    <w:name w:val="TOCTitle"/>
    <w:basedOn w:val="Heading1"/>
    <w:rsid w:val="00CC6474"/>
    <w:pPr>
      <w:spacing w:after="240"/>
      <w:jc w:val="center"/>
      <w:outlineLvl w:val="9"/>
    </w:pPr>
    <w:rPr>
      <w:caps/>
    </w:rPr>
  </w:style>
  <w:style w:type="paragraph" w:customStyle="1" w:styleId="Version">
    <w:name w:val="Version"/>
    <w:rsid w:val="00CC64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6474"/>
    <w:pPr>
      <w:keepNext w:val="0"/>
      <w:tabs>
        <w:tab w:val="right" w:pos="4176"/>
      </w:tabs>
      <w:ind w:left="198" w:hanging="198"/>
    </w:pPr>
    <w:rPr>
      <w:rFonts w:ascii="Garamond" w:hAnsi="Garamond"/>
    </w:rPr>
  </w:style>
  <w:style w:type="paragraph" w:styleId="IndexHeading">
    <w:name w:val="index heading"/>
    <w:basedOn w:val="Normal"/>
    <w:next w:val="Index1"/>
    <w:semiHidden/>
    <w:rsid w:val="00CC6474"/>
    <w:pPr>
      <w:spacing w:before="120" w:after="120"/>
    </w:pPr>
    <w:rPr>
      <w:rFonts w:ascii="Arial" w:hAnsi="Arial"/>
      <w:b/>
      <w:color w:val="918585"/>
      <w:sz w:val="24"/>
    </w:rPr>
  </w:style>
  <w:style w:type="paragraph" w:styleId="Header">
    <w:name w:val="header"/>
    <w:basedOn w:val="Normal"/>
    <w:link w:val="HeaderChar"/>
    <w:rsid w:val="00CC64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6474"/>
    <w:rPr>
      <w:rFonts w:ascii="Times New Roman" w:eastAsia="Times New Roman" w:hAnsi="Times New Roman" w:cs="Times New Roman"/>
      <w:sz w:val="16"/>
      <w:szCs w:val="20"/>
      <w:lang w:val="en-GB" w:eastAsia="en-US"/>
    </w:rPr>
  </w:style>
  <w:style w:type="paragraph" w:customStyle="1" w:styleId="Chapter">
    <w:name w:val="Chapter"/>
    <w:basedOn w:val="Normal"/>
    <w:rsid w:val="00CC6474"/>
    <w:pPr>
      <w:spacing w:before="240"/>
    </w:pPr>
    <w:rPr>
      <w:rFonts w:ascii="Times New Roman" w:hAnsi="Times New Roman"/>
      <w:smallCaps/>
      <w:spacing w:val="80"/>
      <w:sz w:val="28"/>
    </w:rPr>
  </w:style>
  <w:style w:type="paragraph" w:customStyle="1" w:styleId="InChapter">
    <w:name w:val="InChapter"/>
    <w:basedOn w:val="Heading3"/>
    <w:rsid w:val="00CC6474"/>
    <w:pPr>
      <w:spacing w:after="240"/>
      <w:outlineLvl w:val="9"/>
    </w:pPr>
    <w:rPr>
      <w:noProof/>
    </w:rPr>
  </w:style>
  <w:style w:type="paragraph" w:styleId="Index2">
    <w:name w:val="index 2"/>
    <w:basedOn w:val="Normal"/>
    <w:next w:val="Normal"/>
    <w:semiHidden/>
    <w:rsid w:val="00CC6474"/>
    <w:pPr>
      <w:tabs>
        <w:tab w:val="right" w:pos="4176"/>
      </w:tabs>
      <w:ind w:left="568" w:hanging="284"/>
    </w:pPr>
    <w:rPr>
      <w:rFonts w:ascii="Garamond" w:hAnsi="Garamond"/>
    </w:rPr>
  </w:style>
  <w:style w:type="paragraph" w:customStyle="1" w:styleId="Byline">
    <w:name w:val="Byline"/>
    <w:rsid w:val="00CC64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6474"/>
    <w:pPr>
      <w:tabs>
        <w:tab w:val="clear" w:pos="3600"/>
        <w:tab w:val="clear" w:pos="3958"/>
      </w:tabs>
      <w:jc w:val="right"/>
    </w:pPr>
  </w:style>
  <w:style w:type="character" w:styleId="Emphasis">
    <w:name w:val="Emphasis"/>
    <w:basedOn w:val="DefaultParagraphFont"/>
    <w:qFormat/>
    <w:rsid w:val="00CC6474"/>
    <w:rPr>
      <w:i/>
    </w:rPr>
  </w:style>
  <w:style w:type="paragraph" w:styleId="Caption">
    <w:name w:val="caption"/>
    <w:basedOn w:val="BodyText"/>
    <w:next w:val="Normal"/>
    <w:qFormat/>
    <w:rsid w:val="00CC6474"/>
    <w:pPr>
      <w:framePr w:w="2268" w:hSpace="181" w:vSpace="181" w:wrap="around" w:vAnchor="text" w:hAnchor="page" w:x="1135" w:y="285" w:anchorLock="1"/>
    </w:pPr>
    <w:rPr>
      <w:i/>
    </w:rPr>
  </w:style>
  <w:style w:type="paragraph" w:customStyle="1" w:styleId="MiniTOCTitle">
    <w:name w:val="MiniTOCTitle"/>
    <w:basedOn w:val="Heading4"/>
    <w:rsid w:val="00CC6474"/>
    <w:pPr>
      <w:spacing w:before="240"/>
      <w:outlineLvl w:val="9"/>
    </w:pPr>
    <w:rPr>
      <w:noProof/>
      <w:sz w:val="24"/>
    </w:rPr>
  </w:style>
  <w:style w:type="paragraph" w:customStyle="1" w:styleId="MiniTOCItem">
    <w:name w:val="MiniTOCItem"/>
    <w:basedOn w:val="ListBullet"/>
    <w:rsid w:val="00CC6474"/>
    <w:pPr>
      <w:numPr>
        <w:numId w:val="0"/>
      </w:numPr>
      <w:tabs>
        <w:tab w:val="right" w:leader="dot" w:pos="6521"/>
      </w:tabs>
      <w:spacing w:before="0" w:after="0"/>
    </w:pPr>
  </w:style>
  <w:style w:type="paragraph" w:customStyle="1" w:styleId="TOFTitle">
    <w:name w:val="TOFTitle"/>
    <w:basedOn w:val="TOCTitle"/>
    <w:rsid w:val="00CC6474"/>
  </w:style>
  <w:style w:type="paragraph" w:styleId="TableofFigures">
    <w:name w:val="table of figures"/>
    <w:basedOn w:val="Normal"/>
    <w:next w:val="Normal"/>
    <w:semiHidden/>
    <w:rsid w:val="00CC6474"/>
    <w:pPr>
      <w:tabs>
        <w:tab w:val="right" w:leader="dot" w:pos="9072"/>
      </w:tabs>
      <w:ind w:left="970" w:hanging="403"/>
    </w:pPr>
    <w:rPr>
      <w:rFonts w:ascii="Times New Roman" w:hAnsi="Times New Roman"/>
      <w:b/>
    </w:rPr>
  </w:style>
  <w:style w:type="paragraph" w:styleId="ListNumber">
    <w:name w:val="List Number"/>
    <w:basedOn w:val="List"/>
    <w:rsid w:val="00CC6474"/>
    <w:pPr>
      <w:numPr>
        <w:numId w:val="11"/>
      </w:numPr>
    </w:pPr>
  </w:style>
  <w:style w:type="character" w:customStyle="1" w:styleId="WingdingSymbols">
    <w:name w:val="Wingding Symbols"/>
    <w:rsid w:val="00CC6474"/>
    <w:rPr>
      <w:rFonts w:ascii="Wingdings" w:hAnsi="Wingdings"/>
    </w:rPr>
  </w:style>
  <w:style w:type="paragraph" w:customStyle="1" w:styleId="TableHeading">
    <w:name w:val="Table Heading"/>
    <w:basedOn w:val="HeadingBase"/>
    <w:rsid w:val="00CC6474"/>
    <w:pPr>
      <w:keepLines/>
      <w:pBdr>
        <w:bottom w:val="single" w:sz="6" w:space="1" w:color="918585"/>
      </w:pBdr>
      <w:spacing w:before="240"/>
    </w:pPr>
  </w:style>
  <w:style w:type="character" w:customStyle="1" w:styleId="HotSpot">
    <w:name w:val="HotSpot"/>
    <w:rsid w:val="00CC6474"/>
    <w:rPr>
      <w:color w:val="0033CC"/>
      <w:u w:val="none"/>
    </w:rPr>
  </w:style>
  <w:style w:type="paragraph" w:customStyle="1" w:styleId="BodyTextRight">
    <w:name w:val="Body Text Right"/>
    <w:basedOn w:val="BodyText"/>
    <w:rsid w:val="00CC6474"/>
    <w:pPr>
      <w:spacing w:before="0" w:after="0"/>
      <w:jc w:val="right"/>
    </w:pPr>
  </w:style>
  <w:style w:type="paragraph" w:styleId="Index3">
    <w:name w:val="index 3"/>
    <w:basedOn w:val="ListNumber2"/>
    <w:next w:val="Normal"/>
    <w:semiHidden/>
    <w:rsid w:val="00CC6474"/>
    <w:pPr>
      <w:numPr>
        <w:numId w:val="0"/>
      </w:numPr>
      <w:tabs>
        <w:tab w:val="right" w:leader="dot" w:pos="4176"/>
      </w:tabs>
    </w:pPr>
  </w:style>
  <w:style w:type="paragraph" w:styleId="ListNumber2">
    <w:name w:val="List Number 2"/>
    <w:basedOn w:val="List2"/>
    <w:rsid w:val="00CC6474"/>
    <w:pPr>
      <w:numPr>
        <w:numId w:val="10"/>
      </w:numPr>
      <w:tabs>
        <w:tab w:val="clear" w:pos="1060"/>
      </w:tabs>
    </w:pPr>
  </w:style>
  <w:style w:type="paragraph" w:customStyle="1" w:styleId="MarginNote">
    <w:name w:val="Margin Note"/>
    <w:basedOn w:val="BodyText"/>
    <w:rsid w:val="00CC64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64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64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6474"/>
    <w:rPr>
      <w:sz w:val="32"/>
    </w:rPr>
  </w:style>
  <w:style w:type="paragraph" w:customStyle="1" w:styleId="HeadingProcedure">
    <w:name w:val="Heading Procedure"/>
    <w:basedOn w:val="HeadingBase"/>
    <w:next w:val="Normal"/>
    <w:rsid w:val="00CC6474"/>
    <w:pPr>
      <w:tabs>
        <w:tab w:val="left" w:pos="0"/>
      </w:tabs>
      <w:spacing w:before="120" w:after="60"/>
    </w:pPr>
    <w:rPr>
      <w:i/>
      <w:color w:val="918585"/>
      <w:sz w:val="22"/>
    </w:rPr>
  </w:style>
  <w:style w:type="paragraph" w:customStyle="1" w:styleId="TableBodyText">
    <w:name w:val="Table Body Text"/>
    <w:basedOn w:val="BodyText"/>
    <w:rsid w:val="00CC6474"/>
    <w:pPr>
      <w:spacing w:before="60" w:after="60"/>
    </w:pPr>
  </w:style>
  <w:style w:type="paragraph" w:styleId="ListContinue">
    <w:name w:val="List Continue"/>
    <w:basedOn w:val="List"/>
    <w:rsid w:val="00CC6474"/>
    <w:pPr>
      <w:ind w:firstLine="0"/>
    </w:pPr>
  </w:style>
  <w:style w:type="paragraph" w:customStyle="1" w:styleId="ListNote">
    <w:name w:val="List Note"/>
    <w:basedOn w:val="List"/>
    <w:rsid w:val="00CC6474"/>
    <w:pPr>
      <w:pBdr>
        <w:top w:val="single" w:sz="6" w:space="2" w:color="918585"/>
        <w:bottom w:val="single" w:sz="6" w:space="2" w:color="918585"/>
      </w:pBdr>
      <w:tabs>
        <w:tab w:val="left" w:pos="1021"/>
      </w:tabs>
      <w:ind w:firstLine="0"/>
    </w:pPr>
  </w:style>
  <w:style w:type="paragraph" w:customStyle="1" w:styleId="Warning">
    <w:name w:val="Warning"/>
    <w:basedOn w:val="BodyText"/>
    <w:rsid w:val="00CC6474"/>
    <w:pPr>
      <w:shd w:val="clear" w:color="auto" w:fill="D9D9D9"/>
      <w:tabs>
        <w:tab w:val="left" w:pos="992"/>
      </w:tabs>
      <w:ind w:left="119" w:right="119"/>
    </w:pPr>
    <w:rPr>
      <w:sz w:val="20"/>
    </w:rPr>
  </w:style>
  <w:style w:type="paragraph" w:customStyle="1" w:styleId="MarginIcons">
    <w:name w:val="Margin Icons"/>
    <w:basedOn w:val="BodyText"/>
    <w:rsid w:val="00CC64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6474"/>
    <w:rPr>
      <w:rFonts w:ascii="Courier New" w:hAnsi="Courier New"/>
    </w:rPr>
  </w:style>
  <w:style w:type="paragraph" w:customStyle="1" w:styleId="NoteBullet">
    <w:name w:val="Note Bullet"/>
    <w:basedOn w:val="Note"/>
    <w:rsid w:val="00CC6474"/>
    <w:pPr>
      <w:tabs>
        <w:tab w:val="clear" w:pos="680"/>
      </w:tabs>
      <w:spacing w:before="60" w:after="60"/>
    </w:pPr>
  </w:style>
  <w:style w:type="paragraph" w:customStyle="1" w:styleId="SubHeading2">
    <w:name w:val="SubHeading2"/>
    <w:basedOn w:val="HeadingBase"/>
    <w:rsid w:val="00CC6474"/>
    <w:pPr>
      <w:spacing w:before="240" w:after="60"/>
    </w:pPr>
    <w:rPr>
      <w:sz w:val="20"/>
    </w:rPr>
  </w:style>
  <w:style w:type="paragraph" w:customStyle="1" w:styleId="SubHeading1">
    <w:name w:val="SubHeading1"/>
    <w:basedOn w:val="HeadingBase"/>
    <w:rsid w:val="00CC6474"/>
    <w:pPr>
      <w:spacing w:before="240" w:after="60"/>
    </w:pPr>
    <w:rPr>
      <w:color w:val="918585"/>
      <w:sz w:val="22"/>
    </w:rPr>
  </w:style>
  <w:style w:type="paragraph" w:customStyle="1" w:styleId="SideHeading">
    <w:name w:val="Side Heading"/>
    <w:basedOn w:val="HeadingBase"/>
    <w:rsid w:val="00CC64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6474"/>
    <w:pPr>
      <w:numPr>
        <w:numId w:val="12"/>
      </w:numPr>
    </w:pPr>
  </w:style>
  <w:style w:type="paragraph" w:styleId="PlainText">
    <w:name w:val="Plain Text"/>
    <w:basedOn w:val="Normal"/>
    <w:link w:val="PlainTextChar"/>
    <w:rsid w:val="00CC6474"/>
    <w:rPr>
      <w:sz w:val="20"/>
    </w:rPr>
  </w:style>
  <w:style w:type="character" w:customStyle="1" w:styleId="PlainTextChar">
    <w:name w:val="Plain Text Char"/>
    <w:basedOn w:val="DefaultParagraphFont"/>
    <w:link w:val="PlainText"/>
    <w:rsid w:val="00CC6474"/>
    <w:rPr>
      <w:rFonts w:ascii="Courier New" w:eastAsia="Times New Roman" w:hAnsi="Courier New" w:cs="Times New Roman"/>
      <w:sz w:val="20"/>
      <w:szCs w:val="20"/>
      <w:lang w:eastAsia="en-US"/>
    </w:rPr>
  </w:style>
  <w:style w:type="character" w:customStyle="1" w:styleId="MenuOption">
    <w:name w:val="Menu Option"/>
    <w:basedOn w:val="DefaultParagraphFont"/>
    <w:rsid w:val="00CC6474"/>
    <w:rPr>
      <w:b/>
      <w:smallCaps/>
    </w:rPr>
  </w:style>
  <w:style w:type="paragraph" w:customStyle="1" w:styleId="TableListNumber">
    <w:name w:val="Table List Number"/>
    <w:basedOn w:val="ListNumber"/>
    <w:rsid w:val="00CC6474"/>
    <w:pPr>
      <w:numPr>
        <w:numId w:val="0"/>
      </w:numPr>
    </w:pPr>
  </w:style>
  <w:style w:type="paragraph" w:styleId="TOC4">
    <w:name w:val="toc 4"/>
    <w:basedOn w:val="TOCBase"/>
    <w:next w:val="Normal"/>
    <w:semiHidden/>
    <w:rsid w:val="00CC6474"/>
    <w:pPr>
      <w:tabs>
        <w:tab w:val="right" w:leader="dot" w:pos="9071"/>
      </w:tabs>
      <w:ind w:left="1701"/>
    </w:pPr>
  </w:style>
  <w:style w:type="paragraph" w:customStyle="1" w:styleId="ListAlpha">
    <w:name w:val="List Alpha"/>
    <w:basedOn w:val="List"/>
    <w:rsid w:val="00CC6474"/>
    <w:pPr>
      <w:numPr>
        <w:numId w:val="9"/>
      </w:numPr>
    </w:pPr>
  </w:style>
  <w:style w:type="paragraph" w:customStyle="1" w:styleId="ListAlpha2">
    <w:name w:val="List Alpha 2"/>
    <w:basedOn w:val="List2"/>
    <w:rsid w:val="00CC6474"/>
    <w:pPr>
      <w:numPr>
        <w:numId w:val="8"/>
      </w:numPr>
    </w:pPr>
  </w:style>
  <w:style w:type="paragraph" w:styleId="List2">
    <w:name w:val="List 2"/>
    <w:basedOn w:val="BodyText"/>
    <w:rsid w:val="00CC6474"/>
    <w:pPr>
      <w:tabs>
        <w:tab w:val="left" w:pos="680"/>
      </w:tabs>
      <w:spacing w:before="60" w:after="60"/>
      <w:ind w:left="680" w:hanging="340"/>
    </w:pPr>
  </w:style>
  <w:style w:type="paragraph" w:styleId="List3">
    <w:name w:val="List 3"/>
    <w:basedOn w:val="BodyText"/>
    <w:rsid w:val="00CC6474"/>
    <w:pPr>
      <w:tabs>
        <w:tab w:val="left" w:pos="1021"/>
      </w:tabs>
      <w:spacing w:before="60" w:after="60"/>
      <w:ind w:left="1020" w:hanging="340"/>
    </w:pPr>
  </w:style>
  <w:style w:type="paragraph" w:styleId="List4">
    <w:name w:val="List 4"/>
    <w:basedOn w:val="BodyText"/>
    <w:rsid w:val="00CC6474"/>
    <w:pPr>
      <w:tabs>
        <w:tab w:val="left" w:pos="1361"/>
      </w:tabs>
      <w:spacing w:before="60" w:after="60"/>
      <w:ind w:left="1361" w:hanging="340"/>
    </w:pPr>
  </w:style>
  <w:style w:type="paragraph" w:styleId="List5">
    <w:name w:val="List 5"/>
    <w:basedOn w:val="BodyText"/>
    <w:rsid w:val="00CC6474"/>
    <w:pPr>
      <w:tabs>
        <w:tab w:val="left" w:pos="1701"/>
      </w:tabs>
      <w:spacing w:before="60" w:after="60"/>
      <w:ind w:left="1701" w:hanging="340"/>
    </w:pPr>
  </w:style>
  <w:style w:type="paragraph" w:styleId="ListBullet3">
    <w:name w:val="List Bullet 3"/>
    <w:basedOn w:val="List3"/>
    <w:rsid w:val="00CC6474"/>
    <w:pPr>
      <w:numPr>
        <w:numId w:val="15"/>
      </w:numPr>
      <w:tabs>
        <w:tab w:val="clear" w:pos="1021"/>
      </w:tabs>
      <w:ind w:left="1037" w:hanging="357"/>
    </w:pPr>
  </w:style>
  <w:style w:type="paragraph" w:styleId="ListBullet4">
    <w:name w:val="List Bullet 4"/>
    <w:basedOn w:val="List4"/>
    <w:rsid w:val="00CC6474"/>
    <w:pPr>
      <w:numPr>
        <w:numId w:val="3"/>
      </w:numPr>
    </w:pPr>
  </w:style>
  <w:style w:type="paragraph" w:styleId="ListBullet5">
    <w:name w:val="List Bullet 5"/>
    <w:basedOn w:val="List5"/>
    <w:rsid w:val="00CC6474"/>
    <w:pPr>
      <w:numPr>
        <w:numId w:val="4"/>
      </w:numPr>
    </w:pPr>
  </w:style>
  <w:style w:type="paragraph" w:styleId="ListContinue2">
    <w:name w:val="List Continue 2"/>
    <w:basedOn w:val="List2"/>
    <w:rsid w:val="00CC6474"/>
    <w:pPr>
      <w:ind w:firstLine="0"/>
    </w:pPr>
  </w:style>
  <w:style w:type="paragraph" w:styleId="ListContinue3">
    <w:name w:val="List Continue 3"/>
    <w:basedOn w:val="List3"/>
    <w:rsid w:val="00CC6474"/>
    <w:pPr>
      <w:ind w:left="1021" w:firstLine="0"/>
    </w:pPr>
  </w:style>
  <w:style w:type="paragraph" w:styleId="ListContinue4">
    <w:name w:val="List Continue 4"/>
    <w:basedOn w:val="List4"/>
    <w:rsid w:val="00CC6474"/>
    <w:pPr>
      <w:ind w:firstLine="0"/>
    </w:pPr>
  </w:style>
  <w:style w:type="paragraph" w:styleId="ListContinue5">
    <w:name w:val="List Continue 5"/>
    <w:basedOn w:val="List5"/>
    <w:rsid w:val="00CC6474"/>
    <w:pPr>
      <w:ind w:firstLine="0"/>
    </w:pPr>
  </w:style>
  <w:style w:type="paragraph" w:styleId="ListNumber3">
    <w:name w:val="List Number 3"/>
    <w:basedOn w:val="List3"/>
    <w:rsid w:val="00CC6474"/>
    <w:pPr>
      <w:numPr>
        <w:numId w:val="5"/>
      </w:numPr>
    </w:pPr>
  </w:style>
  <w:style w:type="paragraph" w:styleId="ListNumber4">
    <w:name w:val="List Number 4"/>
    <w:basedOn w:val="List4"/>
    <w:rsid w:val="00CC6474"/>
    <w:pPr>
      <w:numPr>
        <w:numId w:val="6"/>
      </w:numPr>
    </w:pPr>
  </w:style>
  <w:style w:type="paragraph" w:styleId="ListNumber5">
    <w:name w:val="List Number 5"/>
    <w:basedOn w:val="List5"/>
    <w:rsid w:val="00CC6474"/>
    <w:pPr>
      <w:numPr>
        <w:numId w:val="7"/>
      </w:numPr>
    </w:pPr>
  </w:style>
  <w:style w:type="paragraph" w:styleId="BlockText">
    <w:name w:val="Block Text"/>
    <w:basedOn w:val="Normal"/>
    <w:rsid w:val="00CC6474"/>
    <w:pPr>
      <w:spacing w:after="120"/>
      <w:ind w:left="1440" w:right="1440"/>
    </w:pPr>
  </w:style>
  <w:style w:type="character" w:customStyle="1" w:styleId="Subscript">
    <w:name w:val="Subscript"/>
    <w:basedOn w:val="DefaultParagraphFont"/>
    <w:rsid w:val="00CC6474"/>
    <w:rPr>
      <w:sz w:val="16"/>
      <w:vertAlign w:val="subscript"/>
    </w:rPr>
  </w:style>
  <w:style w:type="character" w:customStyle="1" w:styleId="Superscript">
    <w:name w:val="Superscript"/>
    <w:basedOn w:val="DefaultParagraphFont"/>
    <w:rsid w:val="00CC6474"/>
    <w:rPr>
      <w:sz w:val="16"/>
      <w:vertAlign w:val="superscript"/>
    </w:rPr>
  </w:style>
  <w:style w:type="character" w:customStyle="1" w:styleId="Symbols">
    <w:name w:val="Symbols"/>
    <w:basedOn w:val="DefaultParagraphFont"/>
    <w:rsid w:val="00CC6474"/>
    <w:rPr>
      <w:rFonts w:ascii="Symbol" w:hAnsi="Symbol"/>
    </w:rPr>
  </w:style>
  <w:style w:type="character" w:customStyle="1" w:styleId="MenuOptions">
    <w:name w:val="Menu Options"/>
    <w:basedOn w:val="DefaultParagraphFont"/>
    <w:rsid w:val="00CC6474"/>
    <w:rPr>
      <w:rFonts w:ascii="Arial Narrow" w:hAnsi="Arial Narrow"/>
      <w:smallCaps/>
    </w:rPr>
  </w:style>
  <w:style w:type="character" w:customStyle="1" w:styleId="Buttons">
    <w:name w:val="Buttons"/>
    <w:basedOn w:val="DefaultParagraphFont"/>
    <w:rsid w:val="00CC6474"/>
    <w:rPr>
      <w:b/>
    </w:rPr>
  </w:style>
  <w:style w:type="character" w:customStyle="1" w:styleId="Underlined">
    <w:name w:val="Underlined"/>
    <w:basedOn w:val="DefaultParagraphFont"/>
    <w:rsid w:val="00CC6474"/>
    <w:rPr>
      <w:u w:val="single"/>
    </w:rPr>
  </w:style>
  <w:style w:type="paragraph" w:customStyle="1" w:styleId="TableBodyTextRight">
    <w:name w:val="Table Body Text Right"/>
    <w:basedOn w:val="TableBodyText"/>
    <w:rsid w:val="00CC6474"/>
    <w:pPr>
      <w:widowControl w:val="0"/>
      <w:autoSpaceDE w:val="0"/>
      <w:autoSpaceDN w:val="0"/>
      <w:adjustRightInd w:val="0"/>
      <w:jc w:val="right"/>
    </w:pPr>
    <w:rPr>
      <w:rFonts w:cs="Arial"/>
      <w:szCs w:val="18"/>
    </w:rPr>
  </w:style>
  <w:style w:type="paragraph" w:customStyle="1" w:styleId="CopyrightText">
    <w:name w:val="Copyright Text"/>
    <w:basedOn w:val="BodyText"/>
    <w:rsid w:val="00CC6474"/>
    <w:rPr>
      <w:sz w:val="18"/>
    </w:rPr>
  </w:style>
  <w:style w:type="paragraph" w:customStyle="1" w:styleId="BodySmallRight">
    <w:name w:val="Body Small Right"/>
    <w:basedOn w:val="BodyTextRight"/>
    <w:rsid w:val="00CC6474"/>
    <w:rPr>
      <w:sz w:val="18"/>
      <w:szCs w:val="18"/>
    </w:rPr>
  </w:style>
  <w:style w:type="paragraph" w:customStyle="1" w:styleId="MarginEdition">
    <w:name w:val="Margin Edition"/>
    <w:basedOn w:val="MarginNote"/>
    <w:rsid w:val="00CC6474"/>
    <w:pPr>
      <w:spacing w:before="0" w:after="0"/>
    </w:pPr>
    <w:rPr>
      <w:rFonts w:ascii="Times New Roman" w:hAnsi="Times New Roman"/>
      <w:color w:val="999999"/>
    </w:rPr>
  </w:style>
  <w:style w:type="paragraph" w:customStyle="1" w:styleId="Spacer">
    <w:name w:val="Spacer"/>
    <w:basedOn w:val="Normal"/>
    <w:rsid w:val="00CC6474"/>
    <w:rPr>
      <w:sz w:val="2"/>
      <w:szCs w:val="2"/>
    </w:rPr>
  </w:style>
  <w:style w:type="character" w:customStyle="1" w:styleId="Small">
    <w:name w:val="Small"/>
    <w:basedOn w:val="DefaultParagraphFont"/>
    <w:rsid w:val="00CC6474"/>
    <w:rPr>
      <w:sz w:val="16"/>
    </w:rPr>
  </w:style>
  <w:style w:type="paragraph" w:customStyle="1" w:styleId="WideTable">
    <w:name w:val="Wide Table"/>
    <w:basedOn w:val="Normal"/>
    <w:rsid w:val="00CC6474"/>
    <w:pPr>
      <w:ind w:left="-1418"/>
    </w:pPr>
    <w:rPr>
      <w:sz w:val="2"/>
      <w:szCs w:val="2"/>
    </w:rPr>
  </w:style>
  <w:style w:type="character" w:styleId="PageNumber">
    <w:name w:val="page number"/>
    <w:basedOn w:val="DefaultParagraphFont"/>
    <w:rsid w:val="00CC6474"/>
  </w:style>
  <w:style w:type="paragraph" w:styleId="Quote">
    <w:name w:val="Quote"/>
    <w:basedOn w:val="Heading1"/>
    <w:link w:val="QuoteChar"/>
    <w:qFormat/>
    <w:rsid w:val="00CC6474"/>
    <w:rPr>
      <w:b w:val="0"/>
      <w:sz w:val="72"/>
      <w:szCs w:val="72"/>
      <w:lang w:val="en-NZ"/>
    </w:rPr>
  </w:style>
  <w:style w:type="character" w:customStyle="1" w:styleId="QuoteChar">
    <w:name w:val="Quote Char"/>
    <w:basedOn w:val="DefaultParagraphFont"/>
    <w:link w:val="Quote"/>
    <w:rsid w:val="00CC64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6474"/>
    <w:pPr>
      <w:pageBreakBefore/>
    </w:pPr>
  </w:style>
  <w:style w:type="paragraph" w:customStyle="1" w:styleId="Border">
    <w:name w:val="Border"/>
    <w:basedOn w:val="Normal"/>
    <w:qFormat/>
    <w:rsid w:val="00CC64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6474"/>
    <w:rPr>
      <w:b/>
      <w:bCs/>
      <w:i/>
      <w:iCs/>
      <w:color w:val="auto"/>
    </w:rPr>
  </w:style>
  <w:style w:type="paragraph" w:styleId="IntenseQuote">
    <w:name w:val="Intense Quote"/>
    <w:basedOn w:val="Normal"/>
    <w:next w:val="Normal"/>
    <w:link w:val="IntenseQuoteChar"/>
    <w:uiPriority w:val="30"/>
    <w:qFormat/>
    <w:rsid w:val="00CC64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64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6474"/>
    <w:rPr>
      <w:smallCaps/>
      <w:color w:val="auto"/>
      <w:u w:val="single"/>
    </w:rPr>
  </w:style>
  <w:style w:type="character" w:styleId="IntenseReference">
    <w:name w:val="Intense Reference"/>
    <w:basedOn w:val="DefaultParagraphFont"/>
    <w:uiPriority w:val="32"/>
    <w:qFormat/>
    <w:rsid w:val="00CC6474"/>
    <w:rPr>
      <w:b/>
      <w:bCs/>
      <w:smallCaps/>
      <w:color w:val="auto"/>
      <w:spacing w:val="5"/>
      <w:u w:val="single"/>
    </w:rPr>
  </w:style>
  <w:style w:type="paragraph" w:customStyle="1" w:styleId="2ColumnHeading">
    <w:name w:val="2Column Heading"/>
    <w:basedOn w:val="BodyText"/>
    <w:qFormat/>
    <w:rsid w:val="00CC6474"/>
    <w:pPr>
      <w:spacing w:after="60"/>
      <w:ind w:left="-2268"/>
    </w:pPr>
    <w:rPr>
      <w:b/>
    </w:rPr>
  </w:style>
  <w:style w:type="paragraph" w:customStyle="1" w:styleId="Heading1TOC">
    <w:name w:val="Heading1 TOC"/>
    <w:basedOn w:val="Normal"/>
    <w:qFormat/>
    <w:rsid w:val="00CC6474"/>
    <w:pPr>
      <w:spacing w:before="240" w:after="120"/>
    </w:pPr>
    <w:rPr>
      <w:rFonts w:ascii="Times New Roman" w:hAnsi="Times New Roman"/>
      <w:b/>
      <w:sz w:val="32"/>
    </w:rPr>
  </w:style>
  <w:style w:type="paragraph" w:customStyle="1" w:styleId="Heading2TOC">
    <w:name w:val="Heading2 TOC"/>
    <w:basedOn w:val="Normal"/>
    <w:qFormat/>
    <w:rsid w:val="00CC6474"/>
    <w:pPr>
      <w:spacing w:before="240" w:after="60"/>
    </w:pPr>
    <w:rPr>
      <w:rFonts w:ascii="Times New Roman" w:hAnsi="Times New Roman"/>
      <w:b/>
      <w:sz w:val="28"/>
    </w:rPr>
  </w:style>
  <w:style w:type="character" w:customStyle="1" w:styleId="Underline">
    <w:name w:val="Underline"/>
    <w:basedOn w:val="DefaultParagraphFont"/>
    <w:qFormat/>
    <w:rsid w:val="00CC6474"/>
    <w:rPr>
      <w:u w:val="single"/>
    </w:rPr>
  </w:style>
  <w:style w:type="character" w:customStyle="1" w:styleId="BoldandItalics">
    <w:name w:val="Bold and Italics"/>
    <w:qFormat/>
    <w:rsid w:val="00CC6474"/>
    <w:rPr>
      <w:b/>
      <w:i/>
      <w:u w:val="none"/>
    </w:rPr>
  </w:style>
  <w:style w:type="paragraph" w:styleId="BalloonText">
    <w:name w:val="Balloon Text"/>
    <w:basedOn w:val="Normal"/>
    <w:link w:val="BalloonTextChar"/>
    <w:rsid w:val="00CC6474"/>
    <w:rPr>
      <w:rFonts w:ascii="Tahoma" w:hAnsi="Tahoma" w:cs="Tahoma"/>
      <w:sz w:val="16"/>
      <w:szCs w:val="16"/>
    </w:rPr>
  </w:style>
  <w:style w:type="character" w:customStyle="1" w:styleId="BalloonTextChar">
    <w:name w:val="Balloon Text Char"/>
    <w:basedOn w:val="DefaultParagraphFont"/>
    <w:link w:val="BalloonText"/>
    <w:rsid w:val="00CC64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64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64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6474"/>
    <w:rPr>
      <w:b/>
      <w:color w:val="660033"/>
      <w:spacing w:val="0"/>
    </w:rPr>
  </w:style>
  <w:style w:type="paragraph" w:customStyle="1" w:styleId="Nameditemlist">
    <w:name w:val="Named item list"/>
    <w:basedOn w:val="BodyText"/>
    <w:qFormat/>
    <w:rsid w:val="00CC64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2006</Words>
  <Characters>11840</Characters>
  <Application>Microsoft Office Word</Application>
  <DocSecurity>0</DocSecurity>
  <Lines>502</Lines>
  <Paragraphs>200</Paragraphs>
  <ScaleCrop>false</ScaleCrop>
  <Company>Author-it Software Corporation Ltd.</Company>
  <LinksUpToDate>false</LinksUpToDate>
  <CharactersWithSpaces>13681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UEENEEI121A Trouble shoot in measuring and analysis systems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2013-03-07T18:17:00Z</dcterms:created>
  <dcterms:modified xsi:type="dcterms:W3CDTF">2013-03-07T18:17:00Z</dcterms:modified>
</cp:coreProperties>
</file>