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7E8" w:rsidP="00AF77E8">
      <w:pPr>
        <w:pStyle w:val="Title"/>
      </w:pPr>
      <w:r>
        <w:fldChar w:fldCharType="begin"/>
      </w:r>
      <w:r>
        <w:instrText xml:space="preserve"> TITLE   \* MERGEFORMAT </w:instrText>
      </w:r>
      <w:r>
        <w:fldChar w:fldCharType="separate"/>
      </w:r>
      <w:r>
        <w:t>UEENEEI119A Set up industrial field control devices</w:t>
      </w:r>
      <w:r>
        <w:fldChar w:fldCharType="end"/>
      </w:r>
    </w:p>
    <w:p w:rsidR="00AF77E8" w:rsidP="00AF77E8">
      <w:pPr>
        <w:pStyle w:val="Version"/>
        <w:sectPr w:rsidSect="00D06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6D30" w:rsidP="00D06D30">
      <w:pPr>
        <w:pStyle w:val="SuperHeading"/>
      </w:pPr>
      <w:r w:rsidRPr="00D06D30">
        <w:t>UEENEEI119A Set up industrial field control devices</w:t>
      </w:r>
    </w:p>
    <w:p w:rsidR="00000000" w:rsidRPr="00D06D30" w:rsidP="00D06D30">
      <w:pPr>
        <w:pStyle w:val="Heading1"/>
      </w:pPr>
      <w:bookmarkStart w:id="1" w:name="O_566718"/>
      <w:bookmarkEnd w:id="1"/>
      <w:r w:rsidRPr="00D06D30">
        <w:t>Modification History</w:t>
      </w:r>
    </w:p>
    <w:tbl>
      <w:tblPr>
        <w:tblW w:w="0" w:type="auto"/>
        <w:tblCellMar>
          <w:left w:w="62" w:type="dxa"/>
          <w:right w:w="62" w:type="dxa"/>
        </w:tblCellMar>
        <w:tblLook w:val="0000"/>
      </w:tblPr>
      <w:tblGrid>
        <w:gridCol w:w="847"/>
        <w:gridCol w:w="847"/>
        <w:gridCol w:w="1354"/>
        <w:gridCol w:w="5093"/>
        <w:gridCol w:w="1055"/>
      </w:tblGrid>
      <w:tr w:rsidTr="00AF77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Points</w:t>
            </w:r>
          </w:p>
        </w:tc>
      </w:tr>
      <w:tr w:rsidTr="00AF77E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p>
        </w:tc>
      </w:tr>
      <w:tr w:rsidTr="00AF77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In Pre-requisites, delete “</w:t>
            </w:r>
            <w:r w:rsidRPr="00D06D30">
              <w:t xml:space="preserve">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p>
        </w:tc>
      </w:tr>
      <w:tr w:rsidTr="00AF77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p>
        </w:tc>
      </w:tr>
      <w:tr w:rsidTr="00AF77E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Replace “essential knowledge and associated skills” with “required ski</w:t>
            </w:r>
            <w:r w:rsidRPr="00D06D30">
              <w:t>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p>
        </w:tc>
      </w:tr>
      <w:tr w:rsidTr="00AF77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D30">
            <w:pPr>
              <w:pStyle w:val="BodyText"/>
              <w:rPr>
                <w:lang w:val="en-NZ"/>
              </w:rPr>
            </w:pPr>
            <w:r w:rsidRPr="00D06D3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D30" w:rsidP="00D06D30">
            <w:pPr>
              <w:pStyle w:val="BodyText"/>
            </w:pPr>
            <w:r w:rsidRPr="00D06D30">
              <w:t>In Pre-requisites, edit name to reflect correct unit title</w:t>
            </w:r>
          </w:p>
          <w:p w:rsidR="00000000" w:rsidP="00D06D30">
            <w:pPr>
              <w:pStyle w:val="BodyText"/>
              <w:rPr>
                <w:lang w:val="en-NZ"/>
              </w:rPr>
            </w:pPr>
            <w:r w:rsidRPr="00D06D30">
              <w:t>UEENEEI124A   Fault find and repair analogue circuits and components in electronic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D30" w:rsidP="00D06D30">
            <w:pPr>
              <w:pStyle w:val="BodyText"/>
            </w:pPr>
          </w:p>
        </w:tc>
      </w:tr>
    </w:tbl>
    <w:p w:rsidR="00AF77E8" w:rsidP="00D06D30">
      <w:pPr>
        <w:pStyle w:val="BodyText"/>
      </w:pPr>
    </w:p>
    <w:p w:rsidR="00AF77E8" w:rsidP="00D06D30">
      <w:pPr>
        <w:pStyle w:val="BodyText"/>
      </w:pPr>
    </w:p>
    <w:p w:rsidR="00000000" w:rsidRPr="00D06D30" w:rsidP="00D06D30">
      <w:pPr>
        <w:pStyle w:val="Heading1"/>
      </w:pPr>
      <w:bookmarkStart w:id="2" w:name="O_566717"/>
      <w:bookmarkEnd w:id="2"/>
      <w:r w:rsidRPr="00D06D30">
        <w:t>Unit Descriptor</w:t>
      </w:r>
    </w:p>
    <w:tbl>
      <w:tblPr>
        <w:tblW w:w="0" w:type="auto"/>
        <w:tblLayout w:type="fixed"/>
        <w:tblCellMar>
          <w:left w:w="62" w:type="dxa"/>
          <w:right w:w="62" w:type="dxa"/>
        </w:tblCellMar>
        <w:tblLook w:val="0000"/>
      </w:tblPr>
      <w:tblGrid>
        <w:gridCol w:w="2700"/>
        <w:gridCol w:w="5760"/>
      </w:tblGrid>
      <w:tr w:rsidTr="00AF7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1)</w:t>
            </w:r>
            <w:r w:rsidRPr="00D06D30">
              <w:t xml:space="preserve"> </w:t>
            </w:r>
            <w:r w:rsidRPr="00D06D30">
              <w:rPr>
                <w:rStyle w:val="SpecialBold"/>
              </w:rPr>
              <w:t>Scope:</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6D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1.1) Descriptor</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This unit covers setting up industrial field control devices such as transducers, sensors, and actuators. It encompasses working safely, following design brief, applying knowledge of device operating principles, interpreting device specif</w:t>
            </w:r>
            <w:r w:rsidRPr="00D06D30">
              <w:t>ications, following manufacturer’s set up specifications, testing device operation and documenting set up parameters.</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3" w:name="O_566716"/>
      <w:bookmarkEnd w:id="3"/>
      <w:r w:rsidRPr="00D06D30">
        <w:t>Application of the Unit</w:t>
      </w:r>
    </w:p>
    <w:tbl>
      <w:tblPr>
        <w:tblW w:w="0" w:type="auto"/>
        <w:tblLayout w:type="fixed"/>
        <w:tblCellMar>
          <w:left w:w="62" w:type="dxa"/>
          <w:right w:w="62" w:type="dxa"/>
        </w:tblCellMar>
        <w:tblLook w:val="0000"/>
      </w:tblPr>
      <w:tblGrid>
        <w:gridCol w:w="2672"/>
        <w:gridCol w:w="5699"/>
      </w:tblGrid>
      <w:tr w:rsidTr="00AF77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2)</w:t>
            </w:r>
          </w:p>
        </w:tc>
      </w:tr>
      <w:tr w:rsidTr="00AF77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 xml:space="preserve">This unit applies to any recognised development program that leads to the acquisition of a formal award at AQF </w:t>
            </w:r>
            <w:r w:rsidRPr="00D06D30">
              <w:t>level 4 or higher.</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4" w:name="O_566715"/>
      <w:bookmarkEnd w:id="4"/>
      <w:r w:rsidRPr="00D06D30">
        <w:t>Licensing/Regulatory Information</w:t>
      </w:r>
    </w:p>
    <w:tbl>
      <w:tblPr>
        <w:tblW w:w="0" w:type="auto"/>
        <w:tblLayout w:type="fixed"/>
        <w:tblCellMar>
          <w:left w:w="62" w:type="dxa"/>
          <w:right w:w="62" w:type="dxa"/>
        </w:tblCellMar>
        <w:tblLook w:val="0000"/>
      </w:tblPr>
      <w:tblGrid>
        <w:gridCol w:w="2700"/>
        <w:gridCol w:w="5760"/>
      </w:tblGrid>
      <w:tr w:rsidTr="00AF7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 xml:space="preserve">3)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 xml:space="preserve">The skills and knowledge described in this unit </w:t>
            </w:r>
            <w:r w:rsidRPr="00D06D30">
              <w:t>require a license to practice in the workplace for work involving direct access to plant and equipment connected to installation wiring at voltage above 50 V a.c. or 120 V d.c. However other conditions may apply in some jurisdictions subject to regulations</w:t>
            </w:r>
            <w:r w:rsidRPr="00D06D30">
              <w:t xml:space="preserve"> related to electrical work. Practice in the workplace and during training is also subject to regulations directly related to occupational health and safety and where applicable contracts of training such as apprenticeships.</w:t>
            </w:r>
          </w:p>
          <w:p w:rsidR="00000000" w:rsidRPr="00D06D30" w:rsidP="00D06D30">
            <w:pPr>
              <w:pStyle w:val="BodyText"/>
            </w:pPr>
            <w:r w:rsidRPr="00D06D30">
              <w:t xml:space="preserve">Note: </w:t>
            </w:r>
          </w:p>
          <w:p w:rsidR="00000000" w:rsidRPr="00D06D30" w:rsidP="00D06D30">
            <w:pPr>
              <w:pStyle w:val="BodyText"/>
            </w:pPr>
            <w:r w:rsidRPr="00D06D30">
              <w:t>1. Compliance with permi</w:t>
            </w:r>
            <w:r w:rsidRPr="00D06D30">
              <w:t>ts may be required in various jurisdictions and typically relates to the operation of plant, machinery and equipment such as elevating work platforms, powder operated fixing tools, power operated tools, vehicles, road signage and traffic control and liftin</w:t>
            </w:r>
            <w:r w:rsidRPr="00D06D30">
              <w:t>g equipment. Permits may also be required for some work environments such as confined spaces, working aloft, near live electrical apparatus and site rehabilitation.</w:t>
            </w:r>
          </w:p>
          <w:p w:rsidR="00000000" w:rsidRPr="00D06D30" w:rsidP="00D06D30">
            <w:pPr>
              <w:pStyle w:val="BodyText"/>
            </w:pPr>
            <w:r w:rsidRPr="00D06D30">
              <w:t>2. Compliance may be required in various jurisdictions relating to currency in First Aid, c</w:t>
            </w:r>
            <w:r w:rsidRPr="00D06D30">
              <w:t>onfined space and lifting and risk safety measures.</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5" w:name="O_566714"/>
      <w:bookmarkEnd w:id="5"/>
      <w:r w:rsidRPr="00D06D30">
        <w:t>Pre-Requisites</w:t>
      </w:r>
    </w:p>
    <w:tbl>
      <w:tblPr>
        <w:tblW w:w="0" w:type="auto"/>
        <w:tblLayout w:type="fixed"/>
        <w:tblCellMar>
          <w:left w:w="62" w:type="dxa"/>
          <w:right w:w="62" w:type="dxa"/>
        </w:tblCellMar>
        <w:tblLook w:val="0000"/>
      </w:tblPr>
      <w:tblGrid>
        <w:gridCol w:w="2700"/>
        <w:gridCol w:w="1440"/>
        <w:gridCol w:w="4320"/>
      </w:tblGrid>
      <w:tr w:rsidTr="00AF7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 xml:space="preserve">4)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4.1)</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Granting competency in this unit shall be made only after competency in the following unit(s) has/have been confirmed.</w:t>
            </w:r>
          </w:p>
          <w:p w:rsidR="00000000" w:rsidRPr="00D06D30" w:rsidP="00D06D30">
            <w:pPr>
              <w:pStyle w:val="BodyText"/>
            </w:pPr>
            <w:r w:rsidRPr="00D06D30">
              <w:t xml:space="preserve">Where pre-requisite pathways have been identified. All competencies in the Common Unit Group must be have </w:t>
            </w:r>
            <w:r w:rsidRPr="00D06D30">
              <w:t>been completed plus all the competencies in one (1) of the identified Pathway Unit Group(s):</w:t>
            </w:r>
          </w:p>
          <w:p w:rsidR="00000000" w:rsidRPr="00D06D30" w:rsidP="00D06D30">
            <w:pPr>
              <w:pStyle w:val="BodyText"/>
            </w:pPr>
            <w:r w:rsidRPr="00D06D30">
              <w:t>Electrical</w:t>
            </w:r>
          </w:p>
          <w:p w:rsidR="00000000" w:rsidP="00D06D30">
            <w:pPr>
              <w:pStyle w:val="BodyText"/>
              <w:rPr>
                <w:lang w:val="en-NZ"/>
              </w:rPr>
            </w:pPr>
            <w:r w:rsidRPr="00D06D30">
              <w:t>Instrumentation and Control</w:t>
            </w:r>
          </w:p>
        </w:tc>
      </w:tr>
      <w:tr w:rsidTr="00AF77E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Common Unit Gr</w:t>
            </w:r>
            <w:r w:rsidRPr="00D06D30">
              <w:t>oup</w:t>
            </w:r>
          </w:p>
        </w:tc>
      </w:tr>
      <w:tr w:rsidTr="00AF77E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UEENEEE101A </w:t>
            </w:r>
            <w:r w:rsidRPr="00D06D30">
              <w:tab/>
            </w:r>
            <w:r w:rsidRPr="00D06D30">
              <w:tab/>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Apply Occupational Health and Safety regulations, codes and practices in the workplace</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UEENEEE104A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d.c.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UEENEEE107A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Use drawings, diagrams, schedules, standards, codes and specifications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UEENEEG101A</w:t>
            </w:r>
            <w:r w:rsidRPr="00D06D30">
              <w:tab/>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electromagnetic devices and related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UEENEEG102A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low voltage a.c.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UEENEEI124A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Fault find and repair analogue circuits and components in electronic control systems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UEENEEI139A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Diagnose and rectify faults in digital controls systems </w:t>
            </w:r>
          </w:p>
        </w:tc>
      </w:tr>
      <w:tr w:rsidTr="00AF77E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Electrical Pathway Group</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UEENEEG006A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Solve problems in single and three phase low voltage machines </w:t>
            </w:r>
          </w:p>
        </w:tc>
      </w:tr>
      <w:tr w:rsidTr="00AF77E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UEENEEG033A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single and three phase low voltage electrical apparatus and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UEENEEG063A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Arrange circuits, control and protection for general electrical installations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UEENEEG106A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Terminate cables, cords and accessories for low voltage circuit</w:t>
            </w:r>
            <w:r w:rsidRPr="00D06D30">
              <w:t xml:space="preserve">s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UEENEEG108A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Trouble-shoot and repair faults in low voltage electrical apparatus and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Instrumentation and Control Pathway Group</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UEENEEE119A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multiple path extra low voltage (ELV) a.c. circuits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UEENEEI101A</w:t>
            </w:r>
            <w:r w:rsidRPr="00D06D30">
              <w:tab/>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Use instrumentation drawings, specification, standards and equipment manuals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UEENEEI102A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pressure measurement components and systems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UEENEEI103A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density/level measurement components and systems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UEENEEI104A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flow measurement components and systems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UEENEEI105A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Solve problems in temperature measurement components and systems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UEENEEI106A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Set up and adjust PID control loops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UEENEEI110A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Set up and adjust advanced PID process control loops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UEENEEI112A</w:t>
            </w:r>
          </w:p>
        </w:tc>
        <w:tc>
          <w:tcPr>
            <w:tcW w:w="43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Verify compliance and functionality of instrumentation and control installations</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UEENEEI113A</w:t>
            </w:r>
          </w:p>
        </w:tc>
        <w:tc>
          <w:tcPr>
            <w:tcW w:w="43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Setup and configure Human-Machine Interface (HMI) and industrial networks</w:t>
            </w:r>
          </w:p>
        </w:tc>
      </w:tr>
    </w:tbl>
    <w:p w:rsidR="00000000" w:rsidRPr="00D06D30" w:rsidP="00D06D3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F77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 xml:space="preserve">4.2)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Participants are best equipped to achieve competency in this unit if they have reading, writing and numeracy skills indicated by the following scales. Description of each scale is given in Volume 2, Part 3 ‘Literacy and Numeracy’</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Reading</w:t>
            </w:r>
          </w:p>
        </w:tc>
        <w:tc>
          <w:tcPr>
            <w:tcW w:w="81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4</w:t>
            </w:r>
          </w:p>
        </w:tc>
        <w:tc>
          <w:tcPr>
            <w:tcW w:w="99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Writing</w:t>
            </w: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4</w:t>
            </w:r>
          </w:p>
        </w:tc>
        <w:tc>
          <w:tcPr>
            <w:tcW w:w="12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Numeracy</w:t>
            </w:r>
          </w:p>
        </w:tc>
        <w:tc>
          <w:tcPr>
            <w:tcW w:w="7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4</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6" w:name="O_566713"/>
      <w:bookmarkEnd w:id="6"/>
      <w:r w:rsidRPr="00D06D30">
        <w:t>Employability Skills Information</w:t>
      </w:r>
    </w:p>
    <w:tbl>
      <w:tblPr>
        <w:tblW w:w="0" w:type="auto"/>
        <w:tblLayout w:type="fixed"/>
        <w:tblCellMar>
          <w:left w:w="62" w:type="dxa"/>
          <w:right w:w="62" w:type="dxa"/>
        </w:tblCellMar>
        <w:tblLook w:val="0000"/>
      </w:tblPr>
      <w:tblGrid>
        <w:gridCol w:w="2700"/>
        <w:gridCol w:w="5760"/>
      </w:tblGrid>
      <w:tr w:rsidTr="00AF7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 xml:space="preserve">5)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This unit contains Employability Skills</w:t>
            </w:r>
          </w:p>
          <w:p w:rsidR="00000000" w:rsidRPr="00D06D30" w:rsidP="00D06D30">
            <w:pPr>
              <w:pStyle w:val="BodyText"/>
            </w:pPr>
            <w:r w:rsidRPr="00D06D30">
              <w:t>The required outcomes described in this unit o</w:t>
            </w:r>
            <w:r w:rsidRPr="00D06D30">
              <w:t>f competency contain applicable facets of Employability Skills. The Employability Skills Summary of the qualification in which this unit of competency is packaged will assist in identifying Employability Skill requirements.</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7" w:name="O_566712"/>
      <w:bookmarkEnd w:id="7"/>
      <w:r w:rsidRPr="00D06D30">
        <w:t>Elements and Performance Criteria Pre-Content</w:t>
      </w:r>
    </w:p>
    <w:tbl>
      <w:tblPr>
        <w:tblW w:w="0" w:type="auto"/>
        <w:tblLayout w:type="fixed"/>
        <w:tblCellMar>
          <w:left w:w="62" w:type="dxa"/>
          <w:right w:w="62" w:type="dxa"/>
        </w:tblCellMar>
        <w:tblLook w:val="0000"/>
      </w:tblPr>
      <w:tblGrid>
        <w:gridCol w:w="2700"/>
        <w:gridCol w:w="5760"/>
      </w:tblGrid>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6)</w:t>
            </w:r>
            <w:r w:rsidRPr="00D06D3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Performance Criteria describe the required performance needed to demonstrate achievement of the element. Assessment of performance is to</w:t>
            </w:r>
            <w:r w:rsidRPr="00D06D30">
              <w:t xml:space="preserve"> be consistent with the Evidence Guide.</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8" w:name="O_566711"/>
      <w:bookmarkEnd w:id="8"/>
      <w:r w:rsidRPr="00D06D3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77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PERFORMANCE CRITERIA</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w:t>
            </w:r>
          </w:p>
        </w:tc>
        <w:tc>
          <w:tcPr>
            <w:tcW w:w="2296" w:type="dxa"/>
            <w:vMerge w:val="restart"/>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Prepare to set up industrial field control devices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1.1</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OHS processes and procedures for a given work area are identified, obtained and understood </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1.2</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Established OHS risk control measures and procedures are followed in preparation for the work.</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1.3</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The field devices to be set up are determined from control system specifications and in consultations with relevant persons</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1.4</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Activities are planned to meet scheduled timelines in consultation with others involved in the work.</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1.5</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 xml:space="preserve">Tools, equipment </w:t>
            </w:r>
            <w:r w:rsidRPr="00D06D30">
              <w:t>and testing devices needed for the work are obtained in accordance with established procedures and checked for correct operation and safety.</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w:t>
            </w:r>
          </w:p>
        </w:tc>
        <w:tc>
          <w:tcPr>
            <w:tcW w:w="2296" w:type="dxa"/>
            <w:vMerge w:val="restart"/>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Set up industrial field control devices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2.1</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OHS risk control measures and procedures for carrying out the work are followed.</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2.2</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Devices are set up drawing on knowledge of field device and operation, characteristics and applications.</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2.3</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Devices are positioned and adjusted in accordance with their operating principles, manufacturer instructions and control system requirements.</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2.4</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Methods for dealing with unexpected situations are selected on the basis of safety and specified work outco</w:t>
            </w:r>
            <w:r w:rsidRPr="00D06D30">
              <w:t>mes.</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2.5</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Setting up devices is carried out efficiently without waste of materials or damage to apparatus and the surrounding environment or services and using sustainable energy practices.</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3</w:t>
            </w:r>
          </w:p>
        </w:tc>
        <w:tc>
          <w:tcPr>
            <w:tcW w:w="2296" w:type="dxa"/>
            <w:vMerge w:val="restart"/>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Test and document set up of industrial field control devices</w:t>
            </w: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3.1</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OHS risk control measures and procedures for carrying out the work are followed.</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3.2</w:t>
            </w:r>
          </w:p>
        </w:tc>
        <w:tc>
          <w:tcPr>
            <w:tcW w:w="48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Field devices are tested and final adjustments made to correct any anomalies in their operation.</w:t>
            </w:r>
          </w:p>
        </w:tc>
      </w:tr>
      <w:tr w:rsidTr="00AF77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3.3</w:t>
            </w:r>
          </w:p>
        </w:tc>
        <w:tc>
          <w:tcPr>
            <w:tcW w:w="48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Field device set up is documented in accordance with established procedures.</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9" w:name="O_566710"/>
      <w:bookmarkEnd w:id="9"/>
      <w:r w:rsidRPr="00D06D30">
        <w:t>Required Skills and Knowledge</w:t>
      </w:r>
    </w:p>
    <w:tbl>
      <w:tblPr>
        <w:tblW w:w="0" w:type="auto"/>
        <w:tblLayout w:type="fixed"/>
        <w:tblCellMar>
          <w:left w:w="62" w:type="dxa"/>
          <w:right w:w="62" w:type="dxa"/>
        </w:tblCellMar>
        <w:tblLook w:val="0000"/>
      </w:tblPr>
      <w:tblGrid>
        <w:gridCol w:w="1440"/>
        <w:gridCol w:w="7020"/>
      </w:tblGrid>
      <w:tr w:rsidTr="00AF77E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REQUIRED SKILLS AND KNOWLEDGE</w:t>
            </w:r>
          </w:p>
        </w:tc>
      </w:tr>
      <w:tr w:rsidTr="00AF77E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8)</w:t>
            </w:r>
            <w:r w:rsidRPr="00D06D30">
              <w:t xml:space="preserve"> This describes the required skills and knowledge and their level, required for this unit.</w:t>
            </w:r>
          </w:p>
          <w:p w:rsidR="00000000" w:rsidRPr="00D06D30" w:rsidP="00D06D30">
            <w:pPr>
              <w:pStyle w:val="BodyText"/>
            </w:pPr>
            <w:r w:rsidRPr="00D06D30">
              <w:t xml:space="preserve">Evidence shall show that knowledge has been acquired of safe working practices and setting up field control devices. </w:t>
            </w:r>
          </w:p>
          <w:p w:rsidR="00000000" w:rsidP="00D06D30">
            <w:pPr>
              <w:pStyle w:val="BodyText"/>
              <w:rPr>
                <w:lang w:val="en-NZ"/>
              </w:rPr>
            </w:pPr>
            <w:r w:rsidRPr="00D06D30">
              <w:t>All knowledge and skills detailed in this unit should be contextualised to current industry practices and technologies.</w:t>
            </w:r>
          </w:p>
        </w:tc>
      </w:tr>
      <w:tr w:rsidTr="00AF77E8">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KS01-EI119A</w:t>
            </w:r>
          </w:p>
        </w:tc>
        <w:tc>
          <w:tcPr>
            <w:tcW w:w="70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Indu</w:t>
            </w:r>
            <w:r w:rsidRPr="00D06D30">
              <w:rPr>
                <w:rStyle w:val="SpecialBold"/>
              </w:rPr>
              <w:t>strial Field Control Devices</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Evidence shall show an understanding of industrial field control devices to an extent indicated by the following aspects:</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T1</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Industrial processes and the terminology used in measurement encompassing:</w:t>
            </w:r>
          </w:p>
          <w:p w:rsidR="00000000" w:rsidRPr="00D06D30" w:rsidP="00D06D30">
            <w:pPr>
              <w:pStyle w:val="ListBullet2"/>
            </w:pPr>
            <w:r w:rsidRPr="00D06D30">
              <w:t>Forms of energy</w:t>
            </w:r>
          </w:p>
          <w:p w:rsidR="00000000" w:rsidRPr="00D06D30" w:rsidP="00D06D30">
            <w:pPr>
              <w:pStyle w:val="ListBullet2"/>
            </w:pPr>
            <w:r w:rsidRPr="00D06D30">
              <w:t>General classification of transducers</w:t>
            </w:r>
          </w:p>
          <w:p w:rsidR="00000000" w:rsidRPr="00D06D30" w:rsidP="00D06D30">
            <w:pPr>
              <w:pStyle w:val="ListBullet2"/>
            </w:pPr>
            <w:r w:rsidRPr="00D06D30">
              <w:t>Measurement technology</w:t>
            </w:r>
          </w:p>
          <w:p w:rsidR="00000000" w:rsidP="00D06D30">
            <w:pPr>
              <w:pStyle w:val="ListBullet2"/>
              <w:rPr>
                <w:lang w:val="en-NZ"/>
              </w:rPr>
            </w:pPr>
            <w:r w:rsidRPr="00D06D30">
              <w:t>Static accuracy.</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T2</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Devices used in optoelectronic systems encompassing:</w:t>
            </w:r>
          </w:p>
          <w:p w:rsidR="00000000" w:rsidRPr="00D06D30" w:rsidP="00D06D30">
            <w:pPr>
              <w:pStyle w:val="ListBullet2"/>
            </w:pPr>
            <w:r w:rsidRPr="00D06D30">
              <w:t>Physics of light</w:t>
            </w:r>
          </w:p>
          <w:p w:rsidR="00000000" w:rsidRPr="00D06D30" w:rsidP="00D06D30">
            <w:pPr>
              <w:pStyle w:val="ListBullet2"/>
            </w:pPr>
            <w:r w:rsidRPr="00D06D30">
              <w:t>Spectral response</w:t>
            </w:r>
          </w:p>
          <w:p w:rsidR="00000000" w:rsidRPr="00D06D30" w:rsidP="00D06D30">
            <w:pPr>
              <w:pStyle w:val="ListBullet2"/>
            </w:pPr>
            <w:r w:rsidRPr="00D06D30">
              <w:t>Photometry</w:t>
            </w:r>
          </w:p>
          <w:p w:rsidR="00000000" w:rsidRPr="00D06D30" w:rsidP="00D06D30">
            <w:pPr>
              <w:pStyle w:val="ListBullet2"/>
            </w:pPr>
            <w:r w:rsidRPr="00D06D30">
              <w:t>Light sources and detectors</w:t>
            </w:r>
          </w:p>
          <w:p w:rsidR="00000000" w:rsidRPr="00D06D30" w:rsidP="00D06D30">
            <w:pPr>
              <w:pStyle w:val="ListBullet2"/>
            </w:pPr>
            <w:r w:rsidRPr="00D06D30">
              <w:t>Len’s and mirror theory</w:t>
            </w:r>
          </w:p>
          <w:p w:rsidR="00000000" w:rsidRPr="00D06D30" w:rsidP="00D06D30">
            <w:pPr>
              <w:pStyle w:val="ListBullet2"/>
            </w:pPr>
            <w:r w:rsidRPr="00D06D30">
              <w:t>Optoelectronic systems and photoelectric switches</w:t>
            </w:r>
          </w:p>
          <w:p w:rsidR="00000000" w:rsidRPr="00D06D30" w:rsidP="00D06D30">
            <w:pPr>
              <w:pStyle w:val="ListBullet2"/>
            </w:pPr>
            <w:r w:rsidRPr="00D06D30">
              <w:t>Optoelectronic circuits</w:t>
            </w:r>
          </w:p>
          <w:p w:rsidR="00000000" w:rsidP="00D06D30">
            <w:pPr>
              <w:pStyle w:val="ListBullet2"/>
              <w:rPr>
                <w:lang w:val="en-NZ"/>
              </w:rPr>
            </w:pPr>
            <w:r w:rsidRPr="00D06D30">
              <w:t>The laser</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T3</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Temperature detection and measurement and their circuit configurations encompassing:</w:t>
            </w:r>
          </w:p>
          <w:p w:rsidR="00000000" w:rsidRPr="00D06D30" w:rsidP="00D06D30">
            <w:pPr>
              <w:pStyle w:val="ListBullet2"/>
            </w:pPr>
            <w:r w:rsidRPr="00D06D30">
              <w:t>Introduction to temperature sensing</w:t>
            </w:r>
          </w:p>
          <w:p w:rsidR="00000000" w:rsidRPr="00D06D30" w:rsidP="00D06D30">
            <w:pPr>
              <w:pStyle w:val="ListBullet2"/>
            </w:pPr>
            <w:r w:rsidRPr="00D06D30">
              <w:t>Bimetallic and filled thermal sensors</w:t>
            </w:r>
          </w:p>
          <w:p w:rsidR="00000000" w:rsidRPr="00D06D30" w:rsidP="00D06D30">
            <w:pPr>
              <w:pStyle w:val="ListBullet2"/>
            </w:pPr>
            <w:r w:rsidRPr="00D06D30">
              <w:t>Thermoco</w:t>
            </w:r>
            <w:r w:rsidRPr="00D06D30">
              <w:t>uples, resistance temperature detectors, thermistors, solid state temperature, sensors, integrated circuit temperature sensors and phrometers</w:t>
            </w:r>
          </w:p>
          <w:p w:rsidR="00000000" w:rsidP="00D06D30">
            <w:pPr>
              <w:pStyle w:val="ListBullet2"/>
              <w:rPr>
                <w:lang w:val="en-NZ"/>
              </w:rPr>
            </w:pPr>
            <w:r w:rsidRPr="00D06D30">
              <w:t>Control circuits using temperature detectors.</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T4</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Measurement of pressure, flow and chemical encompassing:</w:t>
            </w:r>
          </w:p>
          <w:p w:rsidR="00000000" w:rsidRPr="00D06D30" w:rsidP="00D06D30">
            <w:pPr>
              <w:pStyle w:val="ListBullet2"/>
            </w:pPr>
            <w:r w:rsidRPr="00D06D30">
              <w:t>Diaphragm, bellows and venturi</w:t>
            </w:r>
          </w:p>
          <w:p w:rsidR="00000000" w:rsidRPr="00D06D30" w:rsidP="00D06D30">
            <w:pPr>
              <w:pStyle w:val="ListBullet2"/>
            </w:pPr>
            <w:r w:rsidRPr="00D06D30">
              <w:t>Strain gauges and load cells</w:t>
            </w:r>
          </w:p>
          <w:p w:rsidR="00000000" w:rsidRPr="00D06D30" w:rsidP="00D06D30">
            <w:pPr>
              <w:pStyle w:val="ListBullet2"/>
            </w:pPr>
            <w:r w:rsidRPr="00D06D30">
              <w:t>Ultrasonic and magnetic flowmeters</w:t>
            </w:r>
          </w:p>
          <w:p w:rsidR="00000000" w:rsidRPr="00D06D30" w:rsidP="00D06D30">
            <w:pPr>
              <w:pStyle w:val="ListBullet2"/>
            </w:pPr>
            <w:r w:rsidRPr="00D06D30">
              <w:t>Measurement technology and accuracy</w:t>
            </w:r>
          </w:p>
          <w:p w:rsidR="00000000" w:rsidP="00D06D30">
            <w:pPr>
              <w:pStyle w:val="ListBullet2"/>
              <w:rPr>
                <w:lang w:val="en-NZ"/>
              </w:rPr>
            </w:pPr>
            <w:r w:rsidRPr="00D06D30">
              <w:t>Viscosity, humidity and pH</w:t>
            </w:r>
          </w:p>
        </w:tc>
      </w:tr>
      <w:tr w:rsidTr="00AF77E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T5</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Linear, angular and rotary motion detection encompassing:</w:t>
            </w:r>
          </w:p>
          <w:p w:rsidR="00000000" w:rsidRPr="00D06D30" w:rsidP="00D06D30">
            <w:pPr>
              <w:pStyle w:val="ListBullet2"/>
            </w:pPr>
            <w:r w:rsidRPr="00D06D30">
              <w:t>Linear motion sensors</w:t>
            </w:r>
          </w:p>
          <w:p w:rsidR="00000000" w:rsidRPr="00D06D30" w:rsidP="00D06D30">
            <w:pPr>
              <w:pStyle w:val="ListBullet2"/>
            </w:pPr>
            <w:r w:rsidRPr="00D06D30">
              <w:t>Angular and r</w:t>
            </w:r>
            <w:r w:rsidRPr="00D06D30">
              <w:t>otary motion sensors</w:t>
            </w:r>
          </w:p>
          <w:p w:rsidR="00000000" w:rsidRPr="00D06D30" w:rsidP="00D06D30">
            <w:pPr>
              <w:pStyle w:val="ListBullet2"/>
            </w:pPr>
            <w:r w:rsidRPr="00D06D30">
              <w:t>Shaft angle encoders</w:t>
            </w:r>
          </w:p>
          <w:p w:rsidR="00000000" w:rsidRPr="00D06D30" w:rsidP="00D06D30">
            <w:pPr>
              <w:pStyle w:val="ListBullet2"/>
            </w:pPr>
            <w:r w:rsidRPr="00D06D30">
              <w:t>Linear encoders</w:t>
            </w:r>
          </w:p>
          <w:p w:rsidR="00000000" w:rsidRPr="00D06D30" w:rsidP="00D06D30">
            <w:pPr>
              <w:pStyle w:val="ListBullet2"/>
            </w:pPr>
            <w:r w:rsidRPr="00D06D30">
              <w:t>Tachometers</w:t>
            </w:r>
          </w:p>
          <w:p w:rsidR="00000000" w:rsidP="00D06D30">
            <w:pPr>
              <w:pStyle w:val="ListBullet2"/>
              <w:rPr>
                <w:lang w:val="en-NZ"/>
              </w:rPr>
            </w:pPr>
            <w:r w:rsidRPr="00D06D30">
              <w:t>Accelerometer and vibrometer</w:t>
            </w:r>
          </w:p>
        </w:tc>
      </w:tr>
      <w:tr w:rsidTr="00AF77E8">
        <w:tblPrEx>
          <w:tblW w:w="0" w:type="auto"/>
          <w:tblLayout w:type="fixed"/>
          <w:tblCellMar>
            <w:left w:w="62" w:type="dxa"/>
            <w:right w:w="62" w:type="dxa"/>
          </w:tblCellMar>
          <w:tblLook w:val="0000"/>
        </w:tblPrEx>
        <w:trPr>
          <w:trHeight w:val="1827"/>
        </w:trPr>
        <w:tc>
          <w:tcPr>
            <w:tcW w:w="14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T6</w:t>
            </w:r>
          </w:p>
        </w:tc>
        <w:tc>
          <w:tcPr>
            <w:tcW w:w="702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Proximity and level detection encompassing:</w:t>
            </w:r>
          </w:p>
          <w:p w:rsidR="00000000" w:rsidRPr="00D06D30" w:rsidP="00D06D30">
            <w:pPr>
              <w:pStyle w:val="ListBullet2"/>
            </w:pPr>
            <w:r w:rsidRPr="00D06D30">
              <w:t>Mechanical</w:t>
            </w:r>
          </w:p>
          <w:p w:rsidR="00000000" w:rsidRPr="00D06D30" w:rsidP="00D06D30">
            <w:pPr>
              <w:pStyle w:val="ListBullet2"/>
            </w:pPr>
            <w:r w:rsidRPr="00D06D30">
              <w:t>Ultrasonics</w:t>
            </w:r>
          </w:p>
          <w:p w:rsidR="00000000" w:rsidRPr="00D06D30" w:rsidP="00D06D30">
            <w:pPr>
              <w:pStyle w:val="ListBullet2"/>
            </w:pPr>
            <w:r w:rsidRPr="00D06D30">
              <w:t>Microwave</w:t>
            </w:r>
          </w:p>
          <w:p w:rsidR="00000000" w:rsidRPr="00D06D30" w:rsidP="00D06D30">
            <w:pPr>
              <w:pStyle w:val="ListBullet2"/>
            </w:pPr>
            <w:r w:rsidRPr="00D06D30">
              <w:t>Passive infrared</w:t>
            </w:r>
          </w:p>
          <w:p w:rsidR="00000000" w:rsidRPr="00D06D30" w:rsidP="00D06D30">
            <w:pPr>
              <w:pStyle w:val="ListBullet2"/>
            </w:pPr>
            <w:r w:rsidRPr="00D06D30">
              <w:t>Nucleonics</w:t>
            </w:r>
          </w:p>
          <w:p w:rsidR="00000000" w:rsidRPr="00D06D30" w:rsidP="00D06D30">
            <w:pPr>
              <w:pStyle w:val="ListBullet2"/>
            </w:pPr>
            <w:r w:rsidRPr="00D06D30">
              <w:t>Capacitive and inductive proximity</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10" w:name="O_566709"/>
      <w:bookmarkEnd w:id="10"/>
      <w:r w:rsidRPr="00D06D30">
        <w:t>Evidence Guide</w:t>
      </w:r>
    </w:p>
    <w:tbl>
      <w:tblPr>
        <w:tblW w:w="0" w:type="auto"/>
        <w:tblLayout w:type="fixed"/>
        <w:tblCellMar>
          <w:left w:w="62" w:type="dxa"/>
          <w:right w:w="62" w:type="dxa"/>
        </w:tblCellMar>
        <w:tblLook w:val="0000"/>
      </w:tblPr>
      <w:tblGrid>
        <w:gridCol w:w="8460"/>
      </w:tblGrid>
      <w:tr w:rsidTr="00AF77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EVIDENCE GUIDE</w:t>
            </w:r>
          </w:p>
        </w:tc>
      </w:tr>
      <w:tr w:rsidTr="00AF77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9)</w:t>
            </w:r>
            <w:r w:rsidRPr="00D06D30">
              <w:t xml:space="preserve"> The evidence guide provides advice on assessment and must be read in conjunction with the Performance Criteria, Required Skills and Knowledge, the Range Statement and the Assessment Guidelines for this Training Pac</w:t>
            </w:r>
            <w:r w:rsidRPr="00D06D30">
              <w:t>kage.</w:t>
            </w:r>
          </w:p>
          <w:p w:rsidR="00000000" w:rsidRPr="00D06D30" w:rsidP="00D06D30">
            <w:pPr>
              <w:pStyle w:val="BodyText"/>
            </w:pPr>
            <w:r w:rsidRPr="00D06D30">
              <w:t>The Evidence Guide forms an integral part of this unit. It must be used in conjunction with all parts of the unit and performed in accordance with the Assessment Guidelines of this Training Package.</w:t>
            </w:r>
          </w:p>
        </w:tc>
      </w:tr>
    </w:tbl>
    <w:p w:rsidR="00000000" w:rsidRPr="00D06D30" w:rsidP="00D06D30">
      <w:pPr>
        <w:pStyle w:val="BodyText"/>
      </w:pPr>
    </w:p>
    <w:tbl>
      <w:tblPr>
        <w:tblW w:w="0" w:type="auto"/>
        <w:tblLayout w:type="fixed"/>
        <w:tblCellMar>
          <w:left w:w="62" w:type="dxa"/>
          <w:right w:w="62" w:type="dxa"/>
        </w:tblCellMar>
        <w:tblLook w:val="0000"/>
      </w:tblPr>
      <w:tblGrid>
        <w:gridCol w:w="1890"/>
        <w:gridCol w:w="6570"/>
      </w:tblGrid>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9.1)</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Longitudinal competency development approaches to assessment, such as Profiling, require data to be reliably gathered in a form that can be consistently interpreted over time. This approach is best utilised in Apprenticeship programs and reduces assessment</w:t>
            </w:r>
            <w:r w:rsidRPr="00D06D3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06D30">
              <w:t>ncy in a realistically simulated work environment. In some circumstances, assessment in part or full can occur outside the workplace. However, it must be in accordance with industry and regulatory policy.</w:t>
            </w:r>
          </w:p>
          <w:p w:rsidR="00000000" w:rsidRPr="00D06D30" w:rsidP="00D06D30">
            <w:pPr>
              <w:pStyle w:val="BodyText"/>
            </w:pPr>
            <w:r w:rsidRPr="00D06D30">
              <w:t xml:space="preserve">Methods chosen for a particular assessment will be </w:t>
            </w:r>
            <w:r w:rsidRPr="00D06D30">
              <w:t>influenced by various factors. These include the extent of the assessment, the most effective locations for the assessment activities to take place, access to physical resources, additional safety measures that may be required and the critical nature of th</w:t>
            </w:r>
            <w:r w:rsidRPr="00D06D30">
              <w:t>e competencies being assessed.</w:t>
            </w:r>
          </w:p>
          <w:p w:rsidR="00000000" w:rsidRPr="00D06D30" w:rsidP="00D06D30">
            <w:pPr>
              <w:pStyle w:val="BodyText"/>
            </w:pPr>
            <w:r w:rsidRPr="00D06D30">
              <w:t>The critical safety nature of working with electricity, electrical equipment, gas or any other hazardous substance/material carries risk in deeming a person competent. Sources of evidence need to be ‘rich’ in nature to minimi</w:t>
            </w:r>
            <w:r w:rsidRPr="00D06D30">
              <w:t>se error in judgment.</w:t>
            </w:r>
          </w:p>
          <w:p w:rsidR="00000000" w:rsidRPr="00D06D30" w:rsidP="00D06D30">
            <w:pPr>
              <w:pStyle w:val="BodyText"/>
            </w:pPr>
            <w:r w:rsidRPr="00D06D30">
              <w:t>Activities associated with normal everyday work influence how/how much the data gathered will contribute to its ‘richness’. Some skills are more critical to safety and operational requirements while the same skills may be more or less</w:t>
            </w:r>
            <w:r w:rsidRPr="00D06D30">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D06D30">
              <w:t>ckage.</w:t>
            </w:r>
          </w:p>
        </w:tc>
      </w:tr>
    </w:tbl>
    <w:p w:rsidR="00000000" w:rsidRPr="00D06D30" w:rsidP="00D06D30">
      <w:pPr>
        <w:pStyle w:val="BodyText"/>
      </w:pPr>
    </w:p>
    <w:tbl>
      <w:tblPr>
        <w:tblW w:w="0" w:type="auto"/>
        <w:tblLayout w:type="fixed"/>
        <w:tblCellMar>
          <w:left w:w="62" w:type="dxa"/>
          <w:right w:w="62" w:type="dxa"/>
        </w:tblCellMar>
        <w:tblLook w:val="0000"/>
      </w:tblPr>
      <w:tblGrid>
        <w:gridCol w:w="1890"/>
        <w:gridCol w:w="1530"/>
        <w:gridCol w:w="5040"/>
      </w:tblGrid>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9.2)</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Before the critical aspects of evidence are considered all prerequisites must be met.</w:t>
            </w:r>
          </w:p>
          <w:p w:rsidR="00000000" w:rsidRPr="00D06D30" w:rsidP="00D06D30">
            <w:pPr>
              <w:pStyle w:val="BodyText"/>
            </w:pPr>
            <w:r w:rsidRPr="00D06D30">
              <w:t>Evidence for competence in this unit shall be considered holistically.  Each</w:t>
            </w:r>
            <w:r w:rsidRPr="00D06D30">
              <w:t xml:space="preserve"> Element and associated performance criteria must be demonstrated on at least two occasions in accordance with the ‘Assessment Guidelines – UEE11’.  Evidence shall also comprise:</w:t>
            </w:r>
          </w:p>
          <w:p w:rsidR="00000000" w:rsidRPr="00D06D30" w:rsidP="00D06D30">
            <w:pPr>
              <w:pStyle w:val="ListBullet"/>
            </w:pPr>
            <w:r w:rsidRPr="00D06D30">
              <w:t>A representative body of work performance demonstrated within the timeframes typically expected of the discipline, work function and industrial environment. In particular this shall incorporate evidence that shows a candidate is able to:</w:t>
            </w:r>
          </w:p>
          <w:p w:rsidR="00000000" w:rsidRPr="00D06D30" w:rsidP="00D06D30">
            <w:pPr>
              <w:pStyle w:val="ListBullet2"/>
            </w:pPr>
            <w:r w:rsidRPr="00D06D30">
              <w:t>Implement Occupat</w:t>
            </w:r>
            <w:r w:rsidRPr="00D06D30">
              <w:t>ional Health and Safety workplace procedures and practices, including the use of risk control measures as specified in the performance criteria and range statement</w:t>
            </w:r>
          </w:p>
          <w:p w:rsidR="00000000" w:rsidRPr="00D06D30" w:rsidP="00D06D30">
            <w:pPr>
              <w:pStyle w:val="ListBullet2"/>
            </w:pPr>
            <w:r w:rsidRPr="00D06D30">
              <w:t>Apply sustainable energy principles and practices as specified in the performance criteria a</w:t>
            </w:r>
            <w:r w:rsidRPr="00D06D30">
              <w:t>nd range statement</w:t>
            </w:r>
          </w:p>
          <w:p w:rsidR="00000000" w:rsidRPr="00D06D30" w:rsidP="00D06D30">
            <w:pPr>
              <w:pStyle w:val="ListBullet2"/>
            </w:pPr>
            <w:r w:rsidRPr="00D06D30">
              <w:t>Demonstrate an understanding of the required skills and knowledge as described in this unit.  It may be required by some jurisdictions that RTOs provide a percentile graded result for the purpose of regulatory or licensing requirements.</w:t>
            </w:r>
          </w:p>
          <w:p w:rsidR="00000000" w:rsidRPr="00D06D30" w:rsidP="00D06D30">
            <w:pPr>
              <w:pStyle w:val="ListBullet2"/>
            </w:pPr>
            <w:r w:rsidRPr="00D06D30">
              <w:t>Demonstrate an appropriate level of skills enabling employment</w:t>
            </w:r>
          </w:p>
          <w:p w:rsidR="00000000" w:rsidRPr="00D06D30" w:rsidP="00D06D30">
            <w:pPr>
              <w:pStyle w:val="ListBullet2"/>
            </w:pPr>
            <w:r w:rsidRPr="00D06D30">
              <w:t>Conduct work observing the relevant Anti Discrimination legislation, regulations, polices and workplace procedures</w:t>
            </w:r>
          </w:p>
          <w:p w:rsidR="00000000" w:rsidRPr="00D06D30" w:rsidP="00D06D30">
            <w:pPr>
              <w:pStyle w:val="ListBullet"/>
            </w:pPr>
            <w:r w:rsidRPr="00D06D30">
              <w:t>Demonstrated consistent performance across a representative range of contexts</w:t>
            </w:r>
            <w:r w:rsidRPr="00D06D30">
              <w:t xml:space="preserve"> from the prescribed items below:</w:t>
            </w:r>
          </w:p>
          <w:p w:rsidR="00000000" w:rsidP="00D06D30">
            <w:pPr>
              <w:pStyle w:val="ListBullet2"/>
              <w:rPr>
                <w:lang w:val="en-NZ"/>
              </w:rPr>
            </w:pPr>
            <w:r w:rsidRPr="00D06D30">
              <w:t>Set up field control devices as listed as described in 10) and including:</w:t>
            </w:r>
          </w:p>
        </w:tc>
      </w:tr>
      <w:tr w:rsidTr="00AF77E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A</w:t>
            </w:r>
          </w:p>
        </w:tc>
        <w:tc>
          <w:tcPr>
            <w:tcW w:w="50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Determining the field control devices to be set up</w:t>
            </w:r>
          </w:p>
        </w:tc>
      </w:tr>
      <w:tr w:rsidTr="00AF77E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B</w:t>
            </w:r>
          </w:p>
        </w:tc>
        <w:tc>
          <w:tcPr>
            <w:tcW w:w="50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Positioning and adjusting devices accordance with their operating principles, manufacturer instructions  and control system requirements</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C</w:t>
            </w:r>
          </w:p>
        </w:tc>
        <w:tc>
          <w:tcPr>
            <w:tcW w:w="50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Testing field devices and making final adjustments to correct any anomalies in their operation</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w:t>
            </w:r>
          </w:p>
        </w:tc>
        <w:tc>
          <w:tcPr>
            <w:tcW w:w="50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Documenting field control device set up in accordance established procedures</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E</w:t>
            </w:r>
          </w:p>
        </w:tc>
        <w:tc>
          <w:tcPr>
            <w:tcW w:w="504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t>Dealing with unplanned events by drawing on required skills and knowledge to provide appropriate solutions incorporated in a holistic assessment with the above listed items</w:t>
            </w:r>
          </w:p>
        </w:tc>
      </w:tr>
      <w:tr w:rsidTr="00AF77E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 xml:space="preserve">Note: </w:t>
            </w:r>
          </w:p>
          <w:p w:rsidR="00000000" w:rsidRPr="00D06D30" w:rsidP="00D06D30">
            <w:pPr>
              <w:pStyle w:val="BodyText"/>
            </w:pPr>
            <w:r w:rsidRPr="00D06D30">
              <w:t>Successful completion of relevant vendor training may be used to contribute to evidence on which competency is deemed. In these cases the alignment of outcomes of vendor training with performance criteria and critical aspects of evidence shall be cl</w:t>
            </w:r>
            <w:r w:rsidRPr="00D06D30">
              <w:t>early identified.</w:t>
            </w:r>
          </w:p>
        </w:tc>
      </w:tr>
    </w:tbl>
    <w:p w:rsidR="00000000" w:rsidRPr="00D06D30" w:rsidP="00D06D30">
      <w:pPr>
        <w:pStyle w:val="BodyText"/>
      </w:pPr>
    </w:p>
    <w:tbl>
      <w:tblPr>
        <w:tblW w:w="0" w:type="auto"/>
        <w:tblLayout w:type="fixed"/>
        <w:tblCellMar>
          <w:left w:w="62" w:type="dxa"/>
          <w:right w:w="62" w:type="dxa"/>
        </w:tblCellMar>
        <w:tblLook w:val="0000"/>
      </w:tblPr>
      <w:tblGrid>
        <w:gridCol w:w="1890"/>
        <w:gridCol w:w="6570"/>
      </w:tblGrid>
      <w:tr w:rsidTr="00AF77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9.3)</w:t>
            </w:r>
          </w:p>
        </w:tc>
      </w:tr>
      <w:tr w:rsidTr="00AF77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This unit must be assessed as it relates to normal work practice using procedures, information and resources typical of a workplace. This should include:</w:t>
            </w:r>
          </w:p>
          <w:p w:rsidR="00000000" w:rsidRPr="00D06D30" w:rsidP="00D06D30">
            <w:pPr>
              <w:pStyle w:val="ListBullet2"/>
            </w:pPr>
            <w:r w:rsidRPr="00D06D30">
              <w:t>OHS policy and work procedures and instructions.</w:t>
            </w:r>
          </w:p>
          <w:p w:rsidR="00000000" w:rsidRPr="00D06D30" w:rsidP="00D06D30">
            <w:pPr>
              <w:pStyle w:val="ListBullet2"/>
            </w:pPr>
            <w:r w:rsidRPr="00D06D30">
              <w:t>Suitable work environment, facilities, equipment and materials to undertake actual work as prescribed by this unit.</w:t>
            </w:r>
          </w:p>
          <w:p w:rsidR="00000000" w:rsidRPr="00D06D30" w:rsidP="00D06D30">
            <w:pPr>
              <w:pStyle w:val="BodyText"/>
            </w:pPr>
            <w:r w:rsidRPr="00D06D30">
              <w:t>These should be part of the formal learning/assessment environment.</w:t>
            </w:r>
          </w:p>
          <w:p w:rsidR="00000000" w:rsidRPr="00D06D30" w:rsidP="00D06D30">
            <w:pPr>
              <w:pStyle w:val="BodyText"/>
            </w:pPr>
            <w:r w:rsidRPr="00D06D30">
              <w:t>Note:</w:t>
            </w:r>
          </w:p>
          <w:p w:rsidR="00000000" w:rsidRPr="00D06D30" w:rsidP="00D06D30">
            <w:pPr>
              <w:pStyle w:val="BodyText"/>
            </w:pPr>
            <w:r w:rsidRPr="00D06D30">
              <w:t xml:space="preserve">Where simulation </w:t>
            </w:r>
            <w:r w:rsidRPr="00D06D30">
              <w:t>is considered a suitable strategy for assessment, the conditions must be authentic and as far as possible reproduce and replicate the workplace and be consistent with the approved industry simulation policy.</w:t>
            </w:r>
          </w:p>
          <w:p w:rsidR="00000000" w:rsidRPr="00D06D30" w:rsidP="00D06D30">
            <w:pPr>
              <w:pStyle w:val="BodyText"/>
            </w:pPr>
            <w:r w:rsidRPr="00D06D30">
              <w:t>The resources used for assessment should reflect</w:t>
            </w:r>
            <w:r w:rsidRPr="00D06D30">
              <w:t xml:space="preserve"> current industry practices in relation to setting up field control devices.</w:t>
            </w:r>
          </w:p>
        </w:tc>
      </w:tr>
    </w:tbl>
    <w:p w:rsidR="00000000" w:rsidRPr="00D06D30" w:rsidP="00D06D30">
      <w:pPr>
        <w:pStyle w:val="BodyText"/>
      </w:pPr>
    </w:p>
    <w:tbl>
      <w:tblPr>
        <w:tblW w:w="0" w:type="auto"/>
        <w:tblLayout w:type="fixed"/>
        <w:tblCellMar>
          <w:left w:w="62" w:type="dxa"/>
          <w:right w:w="62" w:type="dxa"/>
        </w:tblCellMar>
        <w:tblLook w:val="0000"/>
      </w:tblPr>
      <w:tblGrid>
        <w:gridCol w:w="1890"/>
        <w:gridCol w:w="6570"/>
      </w:tblGrid>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9.4)</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This unit shall be assessed by methods given in Volume 1, Part 3 ‘Assessment Guidelines’.</w:t>
            </w:r>
          </w:p>
          <w:p w:rsidR="00000000" w:rsidRPr="00D06D30" w:rsidP="00D06D30">
            <w:pPr>
              <w:pStyle w:val="BodyText"/>
            </w:pPr>
            <w:r w:rsidRPr="00D06D30">
              <w:t xml:space="preserve">Note: </w:t>
            </w:r>
          </w:p>
          <w:p w:rsidR="00000000" w:rsidRPr="00D06D30" w:rsidP="00D06D30">
            <w:pPr>
              <w:pStyle w:val="BodyText"/>
            </w:pPr>
            <w:r w:rsidRPr="00D06D30">
              <w:t>Competent performance with inherent safe working practices is expected in the Industry to which this unit applies. This requires assessment in a structured environment which is intended primarily for learning/assessment and incorporates all necessary equip</w:t>
            </w:r>
            <w:r w:rsidRPr="00D06D30">
              <w:t>ment and facilities for learners to develop and demonstrate the required skills and knowledge described in this unit.</w:t>
            </w:r>
          </w:p>
        </w:tc>
      </w:tr>
    </w:tbl>
    <w:p w:rsidR="00000000" w:rsidRPr="00D06D30" w:rsidP="00D06D30">
      <w:pPr>
        <w:pStyle w:val="BodyText"/>
      </w:pPr>
    </w:p>
    <w:tbl>
      <w:tblPr>
        <w:tblW w:w="0" w:type="auto"/>
        <w:tblLayout w:type="fixed"/>
        <w:tblCellMar>
          <w:left w:w="62" w:type="dxa"/>
          <w:right w:w="62" w:type="dxa"/>
        </w:tblCellMar>
        <w:tblLook w:val="0000"/>
      </w:tblPr>
      <w:tblGrid>
        <w:gridCol w:w="1890"/>
        <w:gridCol w:w="6570"/>
      </w:tblGrid>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9.5)</w:t>
            </w:r>
          </w:p>
        </w:tc>
      </w:tr>
      <w:tr w:rsidTr="00AF77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There are no concurrent assessment recommendations for this unit.</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11" w:name="O_566708"/>
      <w:bookmarkEnd w:id="11"/>
      <w:r w:rsidRPr="00D06D30">
        <w:t>Range Statement</w:t>
      </w:r>
    </w:p>
    <w:tbl>
      <w:tblPr>
        <w:tblW w:w="0" w:type="auto"/>
        <w:tblLayout w:type="fixed"/>
        <w:tblCellMar>
          <w:left w:w="62" w:type="dxa"/>
          <w:right w:w="62" w:type="dxa"/>
        </w:tblCellMar>
        <w:tblLook w:val="0000"/>
      </w:tblPr>
      <w:tblGrid>
        <w:gridCol w:w="8460"/>
      </w:tblGrid>
      <w:tr w:rsidTr="00AF77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RANGE STATEMENT</w:t>
            </w:r>
          </w:p>
        </w:tc>
      </w:tr>
      <w:tr w:rsidTr="00AF77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10)</w:t>
            </w:r>
            <w:r w:rsidRPr="00D06D30">
              <w:t xml:space="preserve"> This relates to the unit as a whole providing the range of contexts and conditions to which the performance criteria apply. It allows for different work environments and situations that will affect perfo</w:t>
            </w:r>
            <w:r w:rsidRPr="00D06D30">
              <w:t>rmance.</w:t>
            </w:r>
          </w:p>
          <w:p w:rsidR="00000000" w:rsidRPr="00D06D30" w:rsidP="00D06D30">
            <w:pPr>
              <w:pStyle w:val="BodyText"/>
            </w:pPr>
            <w:r w:rsidRPr="00D06D30">
              <w:t>This unit must be demonstrated in relation to setting up at least four different industrial field control devices.</w:t>
            </w:r>
          </w:p>
          <w:p w:rsidR="00000000" w:rsidRPr="00D06D30" w:rsidP="00D06D30">
            <w:pPr>
              <w:pStyle w:val="BodyText"/>
            </w:pPr>
            <w:r w:rsidRPr="00D06D30">
              <w:t>Note.</w:t>
            </w:r>
          </w:p>
          <w:p w:rsidR="00000000" w:rsidRPr="00D06D30" w:rsidP="00D06D30">
            <w:pPr>
              <w:pStyle w:val="BodyText"/>
            </w:pPr>
            <w:r w:rsidRPr="00D06D30">
              <w:t>Examples are field control devices measurement/detection of flow, temperature, pressure, density, weight, level, smoke, motion.</w:t>
            </w:r>
          </w:p>
          <w:p w:rsidR="00000000" w:rsidRPr="00D06D30" w:rsidP="00D06D30">
            <w:pPr>
              <w:pStyle w:val="BodyText"/>
            </w:pPr>
            <w:r w:rsidRPr="00D06D30">
              <w:t>Generic terms used throughout this Vocational Standard shall be regarded as part of the Range Statement in which competency is demonstrated. The definition of these and other terms that apply are given in Volume 2, Part 2.1.</w:t>
            </w:r>
          </w:p>
        </w:tc>
      </w:tr>
    </w:tbl>
    <w:p w:rsidR="00000000" w:rsidRPr="00D06D30" w:rsidP="00D06D30">
      <w:pPr>
        <w:pStyle w:val="BodyText"/>
      </w:pPr>
    </w:p>
    <w:p w:rsidR="00000000" w:rsidRPr="00D06D30" w:rsidP="00D06D30">
      <w:pPr>
        <w:pStyle w:val="AllowPageBreak"/>
      </w:pPr>
    </w:p>
    <w:p w:rsidR="00000000" w:rsidRPr="00D06D30" w:rsidP="00D06D30">
      <w:pPr>
        <w:pStyle w:val="Heading1"/>
      </w:pPr>
      <w:bookmarkStart w:id="12" w:name="O_566707"/>
      <w:bookmarkEnd w:id="12"/>
      <w:r w:rsidRPr="00D06D30">
        <w:t>Unit Sector(s)</w:t>
      </w:r>
    </w:p>
    <w:p w:rsidR="00000000" w:rsidRPr="00D06D30" w:rsidP="00D06D30">
      <w:pPr>
        <w:pStyle w:val="BodyText"/>
      </w:pPr>
      <w:r w:rsidRPr="00D06D30">
        <w:t>Not applicable.</w:t>
      </w:r>
    </w:p>
    <w:p w:rsidR="00000000" w:rsidRPr="00D06D30" w:rsidP="00D06D30">
      <w:pPr>
        <w:pStyle w:val="AllowPageBreak"/>
      </w:pPr>
    </w:p>
    <w:p w:rsidR="00000000" w:rsidRPr="00D06D30" w:rsidP="00D06D30">
      <w:pPr>
        <w:pStyle w:val="Heading1"/>
      </w:pPr>
      <w:bookmarkStart w:id="13" w:name="O_566706"/>
      <w:bookmarkEnd w:id="13"/>
      <w:r w:rsidRPr="00D06D30">
        <w:t>Competency Field</w:t>
      </w:r>
    </w:p>
    <w:tbl>
      <w:tblPr>
        <w:tblW w:w="0" w:type="auto"/>
        <w:tblLayout w:type="fixed"/>
        <w:tblCellMar>
          <w:left w:w="62" w:type="dxa"/>
          <w:right w:w="62" w:type="dxa"/>
        </w:tblCellMar>
        <w:tblLook w:val="0000"/>
      </w:tblPr>
      <w:tblGrid>
        <w:gridCol w:w="2700"/>
        <w:gridCol w:w="5760"/>
      </w:tblGrid>
      <w:tr w:rsidTr="00AF77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6D30">
            <w:pPr>
              <w:pStyle w:val="BodyText"/>
              <w:rPr>
                <w:lang w:val="en-NZ"/>
              </w:rPr>
            </w:pPr>
            <w:r w:rsidRPr="00D06D30">
              <w:rPr>
                <w:rStyle w:val="SpecialBold"/>
              </w:rPr>
              <w:t xml:space="preserve">11) </w:t>
            </w:r>
          </w:p>
        </w:tc>
      </w:tr>
      <w:tr w:rsidTr="00AF77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6D30" w:rsidP="00D06D30">
            <w:pPr>
              <w:pStyle w:val="BodyText"/>
            </w:pPr>
            <w:r w:rsidRPr="00D06D30">
              <w:t>Instrumentation and Control</w:t>
            </w:r>
          </w:p>
        </w:tc>
      </w:tr>
    </w:tbl>
    <w:p w:rsidR="00000000" w:rsidRPr="00D06D30" w:rsidP="00D06D30">
      <w:pPr>
        <w:pStyle w:val="BodyText"/>
      </w:pPr>
    </w:p>
    <w:p w:rsidR="00000000" w:rsidRPr="00D06D30" w:rsidP="00D06D30"/>
    <w:sectPr w:rsidSect="00D06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rsidRPr="00AF77E8" w:rsidP="00AF7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8" w:rsidP="00D06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F77E8" w:rsidP="00D06D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F77E8" w:rsidP="00D06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rsidRPr="00AF77E8" w:rsidP="00AF77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E8" w:rsidRPr="002D2AF8" w:rsidP="00D06D30">
    <w:pPr>
      <w:pStyle w:val="Header"/>
      <w:framePr w:wrap="around"/>
    </w:pPr>
    <w:r>
      <w:fldChar w:fldCharType="begin"/>
    </w:r>
    <w:r>
      <w:instrText xml:space="preserve"> TITLE   \* MERGEFORMAT </w:instrText>
    </w:r>
    <w:r>
      <w:fldChar w:fldCharType="separate"/>
    </w:r>
    <w:r>
      <w:t>UEENEEI119A Set up industrial field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F77E8" w:rsidP="00D06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8D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E9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21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D30"/>
    <w:pPr>
      <w:spacing w:before="360" w:after="60"/>
      <w:outlineLvl w:val="0"/>
    </w:pPr>
    <w:rPr>
      <w:sz w:val="32"/>
    </w:rPr>
  </w:style>
  <w:style w:type="paragraph" w:styleId="Heading2">
    <w:name w:val="heading 2"/>
    <w:basedOn w:val="HeadingBase"/>
    <w:next w:val="BodyText"/>
    <w:link w:val="Heading2Char"/>
    <w:qFormat/>
    <w:rsid w:val="00D06D30"/>
    <w:pPr>
      <w:keepLines/>
      <w:spacing w:before="240" w:after="120"/>
      <w:outlineLvl w:val="1"/>
    </w:pPr>
    <w:rPr>
      <w:sz w:val="28"/>
      <w:szCs w:val="40"/>
    </w:rPr>
  </w:style>
  <w:style w:type="paragraph" w:styleId="Heading3">
    <w:name w:val="heading 3"/>
    <w:basedOn w:val="HeadingBase"/>
    <w:next w:val="BodyText"/>
    <w:link w:val="Heading3Char"/>
    <w:qFormat/>
    <w:rsid w:val="00D06D30"/>
    <w:pPr>
      <w:spacing w:before="180" w:after="120"/>
      <w:outlineLvl w:val="2"/>
    </w:pPr>
    <w:rPr>
      <w:spacing w:val="-10"/>
      <w:kern w:val="32"/>
    </w:rPr>
  </w:style>
  <w:style w:type="paragraph" w:styleId="Heading4">
    <w:name w:val="heading 4"/>
    <w:basedOn w:val="HeadingBase"/>
    <w:next w:val="BodyText"/>
    <w:link w:val="Heading4Char"/>
    <w:qFormat/>
    <w:rsid w:val="00D06D30"/>
    <w:pPr>
      <w:spacing w:before="160" w:after="120"/>
      <w:outlineLvl w:val="3"/>
    </w:pPr>
    <w:rPr>
      <w:sz w:val="22"/>
    </w:rPr>
  </w:style>
  <w:style w:type="paragraph" w:styleId="Heading5">
    <w:name w:val="heading 5"/>
    <w:basedOn w:val="HeadingBase"/>
    <w:next w:val="Normal"/>
    <w:link w:val="Heading5Char"/>
    <w:qFormat/>
    <w:rsid w:val="00D06D30"/>
    <w:pPr>
      <w:spacing w:before="80"/>
      <w:outlineLvl w:val="4"/>
    </w:pPr>
    <w:rPr>
      <w:color w:val="918585"/>
      <w:sz w:val="20"/>
    </w:rPr>
  </w:style>
  <w:style w:type="paragraph" w:styleId="Heading6">
    <w:name w:val="heading 6"/>
    <w:basedOn w:val="HeadingBase"/>
    <w:next w:val="Normal"/>
    <w:link w:val="Heading6Char"/>
    <w:qFormat/>
    <w:rsid w:val="00D06D30"/>
    <w:pPr>
      <w:spacing w:before="60"/>
      <w:outlineLvl w:val="5"/>
    </w:pPr>
    <w:rPr>
      <w:color w:val="918585"/>
      <w:sz w:val="20"/>
    </w:rPr>
  </w:style>
  <w:style w:type="paragraph" w:styleId="Heading7">
    <w:name w:val="heading 7"/>
    <w:basedOn w:val="Normal"/>
    <w:next w:val="Normal"/>
    <w:link w:val="Heading7Char"/>
    <w:qFormat/>
    <w:rsid w:val="00D06D30"/>
    <w:pPr>
      <w:ind w:left="720"/>
      <w:outlineLvl w:val="6"/>
    </w:pPr>
    <w:rPr>
      <w:i/>
    </w:rPr>
  </w:style>
  <w:style w:type="paragraph" w:styleId="Heading8">
    <w:name w:val="heading 8"/>
    <w:basedOn w:val="Normal"/>
    <w:next w:val="Normal"/>
    <w:link w:val="Heading8Char"/>
    <w:qFormat/>
    <w:rsid w:val="00D06D30"/>
    <w:pPr>
      <w:ind w:left="720"/>
      <w:outlineLvl w:val="7"/>
    </w:pPr>
    <w:rPr>
      <w:i/>
    </w:rPr>
  </w:style>
  <w:style w:type="paragraph" w:styleId="Heading9">
    <w:name w:val="heading 9"/>
    <w:basedOn w:val="Normal"/>
    <w:next w:val="Normal"/>
    <w:link w:val="Heading9Char"/>
    <w:qFormat/>
    <w:rsid w:val="00D06D30"/>
    <w:pPr>
      <w:ind w:left="720"/>
      <w:outlineLvl w:val="8"/>
    </w:pPr>
    <w:rPr>
      <w:i/>
    </w:rPr>
  </w:style>
  <w:style w:type="character" w:default="1" w:styleId="DefaultParagraphFont">
    <w:name w:val="Default Paragraph Font"/>
    <w:uiPriority w:val="1"/>
    <w:unhideWhenUsed/>
    <w:rsid w:val="00D06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D30"/>
  </w:style>
  <w:style w:type="character" w:customStyle="1" w:styleId="Heading1Char">
    <w:name w:val="Heading 1 Char"/>
    <w:basedOn w:val="DefaultParagraphFont"/>
    <w:link w:val="Heading1"/>
    <w:rsid w:val="00D06D30"/>
    <w:rPr>
      <w:rFonts w:ascii="Times New Roman" w:eastAsia="Times New Roman" w:hAnsi="Times New Roman" w:cs="Times New Roman"/>
      <w:b/>
      <w:sz w:val="32"/>
      <w:szCs w:val="20"/>
      <w:lang w:eastAsia="en-US"/>
    </w:rPr>
  </w:style>
  <w:style w:type="paragraph" w:styleId="BodyText">
    <w:name w:val="Body Text"/>
    <w:basedOn w:val="Normal"/>
    <w:link w:val="BodyTextChar"/>
    <w:rsid w:val="00D06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D30"/>
    <w:rPr>
      <w:rFonts w:ascii="Times New Roman" w:eastAsia="Times New Roman" w:hAnsi="Times New Roman" w:cs="Times New Roman"/>
      <w:sz w:val="24"/>
      <w:lang w:eastAsia="en-US"/>
    </w:rPr>
  </w:style>
  <w:style w:type="paragraph" w:styleId="ListBullet">
    <w:name w:val="List Bullet"/>
    <w:basedOn w:val="List"/>
    <w:rsid w:val="00D06D30"/>
    <w:pPr>
      <w:numPr>
        <w:numId w:val="13"/>
      </w:numPr>
      <w:tabs>
        <w:tab w:val="clear" w:pos="340"/>
      </w:tabs>
      <w:spacing w:before="40" w:after="40"/>
    </w:pPr>
  </w:style>
  <w:style w:type="character" w:customStyle="1" w:styleId="SpecialBold">
    <w:name w:val="Special Bold"/>
    <w:basedOn w:val="DefaultParagraphFont"/>
    <w:rsid w:val="00D06D30"/>
    <w:rPr>
      <w:b/>
      <w:spacing w:val="0"/>
    </w:rPr>
  </w:style>
  <w:style w:type="paragraph" w:styleId="ListBullet2">
    <w:name w:val="List Bullet 2"/>
    <w:basedOn w:val="List2"/>
    <w:rsid w:val="00D06D30"/>
    <w:pPr>
      <w:numPr>
        <w:numId w:val="14"/>
      </w:numPr>
      <w:tabs>
        <w:tab w:val="clear" w:pos="680"/>
      </w:tabs>
    </w:pPr>
  </w:style>
  <w:style w:type="paragraph" w:customStyle="1" w:styleId="SuperHeading">
    <w:name w:val="SuperHeading"/>
    <w:basedOn w:val="Normal"/>
    <w:rsid w:val="00D06D30"/>
    <w:pPr>
      <w:spacing w:before="240" w:after="120"/>
      <w:outlineLvl w:val="0"/>
    </w:pPr>
    <w:rPr>
      <w:rFonts w:ascii="Times New Roman" w:hAnsi="Times New Roman"/>
      <w:b/>
      <w:sz w:val="32"/>
    </w:rPr>
  </w:style>
  <w:style w:type="paragraph" w:customStyle="1" w:styleId="AllowPageBreak">
    <w:name w:val="AllowPageBreak"/>
    <w:rsid w:val="00D06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D30"/>
    <w:rPr>
      <w:rFonts w:ascii="Courier New" w:eastAsia="Times New Roman" w:hAnsi="Courier New" w:cs="Times New Roman"/>
      <w:i/>
      <w:szCs w:val="20"/>
      <w:lang w:eastAsia="en-US"/>
    </w:rPr>
  </w:style>
  <w:style w:type="paragraph" w:customStyle="1" w:styleId="HeadingBase">
    <w:name w:val="Heading Base"/>
    <w:rsid w:val="00D06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D30"/>
    <w:pPr>
      <w:tabs>
        <w:tab w:val="right" w:leader="dot" w:pos="9072"/>
      </w:tabs>
      <w:ind w:left="567"/>
    </w:pPr>
    <w:rPr>
      <w:szCs w:val="22"/>
    </w:rPr>
  </w:style>
  <w:style w:type="paragraph" w:customStyle="1" w:styleId="TOCBase">
    <w:name w:val="TOC Base"/>
    <w:rsid w:val="00D06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D30"/>
    <w:pPr>
      <w:tabs>
        <w:tab w:val="right" w:leader="dot" w:pos="9072"/>
      </w:tabs>
      <w:spacing w:before="40" w:after="40"/>
      <w:ind w:left="284"/>
    </w:pPr>
    <w:rPr>
      <w:rFonts w:ascii="Times New Roman" w:hAnsi="Times New Roman"/>
    </w:rPr>
  </w:style>
  <w:style w:type="paragraph" w:styleId="TOC1">
    <w:name w:val="toc 1"/>
    <w:basedOn w:val="TOCBase"/>
    <w:next w:val="Normal"/>
    <w:rsid w:val="00D06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D30"/>
    <w:rPr>
      <w:rFonts w:ascii="Times New Roman" w:eastAsia="Times New Roman" w:hAnsi="Times New Roman" w:cs="Times New Roman"/>
      <w:sz w:val="16"/>
      <w:lang w:eastAsia="en-US"/>
    </w:rPr>
  </w:style>
  <w:style w:type="paragraph" w:styleId="Title">
    <w:name w:val="Title"/>
    <w:basedOn w:val="HeadingBase"/>
    <w:link w:val="TitleChar"/>
    <w:qFormat/>
    <w:rsid w:val="00D06D30"/>
    <w:pPr>
      <w:spacing w:before="5040"/>
      <w:jc w:val="center"/>
    </w:pPr>
    <w:rPr>
      <w:sz w:val="48"/>
      <w:szCs w:val="72"/>
      <w:lang w:val="en-US"/>
    </w:rPr>
  </w:style>
  <w:style w:type="character" w:customStyle="1" w:styleId="TitleChar">
    <w:name w:val="Title Char"/>
    <w:basedOn w:val="DefaultParagraphFont"/>
    <w:link w:val="Title"/>
    <w:rsid w:val="00D06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D30"/>
    <w:pPr>
      <w:tabs>
        <w:tab w:val="left" w:pos="3600"/>
        <w:tab w:val="left" w:pos="3958"/>
      </w:tabs>
    </w:pPr>
  </w:style>
  <w:style w:type="paragraph" w:styleId="List">
    <w:name w:val="List"/>
    <w:basedOn w:val="BodyText"/>
    <w:next w:val="BodyText"/>
    <w:rsid w:val="00D06D30"/>
    <w:pPr>
      <w:tabs>
        <w:tab w:val="left" w:pos="340"/>
      </w:tabs>
      <w:spacing w:before="60" w:after="60"/>
      <w:ind w:left="340" w:hanging="340"/>
    </w:pPr>
  </w:style>
  <w:style w:type="paragraph" w:customStyle="1" w:styleId="Note">
    <w:name w:val="Note"/>
    <w:basedOn w:val="BodyText"/>
    <w:rsid w:val="00D06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D30"/>
    <w:pPr>
      <w:framePr w:wrap="auto" w:hAnchor="text" w:y="6049"/>
    </w:pPr>
    <w:rPr>
      <w:color w:val="000000"/>
      <w:sz w:val="40"/>
    </w:rPr>
  </w:style>
  <w:style w:type="paragraph" w:customStyle="1" w:styleId="TOCTitle">
    <w:name w:val="TOCTitle"/>
    <w:basedOn w:val="Heading1"/>
    <w:rsid w:val="00D06D30"/>
    <w:pPr>
      <w:spacing w:after="240"/>
      <w:jc w:val="center"/>
      <w:outlineLvl w:val="9"/>
    </w:pPr>
    <w:rPr>
      <w:caps/>
    </w:rPr>
  </w:style>
  <w:style w:type="paragraph" w:customStyle="1" w:styleId="Version">
    <w:name w:val="Version"/>
    <w:rsid w:val="00D06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D30"/>
    <w:pPr>
      <w:keepNext w:val="0"/>
      <w:tabs>
        <w:tab w:val="right" w:pos="4176"/>
      </w:tabs>
      <w:ind w:left="198" w:hanging="198"/>
    </w:pPr>
    <w:rPr>
      <w:rFonts w:ascii="Garamond" w:hAnsi="Garamond"/>
    </w:rPr>
  </w:style>
  <w:style w:type="paragraph" w:styleId="IndexHeading">
    <w:name w:val="index heading"/>
    <w:basedOn w:val="Normal"/>
    <w:next w:val="Index1"/>
    <w:semiHidden/>
    <w:rsid w:val="00D06D30"/>
    <w:pPr>
      <w:spacing w:before="120" w:after="120"/>
    </w:pPr>
    <w:rPr>
      <w:rFonts w:ascii="Arial" w:hAnsi="Arial"/>
      <w:b/>
      <w:color w:val="918585"/>
      <w:sz w:val="24"/>
    </w:rPr>
  </w:style>
  <w:style w:type="paragraph" w:styleId="Header">
    <w:name w:val="header"/>
    <w:basedOn w:val="Normal"/>
    <w:link w:val="HeaderChar"/>
    <w:rsid w:val="00D06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D30"/>
    <w:rPr>
      <w:rFonts w:ascii="Times New Roman" w:eastAsia="Times New Roman" w:hAnsi="Times New Roman" w:cs="Times New Roman"/>
      <w:sz w:val="16"/>
      <w:szCs w:val="20"/>
      <w:lang w:val="en-GB" w:eastAsia="en-US"/>
    </w:rPr>
  </w:style>
  <w:style w:type="paragraph" w:customStyle="1" w:styleId="Chapter">
    <w:name w:val="Chapter"/>
    <w:basedOn w:val="Normal"/>
    <w:rsid w:val="00D06D30"/>
    <w:pPr>
      <w:spacing w:before="240"/>
    </w:pPr>
    <w:rPr>
      <w:rFonts w:ascii="Times New Roman" w:hAnsi="Times New Roman"/>
      <w:smallCaps/>
      <w:spacing w:val="80"/>
      <w:sz w:val="28"/>
    </w:rPr>
  </w:style>
  <w:style w:type="paragraph" w:customStyle="1" w:styleId="InChapter">
    <w:name w:val="InChapter"/>
    <w:basedOn w:val="Heading3"/>
    <w:rsid w:val="00D06D30"/>
    <w:pPr>
      <w:spacing w:after="240"/>
      <w:outlineLvl w:val="9"/>
    </w:pPr>
    <w:rPr>
      <w:noProof/>
    </w:rPr>
  </w:style>
  <w:style w:type="paragraph" w:styleId="Index2">
    <w:name w:val="index 2"/>
    <w:basedOn w:val="Normal"/>
    <w:next w:val="Normal"/>
    <w:semiHidden/>
    <w:rsid w:val="00D06D30"/>
    <w:pPr>
      <w:tabs>
        <w:tab w:val="right" w:pos="4176"/>
      </w:tabs>
      <w:ind w:left="568" w:hanging="284"/>
    </w:pPr>
    <w:rPr>
      <w:rFonts w:ascii="Garamond" w:hAnsi="Garamond"/>
    </w:rPr>
  </w:style>
  <w:style w:type="paragraph" w:customStyle="1" w:styleId="Byline">
    <w:name w:val="Byline"/>
    <w:rsid w:val="00D06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D30"/>
    <w:pPr>
      <w:tabs>
        <w:tab w:val="clear" w:pos="3600"/>
        <w:tab w:val="clear" w:pos="3958"/>
      </w:tabs>
      <w:jc w:val="right"/>
    </w:pPr>
  </w:style>
  <w:style w:type="character" w:styleId="Emphasis">
    <w:name w:val="Emphasis"/>
    <w:basedOn w:val="DefaultParagraphFont"/>
    <w:qFormat/>
    <w:rsid w:val="00D06D30"/>
    <w:rPr>
      <w:i/>
    </w:rPr>
  </w:style>
  <w:style w:type="paragraph" w:styleId="Caption">
    <w:name w:val="caption"/>
    <w:basedOn w:val="BodyText"/>
    <w:next w:val="Normal"/>
    <w:qFormat/>
    <w:rsid w:val="00D06D30"/>
    <w:pPr>
      <w:framePr w:w="2268" w:hSpace="181" w:vSpace="181" w:wrap="around" w:vAnchor="text" w:hAnchor="page" w:x="1135" w:y="285" w:anchorLock="1"/>
    </w:pPr>
    <w:rPr>
      <w:i/>
    </w:rPr>
  </w:style>
  <w:style w:type="paragraph" w:customStyle="1" w:styleId="MiniTOCTitle">
    <w:name w:val="MiniTOCTitle"/>
    <w:basedOn w:val="Heading4"/>
    <w:rsid w:val="00D06D30"/>
    <w:pPr>
      <w:spacing w:before="240"/>
      <w:outlineLvl w:val="9"/>
    </w:pPr>
    <w:rPr>
      <w:noProof/>
      <w:sz w:val="24"/>
    </w:rPr>
  </w:style>
  <w:style w:type="paragraph" w:customStyle="1" w:styleId="MiniTOCItem">
    <w:name w:val="MiniTOCItem"/>
    <w:basedOn w:val="ListBullet"/>
    <w:rsid w:val="00D06D30"/>
    <w:pPr>
      <w:numPr>
        <w:numId w:val="0"/>
      </w:numPr>
      <w:tabs>
        <w:tab w:val="right" w:leader="dot" w:pos="6521"/>
      </w:tabs>
      <w:spacing w:before="0" w:after="0"/>
    </w:pPr>
  </w:style>
  <w:style w:type="paragraph" w:customStyle="1" w:styleId="TOFTitle">
    <w:name w:val="TOFTitle"/>
    <w:basedOn w:val="TOCTitle"/>
    <w:rsid w:val="00D06D30"/>
  </w:style>
  <w:style w:type="paragraph" w:styleId="TableofFigures">
    <w:name w:val="table of figures"/>
    <w:basedOn w:val="Normal"/>
    <w:next w:val="Normal"/>
    <w:semiHidden/>
    <w:rsid w:val="00D06D30"/>
    <w:pPr>
      <w:tabs>
        <w:tab w:val="right" w:leader="dot" w:pos="9072"/>
      </w:tabs>
      <w:ind w:left="970" w:hanging="403"/>
    </w:pPr>
    <w:rPr>
      <w:rFonts w:ascii="Times New Roman" w:hAnsi="Times New Roman"/>
      <w:b/>
    </w:rPr>
  </w:style>
  <w:style w:type="paragraph" w:styleId="ListNumber">
    <w:name w:val="List Number"/>
    <w:basedOn w:val="List"/>
    <w:rsid w:val="00D06D30"/>
    <w:pPr>
      <w:numPr>
        <w:numId w:val="11"/>
      </w:numPr>
    </w:pPr>
  </w:style>
  <w:style w:type="character" w:customStyle="1" w:styleId="WingdingSymbols">
    <w:name w:val="Wingding Symbols"/>
    <w:rsid w:val="00D06D30"/>
    <w:rPr>
      <w:rFonts w:ascii="Wingdings" w:hAnsi="Wingdings"/>
    </w:rPr>
  </w:style>
  <w:style w:type="paragraph" w:customStyle="1" w:styleId="TableHeading">
    <w:name w:val="Table Heading"/>
    <w:basedOn w:val="HeadingBase"/>
    <w:rsid w:val="00D06D30"/>
    <w:pPr>
      <w:keepLines/>
      <w:pBdr>
        <w:bottom w:val="single" w:sz="6" w:space="1" w:color="918585"/>
      </w:pBdr>
      <w:spacing w:before="240"/>
    </w:pPr>
  </w:style>
  <w:style w:type="character" w:customStyle="1" w:styleId="HotSpot">
    <w:name w:val="HotSpot"/>
    <w:rsid w:val="00D06D30"/>
    <w:rPr>
      <w:color w:val="0033CC"/>
      <w:u w:val="none"/>
    </w:rPr>
  </w:style>
  <w:style w:type="paragraph" w:customStyle="1" w:styleId="BodyTextRight">
    <w:name w:val="Body Text Right"/>
    <w:basedOn w:val="BodyText"/>
    <w:rsid w:val="00D06D30"/>
    <w:pPr>
      <w:spacing w:before="0" w:after="0"/>
      <w:jc w:val="right"/>
    </w:pPr>
  </w:style>
  <w:style w:type="paragraph" w:styleId="Index3">
    <w:name w:val="index 3"/>
    <w:basedOn w:val="ListNumber2"/>
    <w:next w:val="Normal"/>
    <w:semiHidden/>
    <w:rsid w:val="00D06D30"/>
    <w:pPr>
      <w:numPr>
        <w:numId w:val="0"/>
      </w:numPr>
      <w:tabs>
        <w:tab w:val="right" w:leader="dot" w:pos="4176"/>
      </w:tabs>
    </w:pPr>
  </w:style>
  <w:style w:type="paragraph" w:styleId="ListNumber2">
    <w:name w:val="List Number 2"/>
    <w:basedOn w:val="List2"/>
    <w:rsid w:val="00D06D30"/>
    <w:pPr>
      <w:numPr>
        <w:numId w:val="10"/>
      </w:numPr>
      <w:tabs>
        <w:tab w:val="clear" w:pos="1060"/>
      </w:tabs>
    </w:pPr>
  </w:style>
  <w:style w:type="paragraph" w:customStyle="1" w:styleId="MarginNote">
    <w:name w:val="Margin Note"/>
    <w:basedOn w:val="BodyText"/>
    <w:rsid w:val="00D06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D30"/>
    <w:rPr>
      <w:sz w:val="32"/>
    </w:rPr>
  </w:style>
  <w:style w:type="paragraph" w:customStyle="1" w:styleId="HeadingProcedure">
    <w:name w:val="Heading Procedure"/>
    <w:basedOn w:val="HeadingBase"/>
    <w:next w:val="Normal"/>
    <w:rsid w:val="00D06D30"/>
    <w:pPr>
      <w:tabs>
        <w:tab w:val="left" w:pos="0"/>
      </w:tabs>
      <w:spacing w:before="120" w:after="60"/>
    </w:pPr>
    <w:rPr>
      <w:i/>
      <w:color w:val="918585"/>
      <w:sz w:val="22"/>
    </w:rPr>
  </w:style>
  <w:style w:type="paragraph" w:customStyle="1" w:styleId="TableBodyText">
    <w:name w:val="Table Body Text"/>
    <w:basedOn w:val="BodyText"/>
    <w:rsid w:val="00D06D30"/>
    <w:pPr>
      <w:spacing w:before="60" w:after="60"/>
    </w:pPr>
  </w:style>
  <w:style w:type="paragraph" w:styleId="ListContinue">
    <w:name w:val="List Continue"/>
    <w:basedOn w:val="List"/>
    <w:rsid w:val="00D06D30"/>
    <w:pPr>
      <w:ind w:firstLine="0"/>
    </w:pPr>
  </w:style>
  <w:style w:type="paragraph" w:customStyle="1" w:styleId="ListNote">
    <w:name w:val="List Note"/>
    <w:basedOn w:val="List"/>
    <w:rsid w:val="00D06D30"/>
    <w:pPr>
      <w:pBdr>
        <w:top w:val="single" w:sz="6" w:space="2" w:color="918585"/>
        <w:bottom w:val="single" w:sz="6" w:space="2" w:color="918585"/>
      </w:pBdr>
      <w:tabs>
        <w:tab w:val="left" w:pos="1021"/>
      </w:tabs>
      <w:ind w:firstLine="0"/>
    </w:pPr>
  </w:style>
  <w:style w:type="paragraph" w:customStyle="1" w:styleId="Warning">
    <w:name w:val="Warning"/>
    <w:basedOn w:val="BodyText"/>
    <w:rsid w:val="00D06D30"/>
    <w:pPr>
      <w:shd w:val="clear" w:color="auto" w:fill="D9D9D9"/>
      <w:tabs>
        <w:tab w:val="left" w:pos="992"/>
      </w:tabs>
      <w:ind w:left="119" w:right="119"/>
    </w:pPr>
    <w:rPr>
      <w:sz w:val="20"/>
    </w:rPr>
  </w:style>
  <w:style w:type="paragraph" w:customStyle="1" w:styleId="MarginIcons">
    <w:name w:val="Margin Icons"/>
    <w:basedOn w:val="BodyText"/>
    <w:rsid w:val="00D06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D30"/>
    <w:rPr>
      <w:rFonts w:ascii="Courier New" w:hAnsi="Courier New"/>
    </w:rPr>
  </w:style>
  <w:style w:type="paragraph" w:customStyle="1" w:styleId="NoteBullet">
    <w:name w:val="Note Bullet"/>
    <w:basedOn w:val="Note"/>
    <w:rsid w:val="00D06D30"/>
    <w:pPr>
      <w:tabs>
        <w:tab w:val="clear" w:pos="680"/>
      </w:tabs>
      <w:spacing w:before="60" w:after="60"/>
    </w:pPr>
  </w:style>
  <w:style w:type="paragraph" w:customStyle="1" w:styleId="SubHeading2">
    <w:name w:val="SubHeading2"/>
    <w:basedOn w:val="HeadingBase"/>
    <w:rsid w:val="00D06D30"/>
    <w:pPr>
      <w:spacing w:before="240" w:after="60"/>
    </w:pPr>
    <w:rPr>
      <w:sz w:val="20"/>
    </w:rPr>
  </w:style>
  <w:style w:type="paragraph" w:customStyle="1" w:styleId="SubHeading1">
    <w:name w:val="SubHeading1"/>
    <w:basedOn w:val="HeadingBase"/>
    <w:rsid w:val="00D06D30"/>
    <w:pPr>
      <w:spacing w:before="240" w:after="60"/>
    </w:pPr>
    <w:rPr>
      <w:color w:val="918585"/>
      <w:sz w:val="22"/>
    </w:rPr>
  </w:style>
  <w:style w:type="paragraph" w:customStyle="1" w:styleId="SideHeading">
    <w:name w:val="Side Heading"/>
    <w:basedOn w:val="HeadingBase"/>
    <w:rsid w:val="00D06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D30"/>
    <w:pPr>
      <w:numPr>
        <w:numId w:val="12"/>
      </w:numPr>
    </w:pPr>
  </w:style>
  <w:style w:type="paragraph" w:styleId="PlainText">
    <w:name w:val="Plain Text"/>
    <w:basedOn w:val="Normal"/>
    <w:link w:val="PlainTextChar"/>
    <w:rsid w:val="00D06D30"/>
    <w:rPr>
      <w:sz w:val="20"/>
    </w:rPr>
  </w:style>
  <w:style w:type="character" w:customStyle="1" w:styleId="PlainTextChar">
    <w:name w:val="Plain Text Char"/>
    <w:basedOn w:val="DefaultParagraphFont"/>
    <w:link w:val="PlainText"/>
    <w:rsid w:val="00D06D30"/>
    <w:rPr>
      <w:rFonts w:ascii="Courier New" w:eastAsia="Times New Roman" w:hAnsi="Courier New" w:cs="Times New Roman"/>
      <w:sz w:val="20"/>
      <w:szCs w:val="20"/>
      <w:lang w:eastAsia="en-US"/>
    </w:rPr>
  </w:style>
  <w:style w:type="character" w:customStyle="1" w:styleId="MenuOption">
    <w:name w:val="Menu Option"/>
    <w:basedOn w:val="DefaultParagraphFont"/>
    <w:rsid w:val="00D06D30"/>
    <w:rPr>
      <w:b/>
      <w:smallCaps/>
    </w:rPr>
  </w:style>
  <w:style w:type="paragraph" w:customStyle="1" w:styleId="TableListNumber">
    <w:name w:val="Table List Number"/>
    <w:basedOn w:val="ListNumber"/>
    <w:rsid w:val="00D06D30"/>
    <w:pPr>
      <w:numPr>
        <w:numId w:val="0"/>
      </w:numPr>
    </w:pPr>
  </w:style>
  <w:style w:type="paragraph" w:styleId="TOC4">
    <w:name w:val="toc 4"/>
    <w:basedOn w:val="TOCBase"/>
    <w:next w:val="Normal"/>
    <w:semiHidden/>
    <w:rsid w:val="00D06D30"/>
    <w:pPr>
      <w:tabs>
        <w:tab w:val="right" w:leader="dot" w:pos="9071"/>
      </w:tabs>
      <w:ind w:left="1701"/>
    </w:pPr>
  </w:style>
  <w:style w:type="paragraph" w:customStyle="1" w:styleId="ListAlpha">
    <w:name w:val="List Alpha"/>
    <w:basedOn w:val="List"/>
    <w:rsid w:val="00D06D30"/>
    <w:pPr>
      <w:numPr>
        <w:numId w:val="9"/>
      </w:numPr>
    </w:pPr>
  </w:style>
  <w:style w:type="paragraph" w:customStyle="1" w:styleId="ListAlpha2">
    <w:name w:val="List Alpha 2"/>
    <w:basedOn w:val="List2"/>
    <w:rsid w:val="00D06D30"/>
    <w:pPr>
      <w:numPr>
        <w:numId w:val="8"/>
      </w:numPr>
    </w:pPr>
  </w:style>
  <w:style w:type="paragraph" w:styleId="List2">
    <w:name w:val="List 2"/>
    <w:basedOn w:val="BodyText"/>
    <w:rsid w:val="00D06D30"/>
    <w:pPr>
      <w:tabs>
        <w:tab w:val="left" w:pos="680"/>
      </w:tabs>
      <w:spacing w:before="60" w:after="60"/>
      <w:ind w:left="680" w:hanging="340"/>
    </w:pPr>
  </w:style>
  <w:style w:type="paragraph" w:styleId="List3">
    <w:name w:val="List 3"/>
    <w:basedOn w:val="BodyText"/>
    <w:rsid w:val="00D06D30"/>
    <w:pPr>
      <w:tabs>
        <w:tab w:val="left" w:pos="1021"/>
      </w:tabs>
      <w:spacing w:before="60" w:after="60"/>
      <w:ind w:left="1020" w:hanging="340"/>
    </w:pPr>
  </w:style>
  <w:style w:type="paragraph" w:styleId="List4">
    <w:name w:val="List 4"/>
    <w:basedOn w:val="BodyText"/>
    <w:rsid w:val="00D06D30"/>
    <w:pPr>
      <w:tabs>
        <w:tab w:val="left" w:pos="1361"/>
      </w:tabs>
      <w:spacing w:before="60" w:after="60"/>
      <w:ind w:left="1361" w:hanging="340"/>
    </w:pPr>
  </w:style>
  <w:style w:type="paragraph" w:styleId="List5">
    <w:name w:val="List 5"/>
    <w:basedOn w:val="BodyText"/>
    <w:rsid w:val="00D06D30"/>
    <w:pPr>
      <w:tabs>
        <w:tab w:val="left" w:pos="1701"/>
      </w:tabs>
      <w:spacing w:before="60" w:after="60"/>
      <w:ind w:left="1701" w:hanging="340"/>
    </w:pPr>
  </w:style>
  <w:style w:type="paragraph" w:styleId="ListBullet3">
    <w:name w:val="List Bullet 3"/>
    <w:basedOn w:val="List3"/>
    <w:rsid w:val="00D06D30"/>
    <w:pPr>
      <w:numPr>
        <w:numId w:val="15"/>
      </w:numPr>
      <w:tabs>
        <w:tab w:val="clear" w:pos="1021"/>
      </w:tabs>
      <w:ind w:left="1037" w:hanging="357"/>
    </w:pPr>
  </w:style>
  <w:style w:type="paragraph" w:styleId="ListBullet4">
    <w:name w:val="List Bullet 4"/>
    <w:basedOn w:val="List4"/>
    <w:rsid w:val="00D06D30"/>
    <w:pPr>
      <w:numPr>
        <w:numId w:val="3"/>
      </w:numPr>
    </w:pPr>
  </w:style>
  <w:style w:type="paragraph" w:styleId="ListBullet5">
    <w:name w:val="List Bullet 5"/>
    <w:basedOn w:val="List5"/>
    <w:rsid w:val="00D06D30"/>
    <w:pPr>
      <w:numPr>
        <w:numId w:val="4"/>
      </w:numPr>
    </w:pPr>
  </w:style>
  <w:style w:type="paragraph" w:styleId="ListContinue2">
    <w:name w:val="List Continue 2"/>
    <w:basedOn w:val="List2"/>
    <w:rsid w:val="00D06D30"/>
    <w:pPr>
      <w:ind w:firstLine="0"/>
    </w:pPr>
  </w:style>
  <w:style w:type="paragraph" w:styleId="ListContinue3">
    <w:name w:val="List Continue 3"/>
    <w:basedOn w:val="List3"/>
    <w:rsid w:val="00D06D30"/>
    <w:pPr>
      <w:ind w:left="1021" w:firstLine="0"/>
    </w:pPr>
  </w:style>
  <w:style w:type="paragraph" w:styleId="ListContinue4">
    <w:name w:val="List Continue 4"/>
    <w:basedOn w:val="List4"/>
    <w:rsid w:val="00D06D30"/>
    <w:pPr>
      <w:ind w:firstLine="0"/>
    </w:pPr>
  </w:style>
  <w:style w:type="paragraph" w:styleId="ListContinue5">
    <w:name w:val="List Continue 5"/>
    <w:basedOn w:val="List5"/>
    <w:rsid w:val="00D06D30"/>
    <w:pPr>
      <w:ind w:firstLine="0"/>
    </w:pPr>
  </w:style>
  <w:style w:type="paragraph" w:styleId="ListNumber3">
    <w:name w:val="List Number 3"/>
    <w:basedOn w:val="List3"/>
    <w:rsid w:val="00D06D30"/>
    <w:pPr>
      <w:numPr>
        <w:numId w:val="5"/>
      </w:numPr>
    </w:pPr>
  </w:style>
  <w:style w:type="paragraph" w:styleId="ListNumber4">
    <w:name w:val="List Number 4"/>
    <w:basedOn w:val="List4"/>
    <w:rsid w:val="00D06D30"/>
    <w:pPr>
      <w:numPr>
        <w:numId w:val="6"/>
      </w:numPr>
    </w:pPr>
  </w:style>
  <w:style w:type="paragraph" w:styleId="ListNumber5">
    <w:name w:val="List Number 5"/>
    <w:basedOn w:val="List5"/>
    <w:rsid w:val="00D06D30"/>
    <w:pPr>
      <w:numPr>
        <w:numId w:val="7"/>
      </w:numPr>
    </w:pPr>
  </w:style>
  <w:style w:type="paragraph" w:styleId="BlockText">
    <w:name w:val="Block Text"/>
    <w:basedOn w:val="Normal"/>
    <w:rsid w:val="00D06D30"/>
    <w:pPr>
      <w:spacing w:after="120"/>
      <w:ind w:left="1440" w:right="1440"/>
    </w:pPr>
  </w:style>
  <w:style w:type="character" w:customStyle="1" w:styleId="Subscript">
    <w:name w:val="Subscript"/>
    <w:basedOn w:val="DefaultParagraphFont"/>
    <w:rsid w:val="00D06D30"/>
    <w:rPr>
      <w:sz w:val="16"/>
      <w:vertAlign w:val="subscript"/>
    </w:rPr>
  </w:style>
  <w:style w:type="character" w:customStyle="1" w:styleId="Superscript">
    <w:name w:val="Superscript"/>
    <w:basedOn w:val="DefaultParagraphFont"/>
    <w:rsid w:val="00D06D30"/>
    <w:rPr>
      <w:sz w:val="16"/>
      <w:vertAlign w:val="superscript"/>
    </w:rPr>
  </w:style>
  <w:style w:type="character" w:customStyle="1" w:styleId="Symbols">
    <w:name w:val="Symbols"/>
    <w:basedOn w:val="DefaultParagraphFont"/>
    <w:rsid w:val="00D06D30"/>
    <w:rPr>
      <w:rFonts w:ascii="Symbol" w:hAnsi="Symbol"/>
    </w:rPr>
  </w:style>
  <w:style w:type="character" w:customStyle="1" w:styleId="MenuOptions">
    <w:name w:val="Menu Options"/>
    <w:basedOn w:val="DefaultParagraphFont"/>
    <w:rsid w:val="00D06D30"/>
    <w:rPr>
      <w:rFonts w:ascii="Arial Narrow" w:hAnsi="Arial Narrow"/>
      <w:smallCaps/>
    </w:rPr>
  </w:style>
  <w:style w:type="character" w:customStyle="1" w:styleId="Buttons">
    <w:name w:val="Buttons"/>
    <w:basedOn w:val="DefaultParagraphFont"/>
    <w:rsid w:val="00D06D30"/>
    <w:rPr>
      <w:b/>
    </w:rPr>
  </w:style>
  <w:style w:type="character" w:customStyle="1" w:styleId="Underlined">
    <w:name w:val="Underlined"/>
    <w:basedOn w:val="DefaultParagraphFont"/>
    <w:rsid w:val="00D06D30"/>
    <w:rPr>
      <w:u w:val="single"/>
    </w:rPr>
  </w:style>
  <w:style w:type="paragraph" w:customStyle="1" w:styleId="TableBodyTextRight">
    <w:name w:val="Table Body Text Right"/>
    <w:basedOn w:val="TableBodyText"/>
    <w:rsid w:val="00D06D30"/>
    <w:pPr>
      <w:widowControl w:val="0"/>
      <w:autoSpaceDE w:val="0"/>
      <w:autoSpaceDN w:val="0"/>
      <w:adjustRightInd w:val="0"/>
      <w:jc w:val="right"/>
    </w:pPr>
    <w:rPr>
      <w:rFonts w:cs="Arial"/>
      <w:szCs w:val="18"/>
    </w:rPr>
  </w:style>
  <w:style w:type="paragraph" w:customStyle="1" w:styleId="CopyrightText">
    <w:name w:val="Copyright Text"/>
    <w:basedOn w:val="BodyText"/>
    <w:rsid w:val="00D06D30"/>
    <w:rPr>
      <w:sz w:val="18"/>
    </w:rPr>
  </w:style>
  <w:style w:type="paragraph" w:customStyle="1" w:styleId="BodySmallRight">
    <w:name w:val="Body Small Right"/>
    <w:basedOn w:val="BodyTextRight"/>
    <w:rsid w:val="00D06D30"/>
    <w:rPr>
      <w:sz w:val="18"/>
      <w:szCs w:val="18"/>
    </w:rPr>
  </w:style>
  <w:style w:type="paragraph" w:customStyle="1" w:styleId="MarginEdition">
    <w:name w:val="Margin Edition"/>
    <w:basedOn w:val="MarginNote"/>
    <w:rsid w:val="00D06D30"/>
    <w:pPr>
      <w:spacing w:before="0" w:after="0"/>
    </w:pPr>
    <w:rPr>
      <w:rFonts w:ascii="Times New Roman" w:hAnsi="Times New Roman"/>
      <w:color w:val="999999"/>
    </w:rPr>
  </w:style>
  <w:style w:type="paragraph" w:customStyle="1" w:styleId="Spacer">
    <w:name w:val="Spacer"/>
    <w:basedOn w:val="Normal"/>
    <w:rsid w:val="00D06D30"/>
    <w:rPr>
      <w:sz w:val="2"/>
      <w:szCs w:val="2"/>
    </w:rPr>
  </w:style>
  <w:style w:type="character" w:customStyle="1" w:styleId="Small">
    <w:name w:val="Small"/>
    <w:basedOn w:val="DefaultParagraphFont"/>
    <w:rsid w:val="00D06D30"/>
    <w:rPr>
      <w:sz w:val="16"/>
    </w:rPr>
  </w:style>
  <w:style w:type="paragraph" w:customStyle="1" w:styleId="WideTable">
    <w:name w:val="Wide Table"/>
    <w:basedOn w:val="Normal"/>
    <w:rsid w:val="00D06D30"/>
    <w:pPr>
      <w:ind w:left="-1418"/>
    </w:pPr>
    <w:rPr>
      <w:sz w:val="2"/>
      <w:szCs w:val="2"/>
    </w:rPr>
  </w:style>
  <w:style w:type="character" w:styleId="PageNumber">
    <w:name w:val="page number"/>
    <w:basedOn w:val="DefaultParagraphFont"/>
    <w:rsid w:val="00D06D30"/>
  </w:style>
  <w:style w:type="paragraph" w:styleId="Quote">
    <w:name w:val="Quote"/>
    <w:basedOn w:val="Heading1"/>
    <w:link w:val="QuoteChar"/>
    <w:qFormat/>
    <w:rsid w:val="00D06D30"/>
    <w:rPr>
      <w:b w:val="0"/>
      <w:sz w:val="72"/>
      <w:szCs w:val="72"/>
      <w:lang w:val="en-NZ"/>
    </w:rPr>
  </w:style>
  <w:style w:type="character" w:customStyle="1" w:styleId="QuoteChar">
    <w:name w:val="Quote Char"/>
    <w:basedOn w:val="DefaultParagraphFont"/>
    <w:link w:val="Quote"/>
    <w:rsid w:val="00D06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D30"/>
    <w:pPr>
      <w:pageBreakBefore/>
    </w:pPr>
  </w:style>
  <w:style w:type="paragraph" w:customStyle="1" w:styleId="Border">
    <w:name w:val="Border"/>
    <w:basedOn w:val="Normal"/>
    <w:qFormat/>
    <w:rsid w:val="00D06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D30"/>
    <w:rPr>
      <w:b/>
      <w:bCs/>
      <w:i/>
      <w:iCs/>
      <w:color w:val="auto"/>
    </w:rPr>
  </w:style>
  <w:style w:type="paragraph" w:styleId="IntenseQuote">
    <w:name w:val="Intense Quote"/>
    <w:basedOn w:val="Normal"/>
    <w:next w:val="Normal"/>
    <w:link w:val="IntenseQuoteChar"/>
    <w:uiPriority w:val="30"/>
    <w:qFormat/>
    <w:rsid w:val="00D06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D30"/>
    <w:rPr>
      <w:smallCaps/>
      <w:color w:val="auto"/>
      <w:u w:val="single"/>
    </w:rPr>
  </w:style>
  <w:style w:type="character" w:styleId="IntenseReference">
    <w:name w:val="Intense Reference"/>
    <w:basedOn w:val="DefaultParagraphFont"/>
    <w:uiPriority w:val="32"/>
    <w:qFormat/>
    <w:rsid w:val="00D06D30"/>
    <w:rPr>
      <w:b/>
      <w:bCs/>
      <w:smallCaps/>
      <w:color w:val="auto"/>
      <w:spacing w:val="5"/>
      <w:u w:val="single"/>
    </w:rPr>
  </w:style>
  <w:style w:type="paragraph" w:customStyle="1" w:styleId="2ColumnHeading">
    <w:name w:val="2Column Heading"/>
    <w:basedOn w:val="BodyText"/>
    <w:qFormat/>
    <w:rsid w:val="00D06D30"/>
    <w:pPr>
      <w:spacing w:after="60"/>
      <w:ind w:left="-2268"/>
    </w:pPr>
    <w:rPr>
      <w:b/>
    </w:rPr>
  </w:style>
  <w:style w:type="paragraph" w:customStyle="1" w:styleId="Heading1TOC">
    <w:name w:val="Heading1 TOC"/>
    <w:basedOn w:val="Normal"/>
    <w:qFormat/>
    <w:rsid w:val="00D06D30"/>
    <w:pPr>
      <w:spacing w:before="240" w:after="120"/>
    </w:pPr>
    <w:rPr>
      <w:rFonts w:ascii="Times New Roman" w:hAnsi="Times New Roman"/>
      <w:b/>
      <w:sz w:val="32"/>
    </w:rPr>
  </w:style>
  <w:style w:type="paragraph" w:customStyle="1" w:styleId="Heading2TOC">
    <w:name w:val="Heading2 TOC"/>
    <w:basedOn w:val="Normal"/>
    <w:qFormat/>
    <w:rsid w:val="00D06D30"/>
    <w:pPr>
      <w:spacing w:before="240" w:after="60"/>
    </w:pPr>
    <w:rPr>
      <w:rFonts w:ascii="Times New Roman" w:hAnsi="Times New Roman"/>
      <w:b/>
      <w:sz w:val="28"/>
    </w:rPr>
  </w:style>
  <w:style w:type="character" w:customStyle="1" w:styleId="Underline">
    <w:name w:val="Underline"/>
    <w:basedOn w:val="DefaultParagraphFont"/>
    <w:qFormat/>
    <w:rsid w:val="00D06D30"/>
    <w:rPr>
      <w:u w:val="single"/>
    </w:rPr>
  </w:style>
  <w:style w:type="character" w:customStyle="1" w:styleId="BoldandItalics">
    <w:name w:val="Bold and Italics"/>
    <w:qFormat/>
    <w:rsid w:val="00D06D30"/>
    <w:rPr>
      <w:b/>
      <w:i/>
      <w:u w:val="none"/>
    </w:rPr>
  </w:style>
  <w:style w:type="paragraph" w:styleId="BalloonText">
    <w:name w:val="Balloon Text"/>
    <w:basedOn w:val="Normal"/>
    <w:link w:val="BalloonTextChar"/>
    <w:rsid w:val="00D06D30"/>
    <w:rPr>
      <w:rFonts w:ascii="Tahoma" w:hAnsi="Tahoma" w:cs="Tahoma"/>
      <w:sz w:val="16"/>
      <w:szCs w:val="16"/>
    </w:rPr>
  </w:style>
  <w:style w:type="character" w:customStyle="1" w:styleId="BalloonTextChar">
    <w:name w:val="Balloon Text Char"/>
    <w:basedOn w:val="DefaultParagraphFont"/>
    <w:link w:val="BalloonText"/>
    <w:rsid w:val="00D06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D30"/>
    <w:rPr>
      <w:b/>
      <w:color w:val="660033"/>
      <w:spacing w:val="0"/>
    </w:rPr>
  </w:style>
  <w:style w:type="paragraph" w:customStyle="1" w:styleId="Nameditemlist">
    <w:name w:val="Named item list"/>
    <w:basedOn w:val="BodyText"/>
    <w:qFormat/>
    <w:rsid w:val="00D06D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2291</Words>
  <Characters>13881</Characters>
  <Application>Microsoft Office Word</Application>
  <DocSecurity>0</DocSecurity>
  <Lines>605</Lines>
  <Paragraphs>271</Paragraphs>
  <ScaleCrop>false</ScaleCrop>
  <Company>Author-it Software Corporation Ltd.</Company>
  <LinksUpToDate>false</LinksUpToDate>
  <CharactersWithSpaces>15973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UEENEEI119A Set up industrial field control devices</dc:title>
  <dc:subject>Approved</dc:subject>
  <dc:creator>E-OZ Training Standards</dc:creator>
  <cp:keywords>Release 3</cp:keywords>
  <dc:description>Review Date: 12 April 2008</dc:description>
  <cp:lastModifiedBy>TPCMS</cp:lastModifiedBy>
  <cp:revision>3</cp:revision>
  <dcterms:created xsi:type="dcterms:W3CDTF">2013-08-14T00:44:00Z</dcterms:created>
  <dcterms:modified xsi:type="dcterms:W3CDTF">2013-08-14T00:44:00Z</dcterms:modified>
</cp:coreProperties>
</file>