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2BD" w:rsidP="00F422BD">
      <w:pPr>
        <w:pStyle w:val="Title"/>
      </w:pPr>
      <w:r>
        <w:fldChar w:fldCharType="begin"/>
      </w:r>
      <w:r>
        <w:instrText xml:space="preserve"> TITLE   \* MERGEFORMAT </w:instrText>
      </w:r>
      <w:r>
        <w:fldChar w:fldCharType="separate"/>
      </w:r>
      <w:r>
        <w:t>UEENEEI113A Setup and configure Human-Machine Interface (HMI) and industrial networks</w:t>
      </w:r>
      <w:r>
        <w:fldChar w:fldCharType="end"/>
      </w:r>
    </w:p>
    <w:p w:rsidR="00F422BD" w:rsidP="00F422BD">
      <w:pPr>
        <w:pStyle w:val="Version"/>
        <w:sectPr w:rsidSect="00E91E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91E3E" w:rsidP="00E91E3E">
      <w:pPr>
        <w:pStyle w:val="SuperHeading"/>
      </w:pPr>
      <w:r w:rsidRPr="00E91E3E">
        <w:t>UEENEEI113A Setup and configure Human-Machine Interface (HMI) and industrial networks</w:t>
      </w:r>
    </w:p>
    <w:p w:rsidR="00000000" w:rsidRPr="00E91E3E" w:rsidP="00E91E3E">
      <w:pPr>
        <w:pStyle w:val="Heading1"/>
      </w:pPr>
      <w:bookmarkStart w:id="1" w:name="O_589166"/>
      <w:bookmarkEnd w:id="1"/>
      <w:r w:rsidRPr="00E91E3E">
        <w:t>Modification History</w:t>
      </w:r>
    </w:p>
    <w:tbl>
      <w:tblPr>
        <w:tblW w:w="0" w:type="auto"/>
        <w:tblCellMar>
          <w:left w:w="62" w:type="dxa"/>
          <w:right w:w="62" w:type="dxa"/>
        </w:tblCellMar>
        <w:tblLook w:val="0000"/>
      </w:tblPr>
      <w:tblGrid>
        <w:gridCol w:w="847"/>
        <w:gridCol w:w="847"/>
        <w:gridCol w:w="1269"/>
        <w:gridCol w:w="5177"/>
        <w:gridCol w:w="1056"/>
      </w:tblGrid>
      <w:tr w:rsidTr="00F42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UEENEEI113A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Setup and configure Human-Machine Interface (HMI) and industrial networks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p>
        </w:tc>
      </w:tr>
      <w:tr w:rsidTr="00F42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Points</w:t>
            </w:r>
          </w:p>
        </w:tc>
      </w:tr>
      <w:tr w:rsidTr="00F422BD">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p>
        </w:tc>
      </w:tr>
      <w:tr w:rsidTr="00F42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p>
        </w:tc>
      </w:tr>
      <w:tr w:rsidTr="00F422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p>
        </w:tc>
      </w:tr>
      <w:tr w:rsidTr="00F422BD">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E3E">
            <w:pPr>
              <w:pStyle w:val="BodyText"/>
              <w:rPr>
                <w:lang w:val="en-NZ"/>
              </w:rPr>
            </w:pPr>
            <w:r w:rsidRPr="00E91E3E">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E3E" w:rsidP="00E91E3E">
            <w:pPr>
              <w:pStyle w:val="BodyText"/>
            </w:pP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2" w:name="O_589165"/>
      <w:bookmarkEnd w:id="2"/>
      <w:r w:rsidRPr="00E91E3E">
        <w:t>Unit Descriptor</w:t>
      </w:r>
    </w:p>
    <w:tbl>
      <w:tblPr>
        <w:tblW w:w="0" w:type="auto"/>
        <w:tblLayout w:type="fixed"/>
        <w:tblCellMar>
          <w:left w:w="62" w:type="dxa"/>
          <w:right w:w="62" w:type="dxa"/>
        </w:tblCellMar>
        <w:tblLook w:val="0000"/>
      </w:tblPr>
      <w:tblGrid>
        <w:gridCol w:w="2700"/>
        <w:gridCol w:w="5760"/>
      </w:tblGrid>
      <w:tr w:rsidTr="00F422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1)</w:t>
            </w:r>
            <w:r w:rsidRPr="00E91E3E">
              <w:t xml:space="preserve"> </w:t>
            </w:r>
            <w:r w:rsidRPr="00E91E3E">
              <w:rPr>
                <w:rStyle w:val="SpecialBold"/>
              </w:rPr>
              <w:t>Scope:</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91E3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1.1) Descriptor</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This unit covers the setting up and configuring human machine interface and industrial networks for process control systems to meet performance standards. This encompasses the adoption of process control schemes that meet safety and process requirements, s</w:t>
            </w:r>
            <w:r w:rsidRPr="00E91E3E">
              <w:t>election of control equipment and interconnecting cabling and tubing/piping based on calculated and deemed-to-comply arrangements.</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3" w:name="O_589164"/>
      <w:bookmarkEnd w:id="3"/>
      <w:r w:rsidRPr="00E91E3E">
        <w:t>Application of the Unit</w:t>
      </w:r>
    </w:p>
    <w:tbl>
      <w:tblPr>
        <w:tblW w:w="0" w:type="auto"/>
        <w:tblLayout w:type="fixed"/>
        <w:tblCellMar>
          <w:left w:w="62" w:type="dxa"/>
          <w:right w:w="62" w:type="dxa"/>
        </w:tblCellMar>
        <w:tblLook w:val="0000"/>
      </w:tblPr>
      <w:tblGrid>
        <w:gridCol w:w="2672"/>
        <w:gridCol w:w="5699"/>
      </w:tblGrid>
      <w:tr w:rsidTr="00F422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2)</w:t>
            </w:r>
          </w:p>
        </w:tc>
      </w:tr>
      <w:tr w:rsidTr="00F422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This unit covers the setting up and configuring human</w:t>
            </w:r>
            <w:r w:rsidRPr="00E91E3E">
              <w:t xml:space="preserve"> machine interface and industrial networks for process control systems to meet performance standards. This encompasses the adoption of process control schemes that meet safety and process requirements, selection of control equipment and interconnecting cab</w:t>
            </w:r>
            <w:r w:rsidRPr="00E91E3E">
              <w:t>ling and tubing/piping based on calculated and deemed-to-comply arrangements.</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4" w:name="O_589163"/>
      <w:bookmarkEnd w:id="4"/>
      <w:r w:rsidRPr="00E91E3E">
        <w:t>Licensing/Regulatory Information</w:t>
      </w:r>
    </w:p>
    <w:tbl>
      <w:tblPr>
        <w:tblW w:w="0" w:type="auto"/>
        <w:tblLayout w:type="fixed"/>
        <w:tblCellMar>
          <w:left w:w="62" w:type="dxa"/>
          <w:right w:w="62" w:type="dxa"/>
        </w:tblCellMar>
        <w:tblLook w:val="0000"/>
      </w:tblPr>
      <w:tblGrid>
        <w:gridCol w:w="2700"/>
        <w:gridCol w:w="5760"/>
      </w:tblGrid>
      <w:tr w:rsidTr="00F422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 xml:space="preserve">3) </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The skills and knowledge described in this unit do not require a license to practice in the workplace. However, practice in this unit is subject to regulations directly related to occupational health and safety and where applicable contracts of training su</w:t>
            </w:r>
            <w:r w:rsidRPr="00E91E3E">
              <w:t>ch as apprenticeships.</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5" w:name="O_589162"/>
      <w:bookmarkEnd w:id="5"/>
      <w:r w:rsidRPr="00E91E3E">
        <w:t>Pre-Requisites</w:t>
      </w:r>
    </w:p>
    <w:tbl>
      <w:tblPr>
        <w:tblW w:w="0" w:type="auto"/>
        <w:tblLayout w:type="fixed"/>
        <w:tblCellMar>
          <w:left w:w="62" w:type="dxa"/>
          <w:right w:w="62" w:type="dxa"/>
        </w:tblCellMar>
        <w:tblLook w:val="0000"/>
      </w:tblPr>
      <w:tblGrid>
        <w:gridCol w:w="2700"/>
        <w:gridCol w:w="1620"/>
        <w:gridCol w:w="4230"/>
      </w:tblGrid>
      <w:tr w:rsidTr="00F422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Prerequisite Unit(s)</w:t>
            </w:r>
          </w:p>
        </w:tc>
        <w:tc>
          <w:tcPr>
            <w:tcW w:w="585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 xml:space="preserve">4) </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Competencies</w:t>
            </w:r>
          </w:p>
        </w:tc>
        <w:tc>
          <w:tcPr>
            <w:tcW w:w="585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4.1)</w:t>
            </w:r>
          </w:p>
        </w:tc>
      </w:tr>
      <w:tr w:rsidTr="00F422BD">
        <w:tblPrEx>
          <w:tblW w:w="0" w:type="auto"/>
          <w:tblLayout w:type="fixed"/>
          <w:tblCellMar>
            <w:left w:w="62" w:type="dxa"/>
            <w:right w:w="62" w:type="dxa"/>
          </w:tblCellMar>
          <w:tblLook w:val="0000"/>
        </w:tblPrEx>
        <w:trPr>
          <w:trHeight w:val="70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Granting competency in this unit shall be made only after competency in the following unit(s) has/have been confirmed.</w:t>
            </w:r>
          </w:p>
        </w:tc>
      </w:tr>
      <w:tr w:rsidTr="00F422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Common Unit Group</w:t>
            </w:r>
          </w:p>
        </w:tc>
      </w:tr>
      <w:tr w:rsidTr="00F422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 xml:space="preserve">UEENEEE101A </w:t>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 xml:space="preserve">Apply Occupational Health and Safety regulations, codes and practices in the workplace </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UEENEEE104A</w:t>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Solve problems in d.c. Circuits</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UEENEEE107</w:t>
            </w:r>
            <w:r w:rsidRPr="00E91E3E">
              <w:t>A</w:t>
            </w:r>
            <w:r w:rsidRPr="00E91E3E">
              <w:tab/>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 xml:space="preserve">Use drawings, diagrams, schedules, </w:t>
            </w:r>
            <w:r w:rsidRPr="00E91E3E">
              <w:t xml:space="preserve">standards, codes and specifications </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UEENEEI101A</w:t>
            </w:r>
            <w:r w:rsidRPr="00E91E3E">
              <w:tab/>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Use instrumentation drawings, specification, standards and equipment manuals</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UEENEEI102A</w:t>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 xml:space="preserve">Solve problems in pressure measurement components and systems </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UEENEEI103A</w:t>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Solve problems in density/level measurement components and systems</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UEENEEI104A</w:t>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Solve p</w:t>
            </w:r>
            <w:r w:rsidRPr="00E91E3E">
              <w:t>roblems in flow measurement components and systems</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UEENEEI105A</w:t>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Solve problems in temperature measurement components and systems</w:t>
            </w:r>
          </w:p>
        </w:tc>
      </w:tr>
      <w:tr w:rsidTr="00F422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UEENEEI110A</w:t>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Set up and adjust advanced PID process control loops</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UEENEEI106A</w:t>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Set up and adjust PID control loops</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Electrical Pathway Group</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UEENEEG101A</w:t>
            </w:r>
            <w:r w:rsidRPr="00E91E3E">
              <w:tab/>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Solve problems in electromagnetic devices and related circuits</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UEENEEG102A</w:t>
            </w:r>
          </w:p>
        </w:tc>
        <w:tc>
          <w:tcPr>
            <w:tcW w:w="42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Solve problems in low voltage a.c. circuits</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Instrumentation and Control Pathway Group</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 xml:space="preserve">UEENEEE119A </w:t>
            </w:r>
            <w:r w:rsidRPr="00E91E3E">
              <w:tab/>
            </w:r>
          </w:p>
        </w:tc>
        <w:tc>
          <w:tcPr>
            <w:tcW w:w="423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Solve problems in multiple path extra low voltage (ELV) a.c. circuits</w:t>
            </w:r>
          </w:p>
        </w:tc>
      </w:tr>
    </w:tbl>
    <w:p w:rsidR="00000000" w:rsidRPr="00E91E3E" w:rsidP="00E91E3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422B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 xml:space="preserve">4.2) </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Participants are best equipped to achieve competency in this unit if they have reading, writing and numeracy skills indicated by the following scales. Description of each scale is given in Volume 2, Part 3 ‘Literacy and Numeracy’</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Reading</w:t>
            </w:r>
          </w:p>
        </w:tc>
        <w:tc>
          <w:tcPr>
            <w:tcW w:w="81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4</w:t>
            </w:r>
          </w:p>
        </w:tc>
        <w:tc>
          <w:tcPr>
            <w:tcW w:w="99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Writing</w:t>
            </w: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4</w:t>
            </w:r>
          </w:p>
        </w:tc>
        <w:tc>
          <w:tcPr>
            <w:tcW w:w="12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Numeracy</w:t>
            </w:r>
          </w:p>
        </w:tc>
        <w:tc>
          <w:tcPr>
            <w:tcW w:w="72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4</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6" w:name="O_589161"/>
      <w:bookmarkEnd w:id="6"/>
      <w:r w:rsidRPr="00E91E3E">
        <w:t>Employability Skills Information</w:t>
      </w:r>
    </w:p>
    <w:tbl>
      <w:tblPr>
        <w:tblW w:w="0" w:type="auto"/>
        <w:tblLayout w:type="fixed"/>
        <w:tblCellMar>
          <w:left w:w="62" w:type="dxa"/>
          <w:right w:w="62" w:type="dxa"/>
        </w:tblCellMar>
        <w:tblLook w:val="0000"/>
      </w:tblPr>
      <w:tblGrid>
        <w:gridCol w:w="2700"/>
        <w:gridCol w:w="5760"/>
      </w:tblGrid>
      <w:tr w:rsidTr="00F422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 xml:space="preserve">5) </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This unit contains Employability Skills</w:t>
            </w:r>
          </w:p>
          <w:p w:rsidR="00000000" w:rsidRPr="00E91E3E" w:rsidP="00E91E3E">
            <w:pPr>
              <w:pStyle w:val="BodyText"/>
            </w:pPr>
            <w:r w:rsidRPr="00E91E3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91E3E">
              <w:t>requirements.</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7" w:name="O_589160"/>
      <w:bookmarkEnd w:id="7"/>
      <w:r w:rsidRPr="00E91E3E">
        <w:t>Elements and Performance Criteria Pre-Content</w:t>
      </w:r>
    </w:p>
    <w:tbl>
      <w:tblPr>
        <w:tblW w:w="0" w:type="auto"/>
        <w:tblLayout w:type="fixed"/>
        <w:tblCellMar>
          <w:left w:w="62" w:type="dxa"/>
          <w:right w:w="62" w:type="dxa"/>
        </w:tblCellMar>
        <w:tblLook w:val="0000"/>
      </w:tblPr>
      <w:tblGrid>
        <w:gridCol w:w="2700"/>
        <w:gridCol w:w="5760"/>
      </w:tblGrid>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6)</w:t>
            </w:r>
            <w:r w:rsidRPr="00E91E3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Performance Criteria describe the required performance needed to demonstrate achievement of the element</w:t>
            </w:r>
            <w:r w:rsidRPr="00E91E3E">
              <w:t>. Assessment of performance is to be consistent with the Evidence Guide.</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8" w:name="O_589159"/>
      <w:bookmarkEnd w:id="8"/>
      <w:r w:rsidRPr="00E91E3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422B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PERFORMANCE CRITERIA</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1</w:t>
            </w:r>
          </w:p>
        </w:tc>
        <w:tc>
          <w:tcPr>
            <w:tcW w:w="2296" w:type="dxa"/>
            <w:vMerge w:val="restart"/>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Prepare to set-up and configure HMI and industrial networks</w:t>
            </w: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1.1</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The extent and nature of the control system is determined from job specifications.</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1.2</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Safety and other regulatory requirements to which the control system shall comply are identified, obtained and understood</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1.3</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Control apparatus and interconnect</w:t>
            </w:r>
            <w:r w:rsidRPr="00E91E3E">
              <w:t>ing components need for the control system and how they are arranged is determined from job specifications and knowledge of process control systems.</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2</w:t>
            </w:r>
          </w:p>
        </w:tc>
        <w:tc>
          <w:tcPr>
            <w:tcW w:w="2296" w:type="dxa"/>
            <w:vMerge w:val="restart"/>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Set-up and configure HMI and industrial networks</w:t>
            </w: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2.1</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Manufacturer’s specifications and limitations of ap</w:t>
            </w:r>
            <w:r w:rsidRPr="00E91E3E">
              <w:t>propriate control apparatus is sought and comparisons made with process parameters and control requirements.</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2.2</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Control apparatus is selected on compatibility with process parameters and control requirements and environmental conditions.</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2.3</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Evidence of specified apparatus IP rating is sought from manufacturer where necessary.</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2.4</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 xml:space="preserve">Control valves are selected based on percentage travel, flow and loop-and-process characteristics, optimum size, range ability, ability to </w:t>
            </w:r>
            <w:r w:rsidRPr="00E91E3E">
              <w:t>cope with process pressures and environmental considerations.</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3</w:t>
            </w:r>
          </w:p>
        </w:tc>
        <w:tc>
          <w:tcPr>
            <w:tcW w:w="2296" w:type="dxa"/>
            <w:vMerge w:val="restart"/>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Select interconnecting cabling and tubing/piping</w:t>
            </w: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3.1</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Types of control cabling and their configuration are selected to meet environmental conditions and interconnection requirements.</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3.2</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Tu</w:t>
            </w:r>
            <w:r w:rsidRPr="00E91E3E">
              <w:t xml:space="preserve">bing/piping and accessories are sized to meet capacity and pressure requirements </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3.3</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Route lengths of cable and tubing/piping are determined from site drawings.</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4</w:t>
            </w:r>
          </w:p>
        </w:tc>
        <w:tc>
          <w:tcPr>
            <w:tcW w:w="2296"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 xml:space="preserve">Document process control system </w:t>
            </w: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4.1</w:t>
            </w:r>
          </w:p>
        </w:tc>
        <w:tc>
          <w:tcPr>
            <w:tcW w:w="48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Reasons for selections made, including calculations, are documented in accordance with established procedures.</w:t>
            </w:r>
          </w:p>
        </w:tc>
      </w:tr>
      <w:tr w:rsidTr="00F422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4.2</w:t>
            </w:r>
          </w:p>
        </w:tc>
        <w:tc>
          <w:tcPr>
            <w:tcW w:w="486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Process control system arrange and specifications for all selected items are documented in accordance with established procedures and forw</w:t>
            </w:r>
            <w:r w:rsidRPr="00E91E3E">
              <w:t>arded to appropriate person(s).</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9" w:name="O_589158"/>
      <w:bookmarkEnd w:id="9"/>
      <w:r w:rsidRPr="00E91E3E">
        <w:t>Required Skills and Knowledge</w:t>
      </w:r>
    </w:p>
    <w:tbl>
      <w:tblPr>
        <w:tblW w:w="0" w:type="auto"/>
        <w:tblLayout w:type="fixed"/>
        <w:tblCellMar>
          <w:left w:w="62" w:type="dxa"/>
          <w:right w:w="62" w:type="dxa"/>
        </w:tblCellMar>
        <w:tblLook w:val="0000"/>
      </w:tblPr>
      <w:tblGrid>
        <w:gridCol w:w="1440"/>
        <w:gridCol w:w="7020"/>
      </w:tblGrid>
      <w:tr w:rsidTr="00F422B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REQUIRED SKILLS AND KNOWLEDGE</w:t>
            </w:r>
          </w:p>
        </w:tc>
      </w:tr>
      <w:tr w:rsidTr="00F422BD">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8)</w:t>
            </w:r>
            <w:r w:rsidRPr="00E91E3E">
              <w:t xml:space="preserve"> This describes the required skills and knowledge and their level, required for this unit.</w:t>
            </w:r>
          </w:p>
          <w:p w:rsidR="00000000" w:rsidRPr="00E91E3E" w:rsidP="00E91E3E">
            <w:pPr>
              <w:pStyle w:val="BodyText"/>
            </w:pPr>
            <w:r w:rsidRPr="00E91E3E">
              <w:t xml:space="preserve">Evidence shall show that knowledge has been acquired of safe working practices and selecting equipment for process control systems. </w:t>
            </w:r>
          </w:p>
          <w:p w:rsidR="00000000" w:rsidP="00E91E3E">
            <w:pPr>
              <w:pStyle w:val="BodyText"/>
              <w:rPr>
                <w:lang w:val="en-NZ"/>
              </w:rPr>
            </w:pPr>
            <w:r w:rsidRPr="00E91E3E">
              <w:t>All knowledge and skills detailed in this unit should be contextualised to current industry practices and technologies.</w:t>
            </w:r>
          </w:p>
        </w:tc>
      </w:tr>
      <w:tr w:rsidTr="00F422BD">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KS01-EI113A</w:t>
            </w:r>
          </w:p>
        </w:tc>
        <w:tc>
          <w:tcPr>
            <w:tcW w:w="70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HMI and industrial networks</w:t>
            </w:r>
          </w:p>
        </w:tc>
      </w:tr>
      <w:tr w:rsidTr="00F42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Evidence shall show an understanding of HMI interfacing and industrial networks to an extent indicated by the following aspects:</w:t>
            </w:r>
          </w:p>
        </w:tc>
      </w:tr>
      <w:tr w:rsidTr="00F42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T1</w:t>
            </w:r>
          </w:p>
        </w:tc>
        <w:tc>
          <w:tcPr>
            <w:tcW w:w="702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Purpose and application of control system networks systems:</w:t>
            </w:r>
          </w:p>
          <w:p w:rsidR="00000000" w:rsidRPr="00E91E3E" w:rsidP="00E91E3E">
            <w:pPr>
              <w:pStyle w:val="ListBullet2"/>
            </w:pPr>
            <w:r w:rsidRPr="00E91E3E">
              <w:t>Open and common prop</w:t>
            </w:r>
            <w:r w:rsidRPr="00E91E3E">
              <w:t>rietary control system networks models (layers) and protocols - CANopen, ControlNet, Devicenet, Ethernet, Foundation Fieldbus, Interbus, Modbus, and Pofibus.</w:t>
            </w:r>
          </w:p>
          <w:p w:rsidR="00000000" w:rsidRPr="00E91E3E" w:rsidP="00E91E3E">
            <w:pPr>
              <w:pStyle w:val="ListBullet2"/>
            </w:pPr>
            <w:r w:rsidRPr="00E91E3E">
              <w:t>Control system networks interface.</w:t>
            </w:r>
          </w:p>
          <w:p w:rsidR="00000000" w:rsidRPr="00E91E3E" w:rsidP="00E91E3E">
            <w:pPr>
              <w:pStyle w:val="ListBullet2"/>
            </w:pPr>
            <w:r w:rsidRPr="00E91E3E">
              <w:t>Common types of signal conditioning, instruments encompassing:</w:t>
            </w:r>
          </w:p>
          <w:p w:rsidR="00000000" w:rsidRPr="00E91E3E" w:rsidP="00E91E3E">
            <w:pPr>
              <w:pStyle w:val="ListBullet2"/>
            </w:pPr>
            <w:r w:rsidRPr="00E91E3E">
              <w:t>principles of operation signal conditioners and instruments</w:t>
            </w:r>
          </w:p>
          <w:p w:rsidR="00000000" w:rsidP="00E91E3E">
            <w:pPr>
              <w:pStyle w:val="ListBullet2"/>
              <w:rPr>
                <w:lang w:val="en-NZ"/>
              </w:rPr>
            </w:pPr>
            <w:r w:rsidRPr="00E91E3E">
              <w:t>isolators and protection equipment.</w:t>
            </w:r>
          </w:p>
        </w:tc>
      </w:tr>
      <w:tr w:rsidTr="00F42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T2</w:t>
            </w:r>
          </w:p>
        </w:tc>
        <w:tc>
          <w:tcPr>
            <w:tcW w:w="702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Analogue and digital signals encompassing:</w:t>
            </w:r>
          </w:p>
          <w:p w:rsidR="00000000" w:rsidRPr="00E91E3E" w:rsidP="00E91E3E">
            <w:pPr>
              <w:pStyle w:val="ListBullet2"/>
            </w:pPr>
            <w:r w:rsidRPr="00E91E3E">
              <w:t>structure of a typical message block.</w:t>
            </w:r>
          </w:p>
          <w:p w:rsidR="00000000" w:rsidRPr="00E91E3E" w:rsidP="00E91E3E">
            <w:pPr>
              <w:pStyle w:val="ListBullet2"/>
            </w:pPr>
            <w:r w:rsidRPr="00E91E3E">
              <w:t>differences between analogue and digital signals.</w:t>
            </w:r>
          </w:p>
          <w:p w:rsidR="00000000" w:rsidRPr="00E91E3E" w:rsidP="00E91E3E">
            <w:pPr>
              <w:pStyle w:val="ListBullet2"/>
            </w:pPr>
            <w:r w:rsidRPr="00E91E3E">
              <w:t>typical message block us</w:t>
            </w:r>
            <w:r w:rsidRPr="00E91E3E">
              <w:t>ed with a digital telemetry systems.</w:t>
            </w:r>
          </w:p>
          <w:p w:rsidR="00000000" w:rsidP="00E91E3E">
            <w:pPr>
              <w:pStyle w:val="ListBullet2"/>
              <w:rPr>
                <w:lang w:val="en-NZ"/>
              </w:rPr>
            </w:pPr>
            <w:r w:rsidRPr="00E91E3E">
              <w:t>Types of transmission links,</w:t>
            </w:r>
          </w:p>
        </w:tc>
      </w:tr>
      <w:tr w:rsidTr="00F42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T3</w:t>
            </w:r>
          </w:p>
        </w:tc>
        <w:tc>
          <w:tcPr>
            <w:tcW w:w="702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Telemetry overview encompassing:</w:t>
            </w:r>
          </w:p>
          <w:p w:rsidR="00000000" w:rsidRPr="00E91E3E" w:rsidP="00E91E3E">
            <w:pPr>
              <w:pStyle w:val="ListBullet2"/>
            </w:pPr>
            <w:r w:rsidRPr="00E91E3E">
              <w:t>Definition</w:t>
            </w:r>
          </w:p>
          <w:p w:rsidR="00000000" w:rsidRPr="00E91E3E" w:rsidP="00E91E3E">
            <w:pPr>
              <w:pStyle w:val="ListBullet2"/>
            </w:pPr>
            <w:r w:rsidRPr="00E91E3E">
              <w:t>Applications</w:t>
            </w:r>
          </w:p>
          <w:p w:rsidR="00000000" w:rsidRPr="00E91E3E" w:rsidP="00E91E3E">
            <w:pPr>
              <w:pStyle w:val="ListBullet2"/>
            </w:pPr>
            <w:r w:rsidRPr="00E91E3E">
              <w:t>Basic principle of operation</w:t>
            </w:r>
          </w:p>
          <w:p w:rsidR="00000000" w:rsidP="00E91E3E">
            <w:pPr>
              <w:pStyle w:val="ListBullet2"/>
              <w:rPr>
                <w:lang w:val="en-NZ"/>
              </w:rPr>
            </w:pPr>
            <w:r w:rsidRPr="00E91E3E">
              <w:t>Telemetry standards</w:t>
            </w:r>
          </w:p>
        </w:tc>
      </w:tr>
      <w:tr w:rsidTr="00F42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T4</w:t>
            </w:r>
          </w:p>
        </w:tc>
        <w:tc>
          <w:tcPr>
            <w:tcW w:w="702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Telemetry Components encompassing:</w:t>
            </w:r>
          </w:p>
          <w:p w:rsidR="00000000" w:rsidRPr="00E91E3E" w:rsidP="00E91E3E">
            <w:pPr>
              <w:pStyle w:val="ListBullet2"/>
            </w:pPr>
            <w:r w:rsidRPr="00E91E3E">
              <w:t>Analog signals</w:t>
            </w:r>
          </w:p>
          <w:p w:rsidR="00000000" w:rsidRPr="00E91E3E" w:rsidP="00E91E3E">
            <w:pPr>
              <w:pStyle w:val="ListBullet2"/>
            </w:pPr>
            <w:r w:rsidRPr="00E91E3E">
              <w:t>Digital signals</w:t>
            </w:r>
          </w:p>
          <w:p w:rsidR="00000000" w:rsidRPr="00E91E3E" w:rsidP="00E91E3E">
            <w:pPr>
              <w:pStyle w:val="ListBullet2"/>
            </w:pPr>
            <w:r w:rsidRPr="00E91E3E">
              <w:t>Signal conditioning</w:t>
            </w:r>
          </w:p>
          <w:p w:rsidR="00000000" w:rsidRPr="00E91E3E" w:rsidP="00E91E3E">
            <w:pPr>
              <w:pStyle w:val="ListBullet2"/>
            </w:pPr>
            <w:r w:rsidRPr="00E91E3E">
              <w:t>Control system networks</w:t>
            </w:r>
          </w:p>
          <w:p w:rsidR="00000000" w:rsidP="00E91E3E">
            <w:pPr>
              <w:pStyle w:val="ListBullet2"/>
              <w:rPr>
                <w:lang w:val="en-NZ"/>
              </w:rPr>
            </w:pPr>
            <w:r w:rsidRPr="00E91E3E">
              <w:t xml:space="preserve">Connection/link types </w:t>
            </w:r>
          </w:p>
        </w:tc>
      </w:tr>
      <w:tr w:rsidTr="00F42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T5</w:t>
            </w:r>
          </w:p>
        </w:tc>
        <w:tc>
          <w:tcPr>
            <w:tcW w:w="702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Telemetry Systems encompassing:</w:t>
            </w:r>
          </w:p>
          <w:p w:rsidR="00000000" w:rsidRPr="00E91E3E" w:rsidP="00E91E3E">
            <w:pPr>
              <w:pStyle w:val="ListBullet2"/>
            </w:pPr>
            <w:r w:rsidRPr="00E91E3E">
              <w:t>Pneumatic</w:t>
            </w:r>
          </w:p>
          <w:p w:rsidR="00000000" w:rsidRPr="00E91E3E" w:rsidP="00E91E3E">
            <w:pPr>
              <w:pStyle w:val="ListBullet2"/>
            </w:pPr>
            <w:r w:rsidRPr="00E91E3E">
              <w:t>Current</w:t>
            </w:r>
          </w:p>
          <w:p w:rsidR="00000000" w:rsidRPr="00E91E3E" w:rsidP="00E91E3E">
            <w:pPr>
              <w:pStyle w:val="ListBullet2"/>
            </w:pPr>
            <w:r w:rsidRPr="00E91E3E">
              <w:t>Digital</w:t>
            </w:r>
          </w:p>
          <w:p w:rsidR="00000000" w:rsidRPr="00E91E3E" w:rsidP="00E91E3E">
            <w:pPr>
              <w:pStyle w:val="ListBullet2"/>
            </w:pPr>
            <w:r w:rsidRPr="00E91E3E">
              <w:t>Wireless</w:t>
            </w:r>
          </w:p>
          <w:p w:rsidR="00000000" w:rsidRPr="00E91E3E" w:rsidP="00E91E3E">
            <w:pPr>
              <w:pStyle w:val="ListBullet2"/>
            </w:pPr>
            <w:r w:rsidRPr="00E91E3E">
              <w:t>Microwave</w:t>
            </w:r>
          </w:p>
          <w:p w:rsidR="00000000" w:rsidRPr="00E91E3E" w:rsidP="00E91E3E">
            <w:pPr>
              <w:pStyle w:val="ListBullet2"/>
            </w:pPr>
            <w:r w:rsidRPr="00E91E3E">
              <w:t>Optical</w:t>
            </w:r>
          </w:p>
          <w:p w:rsidR="00000000" w:rsidP="00E91E3E">
            <w:pPr>
              <w:pStyle w:val="ListBullet2"/>
              <w:rPr>
                <w:lang w:val="en-NZ"/>
              </w:rPr>
            </w:pPr>
            <w:r w:rsidRPr="00E91E3E">
              <w:t>Data Bus</w:t>
            </w:r>
          </w:p>
        </w:tc>
      </w:tr>
      <w:tr w:rsidTr="00F42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T6</w:t>
            </w:r>
          </w:p>
        </w:tc>
        <w:tc>
          <w:tcPr>
            <w:tcW w:w="702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Telemetry Installation encompassing:</w:t>
            </w:r>
          </w:p>
          <w:p w:rsidR="00000000" w:rsidRPr="00E91E3E" w:rsidP="00E91E3E">
            <w:pPr>
              <w:pStyle w:val="ListBullet2"/>
            </w:pPr>
            <w:r w:rsidRPr="00E91E3E">
              <w:t>System selection</w:t>
            </w:r>
          </w:p>
          <w:p w:rsidR="00000000" w:rsidRPr="00E91E3E" w:rsidP="00E91E3E">
            <w:pPr>
              <w:pStyle w:val="ListBullet2"/>
            </w:pPr>
            <w:r w:rsidRPr="00E91E3E">
              <w:t xml:space="preserve">Hardware – </w:t>
            </w:r>
          </w:p>
          <w:p w:rsidR="00000000" w:rsidRPr="00E91E3E" w:rsidP="00E91E3E">
            <w:pPr>
              <w:pStyle w:val="ListBullet2"/>
            </w:pPr>
            <w:r w:rsidRPr="00E91E3E">
              <w:t>Types of cable, connectors, sources and detectors used in a fibre optic telemetry system</w:t>
            </w:r>
          </w:p>
          <w:p w:rsidR="00000000" w:rsidRPr="00E91E3E" w:rsidP="00E91E3E">
            <w:pPr>
              <w:pStyle w:val="ListBullet2"/>
            </w:pPr>
            <w:r w:rsidRPr="00E91E3E">
              <w:t>Interconnection requirements</w:t>
            </w:r>
          </w:p>
          <w:p w:rsidR="00000000" w:rsidRPr="00E91E3E" w:rsidP="00E91E3E">
            <w:pPr>
              <w:pStyle w:val="ListBullet2"/>
            </w:pPr>
            <w:r w:rsidRPr="00E91E3E">
              <w:t>Calibration/configuration</w:t>
            </w:r>
          </w:p>
          <w:p w:rsidR="00000000" w:rsidP="00E91E3E">
            <w:pPr>
              <w:pStyle w:val="ListBullet2"/>
              <w:rPr>
                <w:lang w:val="en-NZ"/>
              </w:rPr>
            </w:pPr>
            <w:r w:rsidRPr="00E91E3E">
              <w:t>System testing.</w:t>
            </w:r>
          </w:p>
        </w:tc>
      </w:tr>
      <w:tr w:rsidTr="00F422B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T7</w:t>
            </w:r>
          </w:p>
        </w:tc>
        <w:tc>
          <w:tcPr>
            <w:tcW w:w="702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Distributive control principles (DCS) encompassing:</w:t>
            </w:r>
          </w:p>
          <w:p w:rsidR="00000000" w:rsidRPr="00E91E3E" w:rsidP="00E91E3E">
            <w:pPr>
              <w:pStyle w:val="ListBullet2"/>
            </w:pPr>
            <w:r w:rsidRPr="00E91E3E">
              <w:t>Concepts of a DCS</w:t>
            </w:r>
          </w:p>
          <w:p w:rsidR="00000000" w:rsidRPr="00E91E3E" w:rsidP="00E91E3E">
            <w:pPr>
              <w:pStyle w:val="ListBullet2"/>
            </w:pPr>
            <w:r w:rsidRPr="00E91E3E">
              <w:t>differences between hierarchical and distributive systems.</w:t>
            </w:r>
          </w:p>
          <w:p w:rsidR="00000000" w:rsidRPr="00E91E3E" w:rsidP="00E91E3E">
            <w:pPr>
              <w:pStyle w:val="ListBullet2"/>
            </w:pPr>
            <w:r w:rsidRPr="00E91E3E">
              <w:t>Functional and geographical distribution.</w:t>
            </w:r>
          </w:p>
          <w:p w:rsidR="00000000" w:rsidRPr="00E91E3E" w:rsidP="00E91E3E">
            <w:pPr>
              <w:pStyle w:val="ListBullet2"/>
            </w:pPr>
            <w:r w:rsidRPr="00E91E3E">
              <w:t>Individual features of a DCS -</w:t>
            </w:r>
          </w:p>
          <w:p w:rsidR="00000000" w:rsidRPr="00E91E3E" w:rsidP="00E91E3E">
            <w:pPr>
              <w:pStyle w:val="ListBullet2"/>
            </w:pPr>
            <w:r w:rsidRPr="00E91E3E">
              <w:t>Major components in a DCS</w:t>
            </w:r>
          </w:p>
          <w:p w:rsidR="00000000" w:rsidRPr="00E91E3E" w:rsidP="00E91E3E">
            <w:pPr>
              <w:pStyle w:val="ListBullet2"/>
            </w:pPr>
            <w:r w:rsidRPr="00E91E3E">
              <w:t>historical and managerial data collection</w:t>
            </w:r>
          </w:p>
          <w:p w:rsidR="00000000" w:rsidRPr="00E91E3E" w:rsidP="00E91E3E">
            <w:pPr>
              <w:pStyle w:val="ListBullet2"/>
            </w:pPr>
            <w:r w:rsidRPr="00E91E3E">
              <w:t>type and form of information at the operator and enginee</w:t>
            </w:r>
            <w:r w:rsidRPr="00E91E3E">
              <w:t>ring interface levels - programmable logic controllers, SCADA/touch screen systems, system server and smart devices connected by a control network.</w:t>
            </w:r>
          </w:p>
          <w:p w:rsidR="00000000" w:rsidRPr="00E91E3E" w:rsidP="00E91E3E">
            <w:pPr>
              <w:pStyle w:val="ListBullet2"/>
            </w:pPr>
            <w:r w:rsidRPr="00E91E3E">
              <w:t xml:space="preserve">Function block technology to design control algorithm - various loop types, using function block technology </w:t>
            </w:r>
            <w:r w:rsidRPr="00E91E3E">
              <w:t>from an available DCS.</w:t>
            </w:r>
          </w:p>
          <w:p w:rsidR="00000000" w:rsidRPr="00E91E3E" w:rsidP="00E91E3E">
            <w:pPr>
              <w:pStyle w:val="ListBullet2"/>
            </w:pPr>
            <w:r w:rsidRPr="00E91E3E">
              <w:t>Optimum control of a variety of process loops.</w:t>
            </w:r>
          </w:p>
          <w:p w:rsidR="00000000" w:rsidRPr="00E91E3E" w:rsidP="00E91E3E">
            <w:pPr>
              <w:pStyle w:val="ListBullet2"/>
            </w:pPr>
            <w:r w:rsidRPr="00E91E3E">
              <w:t>Connection of field instrumentation for selected control operation and diagnostic checking to ensure correct operation of system.</w:t>
            </w:r>
          </w:p>
          <w:p w:rsidR="00000000" w:rsidRPr="00E91E3E" w:rsidP="00E91E3E">
            <w:pPr>
              <w:pStyle w:val="ListBullet2"/>
            </w:pPr>
            <w:r w:rsidRPr="00E91E3E">
              <w:t>On-line changes to parameters in a DCS with minimum interference to controlled variable</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10" w:name="O_589157"/>
      <w:bookmarkEnd w:id="10"/>
      <w:r w:rsidRPr="00E91E3E">
        <w:t>Evidence Guide</w:t>
      </w:r>
    </w:p>
    <w:tbl>
      <w:tblPr>
        <w:tblW w:w="0" w:type="auto"/>
        <w:tblLayout w:type="fixed"/>
        <w:tblCellMar>
          <w:left w:w="62" w:type="dxa"/>
          <w:right w:w="62" w:type="dxa"/>
        </w:tblCellMar>
        <w:tblLook w:val="0000"/>
      </w:tblPr>
      <w:tblGrid>
        <w:gridCol w:w="8460"/>
      </w:tblGrid>
      <w:tr w:rsidTr="00F422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EVIDENCE GUIDE</w:t>
            </w:r>
          </w:p>
        </w:tc>
      </w:tr>
      <w:tr w:rsidTr="00F42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9)</w:t>
            </w:r>
            <w:r w:rsidRPr="00E91E3E">
              <w:t xml:space="preserve"> The evidence guide provides advice on assessment and must be read in conjunction with the Performance </w:t>
            </w:r>
            <w:r w:rsidRPr="00E91E3E">
              <w:t>Criteria, Required Skills and Knowledge, the Range Statement and the Assessment Guidelines for this Training Package.</w:t>
            </w:r>
          </w:p>
          <w:p w:rsidR="00000000" w:rsidRPr="00E91E3E" w:rsidP="00E91E3E">
            <w:pPr>
              <w:pStyle w:val="BodyText"/>
            </w:pPr>
            <w:r w:rsidRPr="00E91E3E">
              <w:t>The Evidence Guide forms an integral part of this unit. It must be used in conjunction with all parts of the unit and performed in accorda</w:t>
            </w:r>
            <w:r w:rsidRPr="00E91E3E">
              <w:t>nce with the Assessment Guidelines of this Training Package.</w:t>
            </w:r>
          </w:p>
        </w:tc>
      </w:tr>
    </w:tbl>
    <w:p w:rsidR="00000000" w:rsidRPr="00E91E3E" w:rsidP="00E91E3E">
      <w:pPr>
        <w:pStyle w:val="BodyText"/>
      </w:pPr>
    </w:p>
    <w:tbl>
      <w:tblPr>
        <w:tblW w:w="0" w:type="auto"/>
        <w:tblLayout w:type="fixed"/>
        <w:tblCellMar>
          <w:left w:w="62" w:type="dxa"/>
          <w:right w:w="62" w:type="dxa"/>
        </w:tblCellMar>
        <w:tblLook w:val="0000"/>
      </w:tblPr>
      <w:tblGrid>
        <w:gridCol w:w="1890"/>
        <w:gridCol w:w="6570"/>
      </w:tblGrid>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9.1)</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Longitudinal competency development approaches to assessment, such as Profiling, require data to be reliably gathered in a form that can be consistently interprete</w:t>
            </w:r>
            <w:r w:rsidRPr="00E91E3E">
              <w:t>d over time. This approach is best utilised in Apprenticeship programs and reduces assessment intervention. It is the industry-preferred model for apprenticeships. However, where summative (or final) assessment is used it is to include the application of t</w:t>
            </w:r>
            <w:r w:rsidRPr="00E91E3E">
              <w:t>he competency in the normal work environment or, at a minimum, the application of the competency in a realistically simulated work environment. In some circumstances, assessment in part or full can occur outside the workplace. However, it must be in accord</w:t>
            </w:r>
            <w:r w:rsidRPr="00E91E3E">
              <w:t>ance with industry and regulatory policy.</w:t>
            </w:r>
          </w:p>
          <w:p w:rsidR="00000000" w:rsidRPr="00E91E3E" w:rsidP="00E91E3E">
            <w:pPr>
              <w:pStyle w:val="BodyText"/>
            </w:pPr>
            <w:r w:rsidRPr="00E91E3E">
              <w:t>Methods chosen for a particular assessment will be influenced by various factors. These include the extent of the assessment, the most effective locations for the assessment activities to take place, access to phys</w:t>
            </w:r>
            <w:r w:rsidRPr="00E91E3E">
              <w:t>ical resources, additional safety measures that may be required and the critical nature of the competencies being assessed.</w:t>
            </w:r>
          </w:p>
          <w:p w:rsidR="00000000" w:rsidRPr="00E91E3E" w:rsidP="00E91E3E">
            <w:pPr>
              <w:pStyle w:val="BodyText"/>
            </w:pPr>
            <w:r w:rsidRPr="00E91E3E">
              <w:t xml:space="preserve">The critical safety nature of working with electricity, electrical equipment, gas or any other hazardous substance/material carries </w:t>
            </w:r>
            <w:r w:rsidRPr="00E91E3E">
              <w:t>risk in deeming a person competent. Sources of evidence need to be ‘rich’ in nature to minimise error in judgment.</w:t>
            </w:r>
          </w:p>
          <w:p w:rsidR="00000000" w:rsidRPr="00E91E3E" w:rsidP="00E91E3E">
            <w:pPr>
              <w:pStyle w:val="BodyText"/>
            </w:pPr>
            <w:r w:rsidRPr="00E91E3E">
              <w:t>Activities associated with normal everyday work influence how/how much the data gathered will contribute to its ‘richness’</w:t>
            </w:r>
            <w:r w:rsidRPr="00E91E3E">
              <w:t>. Some skills are more critical to safety and operational requirements while the same skills may be more or less frequently practised. These points are raised for the assessors to consider when choosing an assessment method and developing assessment instru</w:t>
            </w:r>
            <w:r w:rsidRPr="00E91E3E">
              <w:t>ments. Sample assessment instruments are included for Assessors in the Assessment Guidelines of this Training Package.</w:t>
            </w:r>
          </w:p>
        </w:tc>
      </w:tr>
    </w:tbl>
    <w:p w:rsidR="00000000" w:rsidRPr="00E91E3E" w:rsidP="00E91E3E">
      <w:pPr>
        <w:pStyle w:val="BodyText"/>
      </w:pPr>
    </w:p>
    <w:tbl>
      <w:tblPr>
        <w:tblW w:w="0" w:type="auto"/>
        <w:tblLayout w:type="fixed"/>
        <w:tblCellMar>
          <w:left w:w="62" w:type="dxa"/>
          <w:right w:w="62" w:type="dxa"/>
        </w:tblCellMar>
        <w:tblLook w:val="0000"/>
      </w:tblPr>
      <w:tblGrid>
        <w:gridCol w:w="1890"/>
        <w:gridCol w:w="1530"/>
        <w:gridCol w:w="5040"/>
      </w:tblGrid>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9.2)</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Before the critical aspects of evidence are consid</w:t>
            </w:r>
            <w:r w:rsidRPr="00E91E3E">
              <w:t>ered all prerequisites must be met.</w:t>
            </w:r>
          </w:p>
          <w:p w:rsidR="00000000" w:rsidRPr="00E91E3E" w:rsidP="00E91E3E">
            <w:pPr>
              <w:pStyle w:val="BodyText"/>
            </w:pPr>
            <w:r w:rsidRPr="00E91E3E">
              <w:t>Evidence for competence in this unit shall be considered holistically.  Each Element and associated performance criteria must be demonstrated on at least two occasions in accordance with the ‘Assessment Guidelines – UEE1</w:t>
            </w:r>
            <w:r w:rsidRPr="00E91E3E">
              <w:t>1’.  Evidence shall also comprise:</w:t>
            </w:r>
          </w:p>
          <w:p w:rsidR="00000000" w:rsidRPr="00E91E3E" w:rsidP="00E91E3E">
            <w:pPr>
              <w:pStyle w:val="ListBullet"/>
            </w:pPr>
            <w:r w:rsidRPr="00E91E3E">
              <w:t>A representative body of work performance demonstrated within the timeframes typically expected of the discipline, work function and industrial environment. In particular this shall incorporate evidence that shows a cand</w:t>
            </w:r>
            <w:r w:rsidRPr="00E91E3E">
              <w:t>idate is able to:</w:t>
            </w:r>
          </w:p>
          <w:p w:rsidR="00000000" w:rsidRPr="00E91E3E" w:rsidP="00E91E3E">
            <w:pPr>
              <w:pStyle w:val="ListBullet2"/>
            </w:pPr>
            <w:r w:rsidRPr="00E91E3E">
              <w:t>Implement Occupational Health and Safety workplace procedures and practices, including the use of risk control measures as specified in the performance criteria and range statement</w:t>
            </w:r>
          </w:p>
          <w:p w:rsidR="00000000" w:rsidRPr="00E91E3E" w:rsidP="00E91E3E">
            <w:pPr>
              <w:pStyle w:val="ListBullet2"/>
            </w:pPr>
            <w:r w:rsidRPr="00E91E3E">
              <w:t>Apply sustainable energy principles and practices as specified in the performance criteria and range statement</w:t>
            </w:r>
          </w:p>
          <w:p w:rsidR="00000000" w:rsidRPr="00E91E3E" w:rsidP="00E91E3E">
            <w:pPr>
              <w:pStyle w:val="ListBullet2"/>
            </w:pPr>
            <w:r w:rsidRPr="00E91E3E">
              <w:t xml:space="preserve">Demonstrate an understanding of the required skills and knowledge as described in this unit.  It may be required by some jurisdictions that RTOs </w:t>
            </w:r>
            <w:r w:rsidRPr="00E91E3E">
              <w:t>provide a percentile graded result for the purpose of regulatory or licensing requirements.</w:t>
            </w:r>
          </w:p>
          <w:p w:rsidR="00000000" w:rsidRPr="00E91E3E" w:rsidP="00E91E3E">
            <w:pPr>
              <w:pStyle w:val="ListBullet2"/>
            </w:pPr>
            <w:r w:rsidRPr="00E91E3E">
              <w:t>Demonstrate an appropriate level of skills enabling employment</w:t>
            </w:r>
          </w:p>
          <w:p w:rsidR="00000000" w:rsidRPr="00E91E3E" w:rsidP="00E91E3E">
            <w:pPr>
              <w:pStyle w:val="ListBullet2"/>
            </w:pPr>
            <w:r w:rsidRPr="00E91E3E">
              <w:t>Conduct work observing the relevant Anti Discrimination legislation, regulations, polices and workpla</w:t>
            </w:r>
            <w:r w:rsidRPr="00E91E3E">
              <w:t>ce procedures</w:t>
            </w:r>
          </w:p>
          <w:p w:rsidR="00000000" w:rsidRPr="00E91E3E" w:rsidP="00E91E3E">
            <w:pPr>
              <w:pStyle w:val="ListBullet"/>
            </w:pPr>
            <w:r w:rsidRPr="00E91E3E">
              <w:t>Demonstrated consistent performance across a representative range of contexts from the prescribed items below:</w:t>
            </w:r>
          </w:p>
          <w:p w:rsidR="00000000" w:rsidP="00E91E3E">
            <w:pPr>
              <w:pStyle w:val="ListBullet2"/>
              <w:rPr>
                <w:lang w:val="en-NZ"/>
              </w:rPr>
            </w:pPr>
            <w:r w:rsidRPr="00E91E3E">
              <w:t xml:space="preserve">Setting up and configuring human machine interface and industrial networks for process control systems as listed as described in </w:t>
            </w:r>
            <w:r w:rsidRPr="00E91E3E">
              <w:t>8) and including:</w:t>
            </w:r>
          </w:p>
        </w:tc>
      </w:tr>
      <w:tr w:rsidTr="00F422BD">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A</w:t>
            </w:r>
          </w:p>
        </w:tc>
        <w:tc>
          <w:tcPr>
            <w:tcW w:w="50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Setting up control system to comply with safety and other regulatory requirements and process functions</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B</w:t>
            </w:r>
          </w:p>
        </w:tc>
        <w:tc>
          <w:tcPr>
            <w:tcW w:w="50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Configuring human machine interface control systems</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C</w:t>
            </w:r>
          </w:p>
        </w:tc>
        <w:tc>
          <w:tcPr>
            <w:tcW w:w="50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Setting up industrial networks for control systems</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D</w:t>
            </w:r>
          </w:p>
        </w:tc>
        <w:tc>
          <w:tcPr>
            <w:tcW w:w="50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Documenting control system arrangement, specification for items selected and reasons for the selections made</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E</w:t>
            </w:r>
          </w:p>
        </w:tc>
        <w:tc>
          <w:tcPr>
            <w:tcW w:w="50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Dealing with unplanned events by drawing on required skills and knowledge to provide appropriate solutions incorporated in a holistic assessmen</w:t>
            </w:r>
            <w:r w:rsidRPr="00E91E3E">
              <w:t>t with the above listed items</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 xml:space="preserve">Note: </w:t>
            </w:r>
          </w:p>
          <w:p w:rsidR="00000000" w:rsidRPr="00E91E3E" w:rsidP="00E91E3E">
            <w:pPr>
              <w:pStyle w:val="BodyText"/>
            </w:pPr>
            <w:r w:rsidRPr="00E91E3E">
              <w:t>Successful completion of relevant vendor training may be used to contribute to evidence on which competency is deemed. In these cases the alignment of outcomes of vendor training with performance criteria and critical</w:t>
            </w:r>
            <w:r w:rsidRPr="00E91E3E">
              <w:t xml:space="preserve"> aspects of evidence shall be clearly identified.</w:t>
            </w:r>
          </w:p>
        </w:tc>
      </w:tr>
    </w:tbl>
    <w:p w:rsidR="00000000" w:rsidRPr="00E91E3E" w:rsidP="00E91E3E">
      <w:pPr>
        <w:pStyle w:val="BodyText"/>
      </w:pPr>
    </w:p>
    <w:tbl>
      <w:tblPr>
        <w:tblW w:w="0" w:type="auto"/>
        <w:tblLayout w:type="fixed"/>
        <w:tblCellMar>
          <w:left w:w="62" w:type="dxa"/>
          <w:right w:w="62" w:type="dxa"/>
        </w:tblCellMar>
        <w:tblLook w:val="0000"/>
      </w:tblPr>
      <w:tblGrid>
        <w:gridCol w:w="1890"/>
        <w:gridCol w:w="6570"/>
      </w:tblGrid>
      <w:tr w:rsidTr="00F422B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9.3)</w:t>
            </w:r>
          </w:p>
        </w:tc>
      </w:tr>
      <w:tr w:rsidTr="00F422B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 xml:space="preserve">This unit must be assessed as it relates to normal work practice using procedures, information and resources typical of a workplace. This should </w:t>
            </w:r>
            <w:r w:rsidRPr="00E91E3E">
              <w:t>include:</w:t>
            </w:r>
          </w:p>
          <w:p w:rsidR="00000000" w:rsidRPr="00E91E3E" w:rsidP="00E91E3E">
            <w:pPr>
              <w:pStyle w:val="ListBullet2"/>
            </w:pPr>
            <w:r w:rsidRPr="00E91E3E">
              <w:t>OHS policy and work procedures and instructions.</w:t>
            </w:r>
          </w:p>
          <w:p w:rsidR="00000000" w:rsidRPr="00E91E3E" w:rsidP="00E91E3E">
            <w:pPr>
              <w:pStyle w:val="ListBullet2"/>
            </w:pPr>
            <w:r w:rsidRPr="00E91E3E">
              <w:t>Suitable work environment, facilities, equipment and materials to undertake actual work as prescribed by this unit.</w:t>
            </w:r>
          </w:p>
          <w:p w:rsidR="00000000" w:rsidRPr="00E91E3E" w:rsidP="00E91E3E">
            <w:pPr>
              <w:pStyle w:val="BodyText"/>
            </w:pPr>
            <w:r w:rsidRPr="00E91E3E">
              <w:t>These should be part of the formal learning/assessment environment.</w:t>
            </w:r>
          </w:p>
          <w:p w:rsidR="00000000" w:rsidRPr="00E91E3E" w:rsidP="00E91E3E">
            <w:pPr>
              <w:pStyle w:val="BodyText"/>
            </w:pPr>
            <w:r w:rsidRPr="00E91E3E">
              <w:t>Note:</w:t>
            </w:r>
          </w:p>
          <w:p w:rsidR="00000000" w:rsidRPr="00E91E3E" w:rsidP="00E91E3E">
            <w:pPr>
              <w:pStyle w:val="BodyText"/>
            </w:pPr>
            <w:r w:rsidRPr="00E91E3E">
              <w:t>Where s</w:t>
            </w:r>
            <w:r w:rsidRPr="00E91E3E">
              <w:t>imulation is considered a suitable strategy for assessment, the conditions must be authentic and as far as possible reproduce and replicate the workplace and be consistent with the approved industry simulation policy.</w:t>
            </w:r>
          </w:p>
          <w:p w:rsidR="00000000" w:rsidRPr="00E91E3E" w:rsidP="00E91E3E">
            <w:pPr>
              <w:pStyle w:val="BodyText"/>
            </w:pPr>
            <w:r w:rsidRPr="00E91E3E">
              <w:t>The resources used for assessment shou</w:t>
            </w:r>
            <w:r w:rsidRPr="00E91E3E">
              <w:t>ld reflect current industry practices in relation to selecting equipment for process control systems.</w:t>
            </w:r>
          </w:p>
        </w:tc>
      </w:tr>
    </w:tbl>
    <w:p w:rsidR="00000000" w:rsidRPr="00E91E3E" w:rsidP="00E91E3E">
      <w:pPr>
        <w:pStyle w:val="BodyText"/>
      </w:pPr>
    </w:p>
    <w:tbl>
      <w:tblPr>
        <w:tblW w:w="0" w:type="auto"/>
        <w:tblLayout w:type="fixed"/>
        <w:tblCellMar>
          <w:left w:w="62" w:type="dxa"/>
          <w:right w:w="62" w:type="dxa"/>
        </w:tblCellMar>
        <w:tblLook w:val="0000"/>
      </w:tblPr>
      <w:tblGrid>
        <w:gridCol w:w="1890"/>
        <w:gridCol w:w="6570"/>
      </w:tblGrid>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9.4)</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This unit shall be assessed by methods given in Volume 1, Part 3 ‘Assessment Guidelines’.</w:t>
            </w:r>
          </w:p>
          <w:p w:rsidR="00000000" w:rsidRPr="00E91E3E" w:rsidP="00E91E3E">
            <w:pPr>
              <w:pStyle w:val="BodyText"/>
            </w:pPr>
            <w:r w:rsidRPr="00E91E3E">
              <w:t xml:space="preserve">Note: </w:t>
            </w:r>
          </w:p>
          <w:p w:rsidR="00000000" w:rsidRPr="00E91E3E" w:rsidP="00E91E3E">
            <w:pPr>
              <w:pStyle w:val="BodyText"/>
            </w:pPr>
            <w:r w:rsidRPr="00E91E3E">
              <w:t>Competent performance with inherent safe working practices is expected in the Industry to which this unit applies. This requires assessment in a structured environment which is intended primarily for learning/assessment and incorporates all necessary equip</w:t>
            </w:r>
            <w:r w:rsidRPr="00E91E3E">
              <w:t>ment and facilities for learners to develop and demonstrate the required skills and knowledge described in this unit.</w:t>
            </w:r>
          </w:p>
        </w:tc>
      </w:tr>
    </w:tbl>
    <w:p w:rsidR="00000000" w:rsidRPr="00E91E3E" w:rsidP="00E91E3E">
      <w:pPr>
        <w:pStyle w:val="BodyText"/>
      </w:pPr>
    </w:p>
    <w:tbl>
      <w:tblPr>
        <w:tblW w:w="0" w:type="auto"/>
        <w:tblLayout w:type="fixed"/>
        <w:tblCellMar>
          <w:left w:w="62" w:type="dxa"/>
          <w:right w:w="62" w:type="dxa"/>
        </w:tblCellMar>
        <w:tblLook w:val="0000"/>
      </w:tblPr>
      <w:tblGrid>
        <w:gridCol w:w="1890"/>
        <w:gridCol w:w="1530"/>
        <w:gridCol w:w="5040"/>
      </w:tblGrid>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9.5)</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For optimisation of training and assessment effort, competency develo</w:t>
            </w:r>
            <w:r w:rsidRPr="00E91E3E">
              <w:t>pment in this unit may be arranged concurrently with unit:</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UEENEED101A</w:t>
            </w:r>
          </w:p>
        </w:tc>
        <w:tc>
          <w:tcPr>
            <w:tcW w:w="504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t>Use computer applications relevant to a workplace</w:t>
            </w:r>
          </w:p>
        </w:tc>
      </w:tr>
      <w:tr w:rsidTr="00F422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The critical aspects of occupational health and safety covered in unit UEENEEE101A and other discipline specific occupational heal</w:t>
            </w:r>
            <w:r w:rsidRPr="00E91E3E">
              <w:t>th and safety units shall be incorporated in relation to this unit.</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11" w:name="O_589156"/>
      <w:bookmarkEnd w:id="11"/>
      <w:r w:rsidRPr="00E91E3E">
        <w:t>Range Statement</w:t>
      </w:r>
    </w:p>
    <w:tbl>
      <w:tblPr>
        <w:tblW w:w="0" w:type="auto"/>
        <w:tblLayout w:type="fixed"/>
        <w:tblCellMar>
          <w:left w:w="62" w:type="dxa"/>
          <w:right w:w="62" w:type="dxa"/>
        </w:tblCellMar>
        <w:tblLook w:val="0000"/>
      </w:tblPr>
      <w:tblGrid>
        <w:gridCol w:w="8460"/>
      </w:tblGrid>
      <w:tr w:rsidTr="00F422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RANGE STATEMENT</w:t>
            </w:r>
          </w:p>
        </w:tc>
      </w:tr>
      <w:tr w:rsidTr="00F422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10)</w:t>
            </w:r>
            <w:r w:rsidRPr="00E91E3E">
              <w:t xml:space="preserve"> This relates to the unit as a whole providing the range of contexts and conditions to which the </w:t>
            </w:r>
            <w:r w:rsidRPr="00E91E3E">
              <w:t>performance criteria apply. It allows for different work environments and situations that will affect performance.</w:t>
            </w:r>
          </w:p>
          <w:p w:rsidR="00000000" w:rsidRPr="00E91E3E" w:rsidP="00E91E3E">
            <w:pPr>
              <w:pStyle w:val="BodyText"/>
            </w:pPr>
            <w:r w:rsidRPr="00E91E3E">
              <w:t>This unit must be demonstrated in relation to setting up and configuring human machine interface and industrial networks for two process cont</w:t>
            </w:r>
            <w:r w:rsidRPr="00E91E3E">
              <w:t>rol systems each with more than one input and more than one final control element.</w:t>
            </w:r>
          </w:p>
          <w:p w:rsidR="00000000" w:rsidRPr="00E91E3E" w:rsidP="00E91E3E">
            <w:pPr>
              <w:pStyle w:val="BodyText"/>
            </w:pPr>
            <w:r w:rsidRPr="00E91E3E">
              <w:t>Generic terms used throughout this Vocational Standard shall be regarded as part of the Range Statement in which competency is demonstrated. The definition of these and othe</w:t>
            </w:r>
            <w:r w:rsidRPr="00E91E3E">
              <w:t>r terms that apply are given in Volume 2, Part 2.1.</w:t>
            </w:r>
          </w:p>
        </w:tc>
      </w:tr>
    </w:tbl>
    <w:p w:rsidR="00000000" w:rsidRPr="00E91E3E" w:rsidP="00E91E3E">
      <w:pPr>
        <w:pStyle w:val="BodyText"/>
      </w:pPr>
    </w:p>
    <w:p w:rsidR="00000000" w:rsidRPr="00E91E3E" w:rsidP="00E91E3E">
      <w:pPr>
        <w:pStyle w:val="AllowPageBreak"/>
      </w:pPr>
    </w:p>
    <w:p w:rsidR="00000000" w:rsidRPr="00E91E3E" w:rsidP="00E91E3E">
      <w:pPr>
        <w:pStyle w:val="Heading1"/>
      </w:pPr>
      <w:bookmarkStart w:id="12" w:name="O_589155"/>
      <w:bookmarkEnd w:id="12"/>
      <w:r w:rsidRPr="00E91E3E">
        <w:t>Unit Sector(s)</w:t>
      </w:r>
    </w:p>
    <w:p w:rsidR="00000000" w:rsidRPr="00E91E3E" w:rsidP="00E91E3E">
      <w:pPr>
        <w:pStyle w:val="BodyText"/>
      </w:pPr>
      <w:r w:rsidRPr="00E91E3E">
        <w:t>Not applicable.</w:t>
      </w:r>
    </w:p>
    <w:p w:rsidR="00000000" w:rsidRPr="00E91E3E" w:rsidP="00E91E3E">
      <w:pPr>
        <w:pStyle w:val="AllowPageBreak"/>
      </w:pPr>
    </w:p>
    <w:p w:rsidR="00000000" w:rsidRPr="00E91E3E" w:rsidP="00E91E3E">
      <w:pPr>
        <w:pStyle w:val="Heading1"/>
      </w:pPr>
      <w:bookmarkStart w:id="13" w:name="O_589154"/>
      <w:bookmarkEnd w:id="13"/>
      <w:r w:rsidRPr="00E91E3E">
        <w:t>Competency Field</w:t>
      </w:r>
    </w:p>
    <w:tbl>
      <w:tblPr>
        <w:tblW w:w="0" w:type="auto"/>
        <w:tblLayout w:type="fixed"/>
        <w:tblCellMar>
          <w:left w:w="62" w:type="dxa"/>
          <w:right w:w="62" w:type="dxa"/>
        </w:tblCellMar>
        <w:tblLook w:val="0000"/>
      </w:tblPr>
      <w:tblGrid>
        <w:gridCol w:w="2700"/>
        <w:gridCol w:w="5760"/>
      </w:tblGrid>
      <w:tr w:rsidTr="00F422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91E3E">
            <w:pPr>
              <w:pStyle w:val="BodyText"/>
              <w:rPr>
                <w:lang w:val="en-NZ"/>
              </w:rPr>
            </w:pPr>
            <w:r w:rsidRPr="00E91E3E">
              <w:rPr>
                <w:rStyle w:val="SpecialBold"/>
              </w:rPr>
              <w:t xml:space="preserve">11) </w:t>
            </w:r>
          </w:p>
        </w:tc>
      </w:tr>
      <w:tr w:rsidTr="00F422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1E3E" w:rsidP="00E91E3E">
            <w:pPr>
              <w:pStyle w:val="BodyText"/>
            </w:pPr>
            <w:r w:rsidRPr="00E91E3E">
              <w:t>Instrumentation and Control</w:t>
            </w:r>
          </w:p>
        </w:tc>
      </w:tr>
    </w:tbl>
    <w:p w:rsidR="00000000" w:rsidRPr="00E91E3E" w:rsidP="00E91E3E">
      <w:pPr>
        <w:pStyle w:val="BodyText"/>
      </w:pPr>
    </w:p>
    <w:p w:rsidR="00000000" w:rsidRPr="00E91E3E" w:rsidP="00E91E3E"/>
    <w:sectPr w:rsidSect="00E91E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3E" w:rsidRPr="00F422BD" w:rsidP="00F42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2BD" w:rsidP="00E91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422BD" w:rsidP="00E91E3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422BD" w:rsidP="00E91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3E" w:rsidRPr="00F422BD" w:rsidP="00F422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2BD" w:rsidRPr="002D2AF8" w:rsidP="00E91E3E">
    <w:pPr>
      <w:pStyle w:val="Header"/>
      <w:framePr w:wrap="around"/>
    </w:pPr>
    <w:r>
      <w:fldChar w:fldCharType="begin"/>
    </w:r>
    <w:r>
      <w:instrText xml:space="preserve"> TITLE   \* MERGEFORMAT </w:instrText>
    </w:r>
    <w:r>
      <w:fldChar w:fldCharType="separate"/>
    </w:r>
    <w:r>
      <w:t>UEENEEI113A Setup and configure Human-Machine Interface (HMI) and industrial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422BD" w:rsidP="00E91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CB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9E2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2F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E3E"/>
    <w:pPr>
      <w:spacing w:before="360" w:after="60"/>
      <w:outlineLvl w:val="0"/>
    </w:pPr>
    <w:rPr>
      <w:sz w:val="32"/>
    </w:rPr>
  </w:style>
  <w:style w:type="paragraph" w:styleId="Heading2">
    <w:name w:val="heading 2"/>
    <w:basedOn w:val="HeadingBase"/>
    <w:next w:val="BodyText"/>
    <w:link w:val="Heading2Char"/>
    <w:qFormat/>
    <w:rsid w:val="00E91E3E"/>
    <w:pPr>
      <w:keepLines/>
      <w:spacing w:before="240" w:after="120"/>
      <w:outlineLvl w:val="1"/>
    </w:pPr>
    <w:rPr>
      <w:sz w:val="28"/>
      <w:szCs w:val="40"/>
    </w:rPr>
  </w:style>
  <w:style w:type="paragraph" w:styleId="Heading3">
    <w:name w:val="heading 3"/>
    <w:basedOn w:val="HeadingBase"/>
    <w:next w:val="BodyText"/>
    <w:link w:val="Heading3Char"/>
    <w:qFormat/>
    <w:rsid w:val="00E91E3E"/>
    <w:pPr>
      <w:spacing w:before="180" w:after="120"/>
      <w:outlineLvl w:val="2"/>
    </w:pPr>
    <w:rPr>
      <w:spacing w:val="-10"/>
      <w:kern w:val="32"/>
    </w:rPr>
  </w:style>
  <w:style w:type="paragraph" w:styleId="Heading4">
    <w:name w:val="heading 4"/>
    <w:basedOn w:val="HeadingBase"/>
    <w:next w:val="BodyText"/>
    <w:link w:val="Heading4Char"/>
    <w:qFormat/>
    <w:rsid w:val="00E91E3E"/>
    <w:pPr>
      <w:spacing w:before="160" w:after="120"/>
      <w:outlineLvl w:val="3"/>
    </w:pPr>
    <w:rPr>
      <w:sz w:val="22"/>
    </w:rPr>
  </w:style>
  <w:style w:type="paragraph" w:styleId="Heading5">
    <w:name w:val="heading 5"/>
    <w:basedOn w:val="HeadingBase"/>
    <w:next w:val="Normal"/>
    <w:link w:val="Heading5Char"/>
    <w:qFormat/>
    <w:rsid w:val="00E91E3E"/>
    <w:pPr>
      <w:spacing w:before="80"/>
      <w:outlineLvl w:val="4"/>
    </w:pPr>
    <w:rPr>
      <w:color w:val="918585"/>
      <w:sz w:val="20"/>
    </w:rPr>
  </w:style>
  <w:style w:type="paragraph" w:styleId="Heading6">
    <w:name w:val="heading 6"/>
    <w:basedOn w:val="HeadingBase"/>
    <w:next w:val="Normal"/>
    <w:link w:val="Heading6Char"/>
    <w:qFormat/>
    <w:rsid w:val="00E91E3E"/>
    <w:pPr>
      <w:spacing w:before="60"/>
      <w:outlineLvl w:val="5"/>
    </w:pPr>
    <w:rPr>
      <w:color w:val="918585"/>
      <w:sz w:val="20"/>
    </w:rPr>
  </w:style>
  <w:style w:type="paragraph" w:styleId="Heading7">
    <w:name w:val="heading 7"/>
    <w:basedOn w:val="Normal"/>
    <w:next w:val="Normal"/>
    <w:link w:val="Heading7Char"/>
    <w:qFormat/>
    <w:rsid w:val="00E91E3E"/>
    <w:pPr>
      <w:ind w:left="720"/>
      <w:outlineLvl w:val="6"/>
    </w:pPr>
    <w:rPr>
      <w:i/>
    </w:rPr>
  </w:style>
  <w:style w:type="paragraph" w:styleId="Heading8">
    <w:name w:val="heading 8"/>
    <w:basedOn w:val="Normal"/>
    <w:next w:val="Normal"/>
    <w:link w:val="Heading8Char"/>
    <w:qFormat/>
    <w:rsid w:val="00E91E3E"/>
    <w:pPr>
      <w:ind w:left="720"/>
      <w:outlineLvl w:val="7"/>
    </w:pPr>
    <w:rPr>
      <w:i/>
    </w:rPr>
  </w:style>
  <w:style w:type="paragraph" w:styleId="Heading9">
    <w:name w:val="heading 9"/>
    <w:basedOn w:val="Normal"/>
    <w:next w:val="Normal"/>
    <w:link w:val="Heading9Char"/>
    <w:qFormat/>
    <w:rsid w:val="00E91E3E"/>
    <w:pPr>
      <w:ind w:left="720"/>
      <w:outlineLvl w:val="8"/>
    </w:pPr>
    <w:rPr>
      <w:i/>
    </w:rPr>
  </w:style>
  <w:style w:type="character" w:default="1" w:styleId="DefaultParagraphFont">
    <w:name w:val="Default Paragraph Font"/>
    <w:uiPriority w:val="1"/>
    <w:unhideWhenUsed/>
    <w:rsid w:val="00E91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E3E"/>
  </w:style>
  <w:style w:type="character" w:customStyle="1" w:styleId="Heading1Char">
    <w:name w:val="Heading 1 Char"/>
    <w:basedOn w:val="DefaultParagraphFont"/>
    <w:link w:val="Heading1"/>
    <w:rsid w:val="00E91E3E"/>
    <w:rPr>
      <w:rFonts w:ascii="Times New Roman" w:eastAsia="Times New Roman" w:hAnsi="Times New Roman" w:cs="Times New Roman"/>
      <w:b/>
      <w:sz w:val="32"/>
      <w:szCs w:val="20"/>
      <w:lang w:eastAsia="en-US"/>
    </w:rPr>
  </w:style>
  <w:style w:type="paragraph" w:styleId="BodyText">
    <w:name w:val="Body Text"/>
    <w:basedOn w:val="Normal"/>
    <w:link w:val="BodyTextChar"/>
    <w:rsid w:val="00E91E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E3E"/>
    <w:rPr>
      <w:rFonts w:ascii="Times New Roman" w:eastAsia="Times New Roman" w:hAnsi="Times New Roman" w:cs="Times New Roman"/>
      <w:sz w:val="24"/>
      <w:lang w:eastAsia="en-US"/>
    </w:rPr>
  </w:style>
  <w:style w:type="paragraph" w:styleId="ListBullet">
    <w:name w:val="List Bullet"/>
    <w:basedOn w:val="List"/>
    <w:rsid w:val="00E91E3E"/>
    <w:pPr>
      <w:numPr>
        <w:numId w:val="13"/>
      </w:numPr>
      <w:tabs>
        <w:tab w:val="clear" w:pos="340"/>
      </w:tabs>
      <w:spacing w:before="40" w:after="40"/>
    </w:pPr>
  </w:style>
  <w:style w:type="character" w:customStyle="1" w:styleId="SpecialBold">
    <w:name w:val="Special Bold"/>
    <w:basedOn w:val="DefaultParagraphFont"/>
    <w:rsid w:val="00E91E3E"/>
    <w:rPr>
      <w:b/>
      <w:spacing w:val="0"/>
    </w:rPr>
  </w:style>
  <w:style w:type="paragraph" w:styleId="ListBullet2">
    <w:name w:val="List Bullet 2"/>
    <w:basedOn w:val="List2"/>
    <w:rsid w:val="00E91E3E"/>
    <w:pPr>
      <w:numPr>
        <w:numId w:val="14"/>
      </w:numPr>
      <w:tabs>
        <w:tab w:val="clear" w:pos="680"/>
      </w:tabs>
    </w:pPr>
  </w:style>
  <w:style w:type="paragraph" w:customStyle="1" w:styleId="SuperHeading">
    <w:name w:val="SuperHeading"/>
    <w:basedOn w:val="Normal"/>
    <w:rsid w:val="00E91E3E"/>
    <w:pPr>
      <w:spacing w:before="240" w:after="120"/>
      <w:outlineLvl w:val="0"/>
    </w:pPr>
    <w:rPr>
      <w:rFonts w:ascii="Times New Roman" w:hAnsi="Times New Roman"/>
      <w:b/>
      <w:sz w:val="32"/>
    </w:rPr>
  </w:style>
  <w:style w:type="paragraph" w:customStyle="1" w:styleId="AllowPageBreak">
    <w:name w:val="AllowPageBreak"/>
    <w:rsid w:val="00E91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E3E"/>
    <w:rPr>
      <w:rFonts w:ascii="Courier New" w:eastAsia="Times New Roman" w:hAnsi="Courier New" w:cs="Times New Roman"/>
      <w:i/>
      <w:szCs w:val="20"/>
      <w:lang w:eastAsia="en-US"/>
    </w:rPr>
  </w:style>
  <w:style w:type="paragraph" w:customStyle="1" w:styleId="HeadingBase">
    <w:name w:val="Heading Base"/>
    <w:rsid w:val="00E91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E3E"/>
    <w:pPr>
      <w:tabs>
        <w:tab w:val="right" w:leader="dot" w:pos="9072"/>
      </w:tabs>
      <w:ind w:left="567"/>
    </w:pPr>
    <w:rPr>
      <w:szCs w:val="22"/>
    </w:rPr>
  </w:style>
  <w:style w:type="paragraph" w:customStyle="1" w:styleId="TOCBase">
    <w:name w:val="TOC Base"/>
    <w:rsid w:val="00E91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E3E"/>
    <w:pPr>
      <w:tabs>
        <w:tab w:val="right" w:leader="dot" w:pos="9072"/>
      </w:tabs>
      <w:spacing w:before="40" w:after="40"/>
      <w:ind w:left="284"/>
    </w:pPr>
    <w:rPr>
      <w:rFonts w:ascii="Times New Roman" w:hAnsi="Times New Roman"/>
    </w:rPr>
  </w:style>
  <w:style w:type="paragraph" w:styleId="TOC1">
    <w:name w:val="toc 1"/>
    <w:basedOn w:val="TOCBase"/>
    <w:next w:val="Normal"/>
    <w:rsid w:val="00E91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E3E"/>
    <w:rPr>
      <w:rFonts w:ascii="Times New Roman" w:eastAsia="Times New Roman" w:hAnsi="Times New Roman" w:cs="Times New Roman"/>
      <w:sz w:val="16"/>
      <w:lang w:eastAsia="en-US"/>
    </w:rPr>
  </w:style>
  <w:style w:type="paragraph" w:styleId="Title">
    <w:name w:val="Title"/>
    <w:basedOn w:val="HeadingBase"/>
    <w:link w:val="TitleChar"/>
    <w:qFormat/>
    <w:rsid w:val="00E91E3E"/>
    <w:pPr>
      <w:spacing w:before="5040"/>
      <w:jc w:val="center"/>
    </w:pPr>
    <w:rPr>
      <w:sz w:val="48"/>
      <w:szCs w:val="72"/>
      <w:lang w:val="en-US"/>
    </w:rPr>
  </w:style>
  <w:style w:type="character" w:customStyle="1" w:styleId="TitleChar">
    <w:name w:val="Title Char"/>
    <w:basedOn w:val="DefaultParagraphFont"/>
    <w:link w:val="Title"/>
    <w:rsid w:val="00E91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E3E"/>
    <w:pPr>
      <w:tabs>
        <w:tab w:val="left" w:pos="3600"/>
        <w:tab w:val="left" w:pos="3958"/>
      </w:tabs>
    </w:pPr>
  </w:style>
  <w:style w:type="paragraph" w:styleId="List">
    <w:name w:val="List"/>
    <w:basedOn w:val="BodyText"/>
    <w:next w:val="BodyText"/>
    <w:rsid w:val="00E91E3E"/>
    <w:pPr>
      <w:tabs>
        <w:tab w:val="left" w:pos="340"/>
      </w:tabs>
      <w:spacing w:before="60" w:after="60"/>
      <w:ind w:left="340" w:hanging="340"/>
    </w:pPr>
  </w:style>
  <w:style w:type="paragraph" w:customStyle="1" w:styleId="Note">
    <w:name w:val="Note"/>
    <w:basedOn w:val="BodyText"/>
    <w:rsid w:val="00E91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E3E"/>
    <w:pPr>
      <w:framePr w:wrap="auto" w:hAnchor="text" w:y="6049"/>
    </w:pPr>
    <w:rPr>
      <w:color w:val="000000"/>
      <w:sz w:val="40"/>
    </w:rPr>
  </w:style>
  <w:style w:type="paragraph" w:customStyle="1" w:styleId="TOCTitle">
    <w:name w:val="TOCTitle"/>
    <w:basedOn w:val="Heading1"/>
    <w:rsid w:val="00E91E3E"/>
    <w:pPr>
      <w:spacing w:after="240"/>
      <w:jc w:val="center"/>
      <w:outlineLvl w:val="9"/>
    </w:pPr>
    <w:rPr>
      <w:caps/>
    </w:rPr>
  </w:style>
  <w:style w:type="paragraph" w:customStyle="1" w:styleId="Version">
    <w:name w:val="Version"/>
    <w:rsid w:val="00E91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E3E"/>
    <w:pPr>
      <w:keepNext w:val="0"/>
      <w:tabs>
        <w:tab w:val="right" w:pos="4176"/>
      </w:tabs>
      <w:ind w:left="198" w:hanging="198"/>
    </w:pPr>
    <w:rPr>
      <w:rFonts w:ascii="Garamond" w:hAnsi="Garamond"/>
    </w:rPr>
  </w:style>
  <w:style w:type="paragraph" w:styleId="IndexHeading">
    <w:name w:val="index heading"/>
    <w:basedOn w:val="Normal"/>
    <w:next w:val="Index1"/>
    <w:semiHidden/>
    <w:rsid w:val="00E91E3E"/>
    <w:pPr>
      <w:spacing w:before="120" w:after="120"/>
    </w:pPr>
    <w:rPr>
      <w:rFonts w:ascii="Arial" w:hAnsi="Arial"/>
      <w:b/>
      <w:color w:val="918585"/>
      <w:sz w:val="24"/>
    </w:rPr>
  </w:style>
  <w:style w:type="paragraph" w:styleId="Header">
    <w:name w:val="header"/>
    <w:basedOn w:val="Normal"/>
    <w:link w:val="HeaderChar"/>
    <w:rsid w:val="00E91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E3E"/>
    <w:rPr>
      <w:rFonts w:ascii="Times New Roman" w:eastAsia="Times New Roman" w:hAnsi="Times New Roman" w:cs="Times New Roman"/>
      <w:sz w:val="16"/>
      <w:szCs w:val="20"/>
      <w:lang w:val="en-GB" w:eastAsia="en-US"/>
    </w:rPr>
  </w:style>
  <w:style w:type="paragraph" w:customStyle="1" w:styleId="Chapter">
    <w:name w:val="Chapter"/>
    <w:basedOn w:val="Normal"/>
    <w:rsid w:val="00E91E3E"/>
    <w:pPr>
      <w:spacing w:before="240"/>
    </w:pPr>
    <w:rPr>
      <w:rFonts w:ascii="Times New Roman" w:hAnsi="Times New Roman"/>
      <w:smallCaps/>
      <w:spacing w:val="80"/>
      <w:sz w:val="28"/>
    </w:rPr>
  </w:style>
  <w:style w:type="paragraph" w:customStyle="1" w:styleId="InChapter">
    <w:name w:val="InChapter"/>
    <w:basedOn w:val="Heading3"/>
    <w:rsid w:val="00E91E3E"/>
    <w:pPr>
      <w:spacing w:after="240"/>
      <w:outlineLvl w:val="9"/>
    </w:pPr>
    <w:rPr>
      <w:noProof/>
    </w:rPr>
  </w:style>
  <w:style w:type="paragraph" w:styleId="Index2">
    <w:name w:val="index 2"/>
    <w:basedOn w:val="Normal"/>
    <w:next w:val="Normal"/>
    <w:semiHidden/>
    <w:rsid w:val="00E91E3E"/>
    <w:pPr>
      <w:tabs>
        <w:tab w:val="right" w:pos="4176"/>
      </w:tabs>
      <w:ind w:left="568" w:hanging="284"/>
    </w:pPr>
    <w:rPr>
      <w:rFonts w:ascii="Garamond" w:hAnsi="Garamond"/>
    </w:rPr>
  </w:style>
  <w:style w:type="paragraph" w:customStyle="1" w:styleId="Byline">
    <w:name w:val="Byline"/>
    <w:rsid w:val="00E91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E3E"/>
    <w:pPr>
      <w:tabs>
        <w:tab w:val="clear" w:pos="3600"/>
        <w:tab w:val="clear" w:pos="3958"/>
      </w:tabs>
      <w:jc w:val="right"/>
    </w:pPr>
  </w:style>
  <w:style w:type="character" w:styleId="Emphasis">
    <w:name w:val="Emphasis"/>
    <w:basedOn w:val="DefaultParagraphFont"/>
    <w:qFormat/>
    <w:rsid w:val="00E91E3E"/>
    <w:rPr>
      <w:i/>
    </w:rPr>
  </w:style>
  <w:style w:type="paragraph" w:styleId="Caption">
    <w:name w:val="caption"/>
    <w:basedOn w:val="BodyText"/>
    <w:next w:val="Normal"/>
    <w:qFormat/>
    <w:rsid w:val="00E91E3E"/>
    <w:pPr>
      <w:framePr w:w="2268" w:hSpace="181" w:vSpace="181" w:wrap="around" w:vAnchor="text" w:hAnchor="page" w:x="1135" w:y="285" w:anchorLock="1"/>
    </w:pPr>
    <w:rPr>
      <w:i/>
    </w:rPr>
  </w:style>
  <w:style w:type="paragraph" w:customStyle="1" w:styleId="MiniTOCTitle">
    <w:name w:val="MiniTOCTitle"/>
    <w:basedOn w:val="Heading4"/>
    <w:rsid w:val="00E91E3E"/>
    <w:pPr>
      <w:spacing w:before="240"/>
      <w:outlineLvl w:val="9"/>
    </w:pPr>
    <w:rPr>
      <w:noProof/>
      <w:sz w:val="24"/>
    </w:rPr>
  </w:style>
  <w:style w:type="paragraph" w:customStyle="1" w:styleId="MiniTOCItem">
    <w:name w:val="MiniTOCItem"/>
    <w:basedOn w:val="ListBullet"/>
    <w:rsid w:val="00E91E3E"/>
    <w:pPr>
      <w:numPr>
        <w:numId w:val="0"/>
      </w:numPr>
      <w:tabs>
        <w:tab w:val="right" w:leader="dot" w:pos="6521"/>
      </w:tabs>
      <w:spacing w:before="0" w:after="0"/>
    </w:pPr>
  </w:style>
  <w:style w:type="paragraph" w:customStyle="1" w:styleId="TOFTitle">
    <w:name w:val="TOFTitle"/>
    <w:basedOn w:val="TOCTitle"/>
    <w:rsid w:val="00E91E3E"/>
  </w:style>
  <w:style w:type="paragraph" w:styleId="TableofFigures">
    <w:name w:val="table of figures"/>
    <w:basedOn w:val="Normal"/>
    <w:next w:val="Normal"/>
    <w:semiHidden/>
    <w:rsid w:val="00E91E3E"/>
    <w:pPr>
      <w:tabs>
        <w:tab w:val="right" w:leader="dot" w:pos="9072"/>
      </w:tabs>
      <w:ind w:left="970" w:hanging="403"/>
    </w:pPr>
    <w:rPr>
      <w:rFonts w:ascii="Times New Roman" w:hAnsi="Times New Roman"/>
      <w:b/>
    </w:rPr>
  </w:style>
  <w:style w:type="paragraph" w:styleId="ListNumber">
    <w:name w:val="List Number"/>
    <w:basedOn w:val="List"/>
    <w:rsid w:val="00E91E3E"/>
    <w:pPr>
      <w:numPr>
        <w:numId w:val="11"/>
      </w:numPr>
    </w:pPr>
  </w:style>
  <w:style w:type="character" w:customStyle="1" w:styleId="WingdingSymbols">
    <w:name w:val="Wingding Symbols"/>
    <w:rsid w:val="00E91E3E"/>
    <w:rPr>
      <w:rFonts w:ascii="Wingdings" w:hAnsi="Wingdings"/>
    </w:rPr>
  </w:style>
  <w:style w:type="paragraph" w:customStyle="1" w:styleId="TableHeading">
    <w:name w:val="Table Heading"/>
    <w:basedOn w:val="HeadingBase"/>
    <w:rsid w:val="00E91E3E"/>
    <w:pPr>
      <w:keepLines/>
      <w:pBdr>
        <w:bottom w:val="single" w:sz="6" w:space="1" w:color="918585"/>
      </w:pBdr>
      <w:spacing w:before="240"/>
    </w:pPr>
  </w:style>
  <w:style w:type="character" w:customStyle="1" w:styleId="HotSpot">
    <w:name w:val="HotSpot"/>
    <w:rsid w:val="00E91E3E"/>
    <w:rPr>
      <w:color w:val="0033CC"/>
      <w:u w:val="none"/>
    </w:rPr>
  </w:style>
  <w:style w:type="paragraph" w:customStyle="1" w:styleId="BodyTextRight">
    <w:name w:val="Body Text Right"/>
    <w:basedOn w:val="BodyText"/>
    <w:rsid w:val="00E91E3E"/>
    <w:pPr>
      <w:spacing w:before="0" w:after="0"/>
      <w:jc w:val="right"/>
    </w:pPr>
  </w:style>
  <w:style w:type="paragraph" w:styleId="Index3">
    <w:name w:val="index 3"/>
    <w:basedOn w:val="ListNumber2"/>
    <w:next w:val="Normal"/>
    <w:semiHidden/>
    <w:rsid w:val="00E91E3E"/>
    <w:pPr>
      <w:numPr>
        <w:numId w:val="0"/>
      </w:numPr>
      <w:tabs>
        <w:tab w:val="right" w:leader="dot" w:pos="4176"/>
      </w:tabs>
    </w:pPr>
  </w:style>
  <w:style w:type="paragraph" w:styleId="ListNumber2">
    <w:name w:val="List Number 2"/>
    <w:basedOn w:val="List2"/>
    <w:rsid w:val="00E91E3E"/>
    <w:pPr>
      <w:numPr>
        <w:numId w:val="10"/>
      </w:numPr>
      <w:tabs>
        <w:tab w:val="clear" w:pos="1060"/>
      </w:tabs>
    </w:pPr>
  </w:style>
  <w:style w:type="paragraph" w:customStyle="1" w:styleId="MarginNote">
    <w:name w:val="Margin Note"/>
    <w:basedOn w:val="BodyText"/>
    <w:rsid w:val="00E91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E3E"/>
    <w:rPr>
      <w:sz w:val="32"/>
    </w:rPr>
  </w:style>
  <w:style w:type="paragraph" w:customStyle="1" w:styleId="HeadingProcedure">
    <w:name w:val="Heading Procedure"/>
    <w:basedOn w:val="HeadingBase"/>
    <w:next w:val="Normal"/>
    <w:rsid w:val="00E91E3E"/>
    <w:pPr>
      <w:tabs>
        <w:tab w:val="left" w:pos="0"/>
      </w:tabs>
      <w:spacing w:before="120" w:after="60"/>
    </w:pPr>
    <w:rPr>
      <w:i/>
      <w:color w:val="918585"/>
      <w:sz w:val="22"/>
    </w:rPr>
  </w:style>
  <w:style w:type="paragraph" w:customStyle="1" w:styleId="TableBodyText">
    <w:name w:val="Table Body Text"/>
    <w:basedOn w:val="BodyText"/>
    <w:rsid w:val="00E91E3E"/>
    <w:pPr>
      <w:spacing w:before="60" w:after="60"/>
    </w:pPr>
  </w:style>
  <w:style w:type="paragraph" w:styleId="ListContinue">
    <w:name w:val="List Continue"/>
    <w:basedOn w:val="List"/>
    <w:rsid w:val="00E91E3E"/>
    <w:pPr>
      <w:ind w:firstLine="0"/>
    </w:pPr>
  </w:style>
  <w:style w:type="paragraph" w:customStyle="1" w:styleId="ListNote">
    <w:name w:val="List Note"/>
    <w:basedOn w:val="List"/>
    <w:rsid w:val="00E91E3E"/>
    <w:pPr>
      <w:pBdr>
        <w:top w:val="single" w:sz="6" w:space="2" w:color="918585"/>
        <w:bottom w:val="single" w:sz="6" w:space="2" w:color="918585"/>
      </w:pBdr>
      <w:tabs>
        <w:tab w:val="left" w:pos="1021"/>
      </w:tabs>
      <w:ind w:firstLine="0"/>
    </w:pPr>
  </w:style>
  <w:style w:type="paragraph" w:customStyle="1" w:styleId="Warning">
    <w:name w:val="Warning"/>
    <w:basedOn w:val="BodyText"/>
    <w:rsid w:val="00E91E3E"/>
    <w:pPr>
      <w:shd w:val="clear" w:color="auto" w:fill="D9D9D9"/>
      <w:tabs>
        <w:tab w:val="left" w:pos="992"/>
      </w:tabs>
      <w:ind w:left="119" w:right="119"/>
    </w:pPr>
    <w:rPr>
      <w:sz w:val="20"/>
    </w:rPr>
  </w:style>
  <w:style w:type="paragraph" w:customStyle="1" w:styleId="MarginIcons">
    <w:name w:val="Margin Icons"/>
    <w:basedOn w:val="BodyText"/>
    <w:rsid w:val="00E91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E3E"/>
    <w:rPr>
      <w:rFonts w:ascii="Courier New" w:hAnsi="Courier New"/>
    </w:rPr>
  </w:style>
  <w:style w:type="paragraph" w:customStyle="1" w:styleId="NoteBullet">
    <w:name w:val="Note Bullet"/>
    <w:basedOn w:val="Note"/>
    <w:rsid w:val="00E91E3E"/>
    <w:pPr>
      <w:tabs>
        <w:tab w:val="clear" w:pos="680"/>
      </w:tabs>
      <w:spacing w:before="60" w:after="60"/>
    </w:pPr>
  </w:style>
  <w:style w:type="paragraph" w:customStyle="1" w:styleId="SubHeading2">
    <w:name w:val="SubHeading2"/>
    <w:basedOn w:val="HeadingBase"/>
    <w:rsid w:val="00E91E3E"/>
    <w:pPr>
      <w:spacing w:before="240" w:after="60"/>
    </w:pPr>
    <w:rPr>
      <w:sz w:val="20"/>
    </w:rPr>
  </w:style>
  <w:style w:type="paragraph" w:customStyle="1" w:styleId="SubHeading1">
    <w:name w:val="SubHeading1"/>
    <w:basedOn w:val="HeadingBase"/>
    <w:rsid w:val="00E91E3E"/>
    <w:pPr>
      <w:spacing w:before="240" w:after="60"/>
    </w:pPr>
    <w:rPr>
      <w:color w:val="918585"/>
      <w:sz w:val="22"/>
    </w:rPr>
  </w:style>
  <w:style w:type="paragraph" w:customStyle="1" w:styleId="SideHeading">
    <w:name w:val="Side Heading"/>
    <w:basedOn w:val="HeadingBase"/>
    <w:rsid w:val="00E91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E3E"/>
    <w:pPr>
      <w:numPr>
        <w:numId w:val="12"/>
      </w:numPr>
    </w:pPr>
  </w:style>
  <w:style w:type="paragraph" w:styleId="PlainText">
    <w:name w:val="Plain Text"/>
    <w:basedOn w:val="Normal"/>
    <w:link w:val="PlainTextChar"/>
    <w:rsid w:val="00E91E3E"/>
    <w:rPr>
      <w:sz w:val="20"/>
    </w:rPr>
  </w:style>
  <w:style w:type="character" w:customStyle="1" w:styleId="PlainTextChar">
    <w:name w:val="Plain Text Char"/>
    <w:basedOn w:val="DefaultParagraphFont"/>
    <w:link w:val="PlainText"/>
    <w:rsid w:val="00E91E3E"/>
    <w:rPr>
      <w:rFonts w:ascii="Courier New" w:eastAsia="Times New Roman" w:hAnsi="Courier New" w:cs="Times New Roman"/>
      <w:sz w:val="20"/>
      <w:szCs w:val="20"/>
      <w:lang w:eastAsia="en-US"/>
    </w:rPr>
  </w:style>
  <w:style w:type="character" w:customStyle="1" w:styleId="MenuOption">
    <w:name w:val="Menu Option"/>
    <w:basedOn w:val="DefaultParagraphFont"/>
    <w:rsid w:val="00E91E3E"/>
    <w:rPr>
      <w:b/>
      <w:smallCaps/>
    </w:rPr>
  </w:style>
  <w:style w:type="paragraph" w:customStyle="1" w:styleId="TableListNumber">
    <w:name w:val="Table List Number"/>
    <w:basedOn w:val="ListNumber"/>
    <w:rsid w:val="00E91E3E"/>
    <w:pPr>
      <w:numPr>
        <w:numId w:val="0"/>
      </w:numPr>
    </w:pPr>
  </w:style>
  <w:style w:type="paragraph" w:styleId="TOC4">
    <w:name w:val="toc 4"/>
    <w:basedOn w:val="TOCBase"/>
    <w:next w:val="Normal"/>
    <w:semiHidden/>
    <w:rsid w:val="00E91E3E"/>
    <w:pPr>
      <w:tabs>
        <w:tab w:val="right" w:leader="dot" w:pos="9071"/>
      </w:tabs>
      <w:ind w:left="1701"/>
    </w:pPr>
  </w:style>
  <w:style w:type="paragraph" w:customStyle="1" w:styleId="ListAlpha">
    <w:name w:val="List Alpha"/>
    <w:basedOn w:val="List"/>
    <w:rsid w:val="00E91E3E"/>
    <w:pPr>
      <w:numPr>
        <w:numId w:val="9"/>
      </w:numPr>
    </w:pPr>
  </w:style>
  <w:style w:type="paragraph" w:customStyle="1" w:styleId="ListAlpha2">
    <w:name w:val="List Alpha 2"/>
    <w:basedOn w:val="List2"/>
    <w:rsid w:val="00E91E3E"/>
    <w:pPr>
      <w:numPr>
        <w:numId w:val="8"/>
      </w:numPr>
    </w:pPr>
  </w:style>
  <w:style w:type="paragraph" w:styleId="List2">
    <w:name w:val="List 2"/>
    <w:basedOn w:val="BodyText"/>
    <w:rsid w:val="00E91E3E"/>
    <w:pPr>
      <w:tabs>
        <w:tab w:val="left" w:pos="680"/>
      </w:tabs>
      <w:spacing w:before="60" w:after="60"/>
      <w:ind w:left="680" w:hanging="340"/>
    </w:pPr>
  </w:style>
  <w:style w:type="paragraph" w:styleId="List3">
    <w:name w:val="List 3"/>
    <w:basedOn w:val="BodyText"/>
    <w:rsid w:val="00E91E3E"/>
    <w:pPr>
      <w:tabs>
        <w:tab w:val="left" w:pos="1021"/>
      </w:tabs>
      <w:spacing w:before="60" w:after="60"/>
      <w:ind w:left="1020" w:hanging="340"/>
    </w:pPr>
  </w:style>
  <w:style w:type="paragraph" w:styleId="List4">
    <w:name w:val="List 4"/>
    <w:basedOn w:val="BodyText"/>
    <w:rsid w:val="00E91E3E"/>
    <w:pPr>
      <w:tabs>
        <w:tab w:val="left" w:pos="1361"/>
      </w:tabs>
      <w:spacing w:before="60" w:after="60"/>
      <w:ind w:left="1361" w:hanging="340"/>
    </w:pPr>
  </w:style>
  <w:style w:type="paragraph" w:styleId="List5">
    <w:name w:val="List 5"/>
    <w:basedOn w:val="BodyText"/>
    <w:rsid w:val="00E91E3E"/>
    <w:pPr>
      <w:tabs>
        <w:tab w:val="left" w:pos="1701"/>
      </w:tabs>
      <w:spacing w:before="60" w:after="60"/>
      <w:ind w:left="1701" w:hanging="340"/>
    </w:pPr>
  </w:style>
  <w:style w:type="paragraph" w:styleId="ListBullet3">
    <w:name w:val="List Bullet 3"/>
    <w:basedOn w:val="List3"/>
    <w:rsid w:val="00E91E3E"/>
    <w:pPr>
      <w:numPr>
        <w:numId w:val="15"/>
      </w:numPr>
      <w:tabs>
        <w:tab w:val="clear" w:pos="1021"/>
      </w:tabs>
      <w:ind w:left="1037" w:hanging="357"/>
    </w:pPr>
  </w:style>
  <w:style w:type="paragraph" w:styleId="ListBullet4">
    <w:name w:val="List Bullet 4"/>
    <w:basedOn w:val="List4"/>
    <w:rsid w:val="00E91E3E"/>
    <w:pPr>
      <w:numPr>
        <w:numId w:val="3"/>
      </w:numPr>
    </w:pPr>
  </w:style>
  <w:style w:type="paragraph" w:styleId="ListBullet5">
    <w:name w:val="List Bullet 5"/>
    <w:basedOn w:val="List5"/>
    <w:rsid w:val="00E91E3E"/>
    <w:pPr>
      <w:numPr>
        <w:numId w:val="4"/>
      </w:numPr>
    </w:pPr>
  </w:style>
  <w:style w:type="paragraph" w:styleId="ListContinue2">
    <w:name w:val="List Continue 2"/>
    <w:basedOn w:val="List2"/>
    <w:rsid w:val="00E91E3E"/>
    <w:pPr>
      <w:ind w:firstLine="0"/>
    </w:pPr>
  </w:style>
  <w:style w:type="paragraph" w:styleId="ListContinue3">
    <w:name w:val="List Continue 3"/>
    <w:basedOn w:val="List3"/>
    <w:rsid w:val="00E91E3E"/>
    <w:pPr>
      <w:ind w:left="1021" w:firstLine="0"/>
    </w:pPr>
  </w:style>
  <w:style w:type="paragraph" w:styleId="ListContinue4">
    <w:name w:val="List Continue 4"/>
    <w:basedOn w:val="List4"/>
    <w:rsid w:val="00E91E3E"/>
    <w:pPr>
      <w:ind w:firstLine="0"/>
    </w:pPr>
  </w:style>
  <w:style w:type="paragraph" w:styleId="ListContinue5">
    <w:name w:val="List Continue 5"/>
    <w:basedOn w:val="List5"/>
    <w:rsid w:val="00E91E3E"/>
    <w:pPr>
      <w:ind w:firstLine="0"/>
    </w:pPr>
  </w:style>
  <w:style w:type="paragraph" w:styleId="ListNumber3">
    <w:name w:val="List Number 3"/>
    <w:basedOn w:val="List3"/>
    <w:rsid w:val="00E91E3E"/>
    <w:pPr>
      <w:numPr>
        <w:numId w:val="5"/>
      </w:numPr>
    </w:pPr>
  </w:style>
  <w:style w:type="paragraph" w:styleId="ListNumber4">
    <w:name w:val="List Number 4"/>
    <w:basedOn w:val="List4"/>
    <w:rsid w:val="00E91E3E"/>
    <w:pPr>
      <w:numPr>
        <w:numId w:val="6"/>
      </w:numPr>
    </w:pPr>
  </w:style>
  <w:style w:type="paragraph" w:styleId="ListNumber5">
    <w:name w:val="List Number 5"/>
    <w:basedOn w:val="List5"/>
    <w:rsid w:val="00E91E3E"/>
    <w:pPr>
      <w:numPr>
        <w:numId w:val="7"/>
      </w:numPr>
    </w:pPr>
  </w:style>
  <w:style w:type="paragraph" w:styleId="BlockText">
    <w:name w:val="Block Text"/>
    <w:basedOn w:val="Normal"/>
    <w:rsid w:val="00E91E3E"/>
    <w:pPr>
      <w:spacing w:after="120"/>
      <w:ind w:left="1440" w:right="1440"/>
    </w:pPr>
  </w:style>
  <w:style w:type="character" w:customStyle="1" w:styleId="Subscript">
    <w:name w:val="Subscript"/>
    <w:basedOn w:val="DefaultParagraphFont"/>
    <w:rsid w:val="00E91E3E"/>
    <w:rPr>
      <w:sz w:val="16"/>
      <w:vertAlign w:val="subscript"/>
    </w:rPr>
  </w:style>
  <w:style w:type="character" w:customStyle="1" w:styleId="Superscript">
    <w:name w:val="Superscript"/>
    <w:basedOn w:val="DefaultParagraphFont"/>
    <w:rsid w:val="00E91E3E"/>
    <w:rPr>
      <w:sz w:val="16"/>
      <w:vertAlign w:val="superscript"/>
    </w:rPr>
  </w:style>
  <w:style w:type="character" w:customStyle="1" w:styleId="Symbols">
    <w:name w:val="Symbols"/>
    <w:basedOn w:val="DefaultParagraphFont"/>
    <w:rsid w:val="00E91E3E"/>
    <w:rPr>
      <w:rFonts w:ascii="Symbol" w:hAnsi="Symbol"/>
    </w:rPr>
  </w:style>
  <w:style w:type="character" w:customStyle="1" w:styleId="MenuOptions">
    <w:name w:val="Menu Options"/>
    <w:basedOn w:val="DefaultParagraphFont"/>
    <w:rsid w:val="00E91E3E"/>
    <w:rPr>
      <w:rFonts w:ascii="Arial Narrow" w:hAnsi="Arial Narrow"/>
      <w:smallCaps/>
    </w:rPr>
  </w:style>
  <w:style w:type="character" w:customStyle="1" w:styleId="Buttons">
    <w:name w:val="Buttons"/>
    <w:basedOn w:val="DefaultParagraphFont"/>
    <w:rsid w:val="00E91E3E"/>
    <w:rPr>
      <w:b/>
    </w:rPr>
  </w:style>
  <w:style w:type="character" w:customStyle="1" w:styleId="Underlined">
    <w:name w:val="Underlined"/>
    <w:basedOn w:val="DefaultParagraphFont"/>
    <w:rsid w:val="00E91E3E"/>
    <w:rPr>
      <w:u w:val="single"/>
    </w:rPr>
  </w:style>
  <w:style w:type="paragraph" w:customStyle="1" w:styleId="TableBodyTextRight">
    <w:name w:val="Table Body Text Right"/>
    <w:basedOn w:val="TableBodyText"/>
    <w:rsid w:val="00E91E3E"/>
    <w:pPr>
      <w:widowControl w:val="0"/>
      <w:autoSpaceDE w:val="0"/>
      <w:autoSpaceDN w:val="0"/>
      <w:adjustRightInd w:val="0"/>
      <w:jc w:val="right"/>
    </w:pPr>
    <w:rPr>
      <w:rFonts w:cs="Arial"/>
      <w:szCs w:val="18"/>
    </w:rPr>
  </w:style>
  <w:style w:type="paragraph" w:customStyle="1" w:styleId="CopyrightText">
    <w:name w:val="Copyright Text"/>
    <w:basedOn w:val="BodyText"/>
    <w:rsid w:val="00E91E3E"/>
    <w:rPr>
      <w:sz w:val="18"/>
    </w:rPr>
  </w:style>
  <w:style w:type="paragraph" w:customStyle="1" w:styleId="BodySmallRight">
    <w:name w:val="Body Small Right"/>
    <w:basedOn w:val="BodyTextRight"/>
    <w:rsid w:val="00E91E3E"/>
    <w:rPr>
      <w:sz w:val="18"/>
      <w:szCs w:val="18"/>
    </w:rPr>
  </w:style>
  <w:style w:type="paragraph" w:customStyle="1" w:styleId="MarginEdition">
    <w:name w:val="Margin Edition"/>
    <w:basedOn w:val="MarginNote"/>
    <w:rsid w:val="00E91E3E"/>
    <w:pPr>
      <w:spacing w:before="0" w:after="0"/>
    </w:pPr>
    <w:rPr>
      <w:rFonts w:ascii="Times New Roman" w:hAnsi="Times New Roman"/>
      <w:color w:val="999999"/>
    </w:rPr>
  </w:style>
  <w:style w:type="paragraph" w:customStyle="1" w:styleId="Spacer">
    <w:name w:val="Spacer"/>
    <w:basedOn w:val="Normal"/>
    <w:rsid w:val="00E91E3E"/>
    <w:rPr>
      <w:sz w:val="2"/>
      <w:szCs w:val="2"/>
    </w:rPr>
  </w:style>
  <w:style w:type="character" w:customStyle="1" w:styleId="Small">
    <w:name w:val="Small"/>
    <w:basedOn w:val="DefaultParagraphFont"/>
    <w:rsid w:val="00E91E3E"/>
    <w:rPr>
      <w:sz w:val="16"/>
    </w:rPr>
  </w:style>
  <w:style w:type="paragraph" w:customStyle="1" w:styleId="WideTable">
    <w:name w:val="Wide Table"/>
    <w:basedOn w:val="Normal"/>
    <w:rsid w:val="00E91E3E"/>
    <w:pPr>
      <w:ind w:left="-1418"/>
    </w:pPr>
    <w:rPr>
      <w:sz w:val="2"/>
      <w:szCs w:val="2"/>
    </w:rPr>
  </w:style>
  <w:style w:type="character" w:styleId="PageNumber">
    <w:name w:val="page number"/>
    <w:basedOn w:val="DefaultParagraphFont"/>
    <w:rsid w:val="00E91E3E"/>
  </w:style>
  <w:style w:type="paragraph" w:styleId="Quote">
    <w:name w:val="Quote"/>
    <w:basedOn w:val="Heading1"/>
    <w:link w:val="QuoteChar"/>
    <w:qFormat/>
    <w:rsid w:val="00E91E3E"/>
    <w:rPr>
      <w:b w:val="0"/>
      <w:sz w:val="72"/>
      <w:szCs w:val="72"/>
      <w:lang w:val="en-NZ"/>
    </w:rPr>
  </w:style>
  <w:style w:type="character" w:customStyle="1" w:styleId="QuoteChar">
    <w:name w:val="Quote Char"/>
    <w:basedOn w:val="DefaultParagraphFont"/>
    <w:link w:val="Quote"/>
    <w:rsid w:val="00E91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E3E"/>
    <w:pPr>
      <w:pageBreakBefore/>
    </w:pPr>
  </w:style>
  <w:style w:type="paragraph" w:customStyle="1" w:styleId="Border">
    <w:name w:val="Border"/>
    <w:basedOn w:val="Normal"/>
    <w:qFormat/>
    <w:rsid w:val="00E91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E3E"/>
    <w:rPr>
      <w:b/>
      <w:bCs/>
      <w:i/>
      <w:iCs/>
      <w:color w:val="auto"/>
    </w:rPr>
  </w:style>
  <w:style w:type="paragraph" w:styleId="IntenseQuote">
    <w:name w:val="Intense Quote"/>
    <w:basedOn w:val="Normal"/>
    <w:next w:val="Normal"/>
    <w:link w:val="IntenseQuoteChar"/>
    <w:uiPriority w:val="30"/>
    <w:qFormat/>
    <w:rsid w:val="00E91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E3E"/>
    <w:rPr>
      <w:smallCaps/>
      <w:color w:val="auto"/>
      <w:u w:val="single"/>
    </w:rPr>
  </w:style>
  <w:style w:type="character" w:styleId="IntenseReference">
    <w:name w:val="Intense Reference"/>
    <w:basedOn w:val="DefaultParagraphFont"/>
    <w:uiPriority w:val="32"/>
    <w:qFormat/>
    <w:rsid w:val="00E91E3E"/>
    <w:rPr>
      <w:b/>
      <w:bCs/>
      <w:smallCaps/>
      <w:color w:val="auto"/>
      <w:spacing w:val="5"/>
      <w:u w:val="single"/>
    </w:rPr>
  </w:style>
  <w:style w:type="paragraph" w:customStyle="1" w:styleId="2ColumnHeading">
    <w:name w:val="2Column Heading"/>
    <w:basedOn w:val="BodyText"/>
    <w:qFormat/>
    <w:rsid w:val="00E91E3E"/>
    <w:pPr>
      <w:spacing w:after="60"/>
      <w:ind w:left="-2268"/>
    </w:pPr>
    <w:rPr>
      <w:b/>
    </w:rPr>
  </w:style>
  <w:style w:type="paragraph" w:customStyle="1" w:styleId="Heading1TOC">
    <w:name w:val="Heading1 TOC"/>
    <w:basedOn w:val="Normal"/>
    <w:qFormat/>
    <w:rsid w:val="00E91E3E"/>
    <w:pPr>
      <w:spacing w:before="240" w:after="120"/>
    </w:pPr>
    <w:rPr>
      <w:rFonts w:ascii="Times New Roman" w:hAnsi="Times New Roman"/>
      <w:b/>
      <w:sz w:val="32"/>
    </w:rPr>
  </w:style>
  <w:style w:type="paragraph" w:customStyle="1" w:styleId="Heading2TOC">
    <w:name w:val="Heading2 TOC"/>
    <w:basedOn w:val="Normal"/>
    <w:qFormat/>
    <w:rsid w:val="00E91E3E"/>
    <w:pPr>
      <w:spacing w:before="240" w:after="60"/>
    </w:pPr>
    <w:rPr>
      <w:rFonts w:ascii="Times New Roman" w:hAnsi="Times New Roman"/>
      <w:b/>
      <w:sz w:val="28"/>
    </w:rPr>
  </w:style>
  <w:style w:type="character" w:customStyle="1" w:styleId="Underline">
    <w:name w:val="Underline"/>
    <w:basedOn w:val="DefaultParagraphFont"/>
    <w:qFormat/>
    <w:rsid w:val="00E91E3E"/>
    <w:rPr>
      <w:u w:val="single"/>
    </w:rPr>
  </w:style>
  <w:style w:type="character" w:customStyle="1" w:styleId="BoldandItalics">
    <w:name w:val="Bold and Italics"/>
    <w:qFormat/>
    <w:rsid w:val="00E91E3E"/>
    <w:rPr>
      <w:b/>
      <w:i/>
      <w:u w:val="none"/>
    </w:rPr>
  </w:style>
  <w:style w:type="paragraph" w:styleId="BalloonText">
    <w:name w:val="Balloon Text"/>
    <w:basedOn w:val="Normal"/>
    <w:link w:val="BalloonTextChar"/>
    <w:rsid w:val="00E91E3E"/>
    <w:rPr>
      <w:rFonts w:ascii="Tahoma" w:hAnsi="Tahoma" w:cs="Tahoma"/>
      <w:sz w:val="16"/>
      <w:szCs w:val="16"/>
    </w:rPr>
  </w:style>
  <w:style w:type="character" w:customStyle="1" w:styleId="BalloonTextChar">
    <w:name w:val="Balloon Text Char"/>
    <w:basedOn w:val="DefaultParagraphFont"/>
    <w:link w:val="BalloonText"/>
    <w:rsid w:val="00E91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E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E3E"/>
    <w:rPr>
      <w:b/>
      <w:color w:val="660033"/>
      <w:spacing w:val="0"/>
    </w:rPr>
  </w:style>
  <w:style w:type="paragraph" w:customStyle="1" w:styleId="Nameditemlist">
    <w:name w:val="Named item list"/>
    <w:basedOn w:val="BodyText"/>
    <w:qFormat/>
    <w:rsid w:val="00E91E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2212</Words>
  <Characters>13665</Characters>
  <Application>Microsoft Office Word</Application>
  <DocSecurity>0</DocSecurity>
  <Lines>573</Lines>
  <Paragraphs>256</Paragraphs>
  <ScaleCrop>false</ScaleCrop>
  <Company>Author-it Software Corporation Ltd.</Company>
  <LinksUpToDate>false</LinksUpToDate>
  <CharactersWithSpaces>15701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UEENEEI113A Setup and configure Human-Machine Interface (HMI) and industrial networks</dc:title>
  <dc:subject>Approved</dc:subject>
  <dc:creator>E-OZ Training Standards</dc:creator>
  <cp:keywords>Release: 3</cp:keywords>
  <dc:description>Review Date: 12 April 2008</dc:description>
  <cp:lastModifiedBy>HSD_TPCMSd.prod</cp:lastModifiedBy>
  <cp:revision>3</cp:revision>
  <dcterms:created xsi:type="dcterms:W3CDTF">2013-08-14T07:17:00Z</dcterms:created>
  <dcterms:modified xsi:type="dcterms:W3CDTF">2013-08-14T07:17:00Z</dcterms:modified>
</cp:coreProperties>
</file>