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18A" w:rsidP="005F318A">
      <w:pPr>
        <w:pStyle w:val="Title"/>
      </w:pPr>
      <w:bookmarkStart w:id="0" w:name="_GoBack"/>
      <w:bookmarkEnd w:id="0"/>
      <w:r>
        <w:fldChar w:fldCharType="begin"/>
      </w:r>
      <w:r>
        <w:instrText xml:space="preserve"> TITLE   \* MERGEFORMAT </w:instrText>
      </w:r>
      <w:r>
        <w:fldChar w:fldCharType="separate"/>
      </w:r>
      <w:r>
        <w:t>UEENEEI111A Find and rectify faults in process final control elements</w:t>
      </w:r>
      <w:r>
        <w:fldChar w:fldCharType="end"/>
      </w:r>
    </w:p>
    <w:p w:rsidR="005F318A" w:rsidP="005F318A">
      <w:pPr>
        <w:pStyle w:val="Version"/>
        <w:sectPr w:rsidSect="002E7C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7CA2" w:rsidP="002E7CA2">
      <w:pPr>
        <w:pStyle w:val="SuperHeading"/>
      </w:pPr>
      <w:r w:rsidRPr="002E7CA2">
        <w:t>UEENEEI111A Find and rectify faults in process final control elements</w:t>
      </w:r>
    </w:p>
    <w:p w:rsidR="00000000" w:rsidRPr="002E7CA2" w:rsidP="002E7CA2">
      <w:pPr>
        <w:pStyle w:val="Heading1"/>
      </w:pPr>
      <w:bookmarkStart w:id="1" w:name="O_516567"/>
      <w:bookmarkEnd w:id="1"/>
      <w:r w:rsidRPr="002E7CA2">
        <w:t>Modification History</w:t>
      </w:r>
    </w:p>
    <w:tbl>
      <w:tblPr>
        <w:tblW w:w="0" w:type="auto"/>
        <w:tblCellMar>
          <w:left w:w="62" w:type="dxa"/>
          <w:right w:w="62" w:type="dxa"/>
        </w:tblCellMar>
        <w:tblLook w:val="0000"/>
      </w:tblPr>
      <w:tblGrid>
        <w:gridCol w:w="847"/>
        <w:gridCol w:w="847"/>
        <w:gridCol w:w="1354"/>
        <w:gridCol w:w="5093"/>
        <w:gridCol w:w="1055"/>
      </w:tblGrid>
      <w:tr w:rsidTr="005F31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 xml:space="preserve">UEENEEI111A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Find and rectify faults in process final control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p>
        </w:tc>
      </w:tr>
      <w:tr w:rsidTr="005F31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Points</w:t>
            </w:r>
          </w:p>
        </w:tc>
      </w:tr>
      <w:tr w:rsidTr="005F318A">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p>
        </w:tc>
      </w:tr>
      <w:tr w:rsidTr="005F31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p>
        </w:tc>
      </w:tr>
      <w:tr w:rsidTr="005F31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p>
        </w:tc>
      </w:tr>
      <w:tr w:rsidTr="005F318A">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CA2">
            <w:pPr>
              <w:pStyle w:val="BodyText"/>
              <w:rPr>
                <w:lang w:val="en-NZ"/>
              </w:rPr>
            </w:pPr>
            <w:r w:rsidRPr="002E7CA2">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CA2" w:rsidP="002E7CA2">
            <w:pPr>
              <w:pStyle w:val="BodyText"/>
            </w:pP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2" w:name="O_516566"/>
      <w:bookmarkEnd w:id="2"/>
      <w:r w:rsidRPr="002E7CA2">
        <w:t>Unit Descriptor</w:t>
      </w:r>
    </w:p>
    <w:tbl>
      <w:tblPr>
        <w:tblW w:w="0" w:type="auto"/>
        <w:tblLayout w:type="fixed"/>
        <w:tblCellMar>
          <w:left w:w="62" w:type="dxa"/>
          <w:right w:w="62" w:type="dxa"/>
        </w:tblCellMar>
        <w:tblLook w:val="0000"/>
      </w:tblPr>
      <w:tblGrid>
        <w:gridCol w:w="2700"/>
        <w:gridCol w:w="5760"/>
      </w:tblGrid>
      <w:tr w:rsidTr="005F31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1)</w:t>
            </w:r>
            <w:r w:rsidRPr="002E7CA2">
              <w:t xml:space="preserve"> </w:t>
            </w:r>
            <w:r w:rsidRPr="002E7CA2">
              <w:rPr>
                <w:rStyle w:val="SpecialBold"/>
              </w:rPr>
              <w:t>Scope:</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7C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1.1) Descriptor</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This unit covers finding and repairing faults in final control elements, including control valves, actuators and positioners. It encompasses working safely, interpreting valve specifications, applying knowledge of final control elements operating parameter</w:t>
            </w:r>
            <w:r w:rsidRPr="002E7CA2">
              <w:t>s, conducting tests and repairs and completing the necessary service documentation.</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3" w:name="O_516565"/>
      <w:bookmarkEnd w:id="3"/>
      <w:r w:rsidRPr="002E7CA2">
        <w:t>Application of the Unit</w:t>
      </w:r>
    </w:p>
    <w:tbl>
      <w:tblPr>
        <w:tblW w:w="0" w:type="auto"/>
        <w:tblLayout w:type="fixed"/>
        <w:tblCellMar>
          <w:left w:w="62" w:type="dxa"/>
          <w:right w:w="62" w:type="dxa"/>
        </w:tblCellMar>
        <w:tblLook w:val="0000"/>
      </w:tblPr>
      <w:tblGrid>
        <w:gridCol w:w="2672"/>
        <w:gridCol w:w="5699"/>
      </w:tblGrid>
      <w:tr w:rsidTr="005F318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2)</w:t>
            </w:r>
          </w:p>
        </w:tc>
      </w:tr>
      <w:tr w:rsidTr="005F318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 xml:space="preserve">This unit is intended for competency development in </w:t>
            </w:r>
            <w:r w:rsidRPr="002E7CA2">
              <w:t>entry-level employment based programs incorporat</w:t>
            </w:r>
            <w:r w:rsidRPr="002E7CA2">
              <w:t>ed in approved contracts of training.</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4" w:name="O_516564"/>
      <w:bookmarkEnd w:id="4"/>
      <w:r w:rsidRPr="002E7CA2">
        <w:t>Licensing/Regulatory Information</w:t>
      </w:r>
    </w:p>
    <w:tbl>
      <w:tblPr>
        <w:tblW w:w="0" w:type="auto"/>
        <w:tblLayout w:type="fixed"/>
        <w:tblCellMar>
          <w:left w:w="62" w:type="dxa"/>
          <w:right w:w="62" w:type="dxa"/>
        </w:tblCellMar>
        <w:tblLook w:val="0000"/>
      </w:tblPr>
      <w:tblGrid>
        <w:gridCol w:w="2700"/>
        <w:gridCol w:w="5760"/>
      </w:tblGrid>
      <w:tr w:rsidTr="005F31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 xml:space="preserve">3) </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The skills and knowledge described in this unit do not require a license to practice in the workplace. However, practice in this unit is subject to regulations directly related to occupational health and safety and where applicable contracts of training su</w:t>
            </w:r>
            <w:r w:rsidRPr="002E7CA2">
              <w:t>ch as apprenticeships.</w:t>
            </w:r>
          </w:p>
          <w:p w:rsidR="00000000" w:rsidRPr="002E7CA2" w:rsidP="002E7CA2">
            <w:pPr>
              <w:pStyle w:val="BodyText"/>
            </w:pPr>
            <w:r w:rsidRPr="002E7CA2">
              <w:t xml:space="preserve">Note: </w:t>
            </w:r>
          </w:p>
          <w:p w:rsidR="00000000" w:rsidRPr="002E7CA2" w:rsidP="002E7CA2">
            <w:pPr>
              <w:pStyle w:val="BodyText"/>
            </w:pPr>
            <w:r w:rsidRPr="002E7CA2">
              <w:t>1. Compliance with permits may be required in various jurisdictions and typically relates to the operation of plant, machinery and equipment such as elevating work platforms, powder operated fixing tools, power operated tools,</w:t>
            </w:r>
            <w:r w:rsidRPr="002E7CA2">
              <w:t xml:space="preserve"> vehicles, road signage and traffic control and lifting equipment. Permits may also be required for some work environments such as confined spaces, working aloft, near live electrical apparatus and site rehabilitation.</w:t>
            </w:r>
          </w:p>
          <w:p w:rsidR="00000000" w:rsidRPr="002E7CA2" w:rsidP="002E7CA2">
            <w:pPr>
              <w:pStyle w:val="BodyText"/>
            </w:pPr>
            <w:r w:rsidRPr="002E7CA2">
              <w:t>2. Compliance may be required in vari</w:t>
            </w:r>
            <w:r w:rsidRPr="002E7CA2">
              <w:t>ous jurisdictions relating to currency in First Aid, confined space and lifting and risk safety measures.</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5" w:name="O_516563"/>
      <w:bookmarkEnd w:id="5"/>
      <w:r w:rsidRPr="002E7CA2">
        <w:t>Pre-Requisites</w:t>
      </w:r>
    </w:p>
    <w:tbl>
      <w:tblPr>
        <w:tblW w:w="0" w:type="auto"/>
        <w:tblLayout w:type="fixed"/>
        <w:tblCellMar>
          <w:left w:w="62" w:type="dxa"/>
          <w:right w:w="62" w:type="dxa"/>
        </w:tblCellMar>
        <w:tblLook w:val="0000"/>
      </w:tblPr>
      <w:tblGrid>
        <w:gridCol w:w="2700"/>
        <w:gridCol w:w="1440"/>
        <w:gridCol w:w="4320"/>
      </w:tblGrid>
      <w:tr w:rsidTr="005F31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 xml:space="preserve">4) </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4.1)</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Granting competency in this unit shall be made only after competency in the following unit(s) has/have been confirmed.</w:t>
            </w:r>
          </w:p>
        </w:tc>
      </w:tr>
      <w:tr w:rsidTr="005F318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 xml:space="preserve">Apply Occupational Health and Safety regulations, codes and practices in the workplace </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UEENEEE107A</w:t>
            </w:r>
            <w:r w:rsidRPr="002E7CA2">
              <w:tab/>
              <w:t xml:space="preserve"> </w:t>
            </w:r>
          </w:p>
        </w:tc>
        <w:tc>
          <w:tcPr>
            <w:tcW w:w="432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Use drawings, diagrams, schedules, standards, codes and specifications</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UEENEEI101A</w:t>
            </w:r>
            <w:r w:rsidRPr="002E7CA2">
              <w:tab/>
            </w:r>
          </w:p>
        </w:tc>
        <w:tc>
          <w:tcPr>
            <w:tcW w:w="432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Use instrumentation drawings, specification, standards and equipment manuals</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UEENEEI107A</w:t>
            </w:r>
          </w:p>
        </w:tc>
        <w:tc>
          <w:tcPr>
            <w:tcW w:w="432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Install instrumentation and control cabling and tubing</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UEENEEI108A</w:t>
            </w:r>
          </w:p>
        </w:tc>
        <w:tc>
          <w:tcPr>
            <w:tcW w:w="432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Install in</w:t>
            </w:r>
            <w:r w:rsidRPr="002E7CA2">
              <w:t>strumentation and control apparatus and associated equipment</w:t>
            </w:r>
          </w:p>
        </w:tc>
      </w:tr>
    </w:tbl>
    <w:p w:rsidR="00000000" w:rsidRPr="002E7CA2" w:rsidP="002E7CA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F318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 xml:space="preserve">4.2) </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 xml:space="preserve">Participants are best equipped to achieve competency in this unit if they have reading, writing and numeracy skills indicated by the following </w:t>
            </w:r>
            <w:r w:rsidRPr="002E7CA2">
              <w:t>scales. Description of each scale is given in Volume 2, Part 3 ‘Literacy and Numeracy’</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Reading</w:t>
            </w:r>
          </w:p>
        </w:tc>
        <w:tc>
          <w:tcPr>
            <w:tcW w:w="81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w:t>
            </w:r>
          </w:p>
        </w:tc>
        <w:tc>
          <w:tcPr>
            <w:tcW w:w="99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Writing</w:t>
            </w: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w:t>
            </w:r>
          </w:p>
        </w:tc>
        <w:tc>
          <w:tcPr>
            <w:tcW w:w="12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Numeracy</w:t>
            </w:r>
          </w:p>
        </w:tc>
        <w:tc>
          <w:tcPr>
            <w:tcW w:w="72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3</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6" w:name="O_516562"/>
      <w:bookmarkEnd w:id="6"/>
      <w:r w:rsidRPr="002E7CA2">
        <w:t>Employability Skills Information</w:t>
      </w:r>
    </w:p>
    <w:tbl>
      <w:tblPr>
        <w:tblW w:w="0" w:type="auto"/>
        <w:tblLayout w:type="fixed"/>
        <w:tblCellMar>
          <w:left w:w="62" w:type="dxa"/>
          <w:right w:w="62" w:type="dxa"/>
        </w:tblCellMar>
        <w:tblLook w:val="0000"/>
      </w:tblPr>
      <w:tblGrid>
        <w:gridCol w:w="2700"/>
        <w:gridCol w:w="5760"/>
      </w:tblGrid>
      <w:tr w:rsidTr="005F31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 xml:space="preserve">5) </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This unit contains Employability Skills</w:t>
            </w:r>
          </w:p>
          <w:p w:rsidR="00000000" w:rsidRPr="002E7CA2" w:rsidP="002E7CA2">
            <w:pPr>
              <w:pStyle w:val="BodyText"/>
            </w:pPr>
            <w:r w:rsidRPr="002E7CA2">
              <w:t>Th</w:t>
            </w:r>
            <w:r w:rsidRPr="002E7CA2">
              <w:t>e required outcomes described in this unit of competency contain applicable facets of Employability Skills. The Employability Skills Summary of the qualification in which this unit of competency is packaged will assist in identifying Employability Skill re</w:t>
            </w:r>
            <w:r w:rsidRPr="002E7CA2">
              <w:t>quirements.</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7" w:name="O_516561"/>
      <w:bookmarkEnd w:id="7"/>
      <w:r w:rsidRPr="002E7CA2">
        <w:t>Elements and Performance Criteria Pre-Content</w:t>
      </w:r>
    </w:p>
    <w:tbl>
      <w:tblPr>
        <w:tblW w:w="0" w:type="auto"/>
        <w:tblLayout w:type="fixed"/>
        <w:tblCellMar>
          <w:left w:w="62" w:type="dxa"/>
          <w:right w:w="62" w:type="dxa"/>
        </w:tblCellMar>
        <w:tblLook w:val="0000"/>
      </w:tblPr>
      <w:tblGrid>
        <w:gridCol w:w="2700"/>
        <w:gridCol w:w="5760"/>
      </w:tblGrid>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6)</w:t>
            </w:r>
            <w:r w:rsidRPr="002E7CA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 xml:space="preserve">Performance Criteria describe the required performance needed to demonstrate achievement of the element. </w:t>
            </w:r>
            <w:r w:rsidRPr="002E7CA2">
              <w:t>Assessment of performance is to be consistent with the Evidence Guide.</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8" w:name="O_516560"/>
      <w:bookmarkEnd w:id="8"/>
      <w:r w:rsidRPr="002E7C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F318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PERFORMANCE CRITERIA</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1</w:t>
            </w:r>
          </w:p>
        </w:tc>
        <w:tc>
          <w:tcPr>
            <w:tcW w:w="2296" w:type="dxa"/>
            <w:vMerge w:val="restart"/>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Prepare to find and repair faults in final control elements</w:t>
            </w: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1.1</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OHS procedures for a given work area are identified, obtained and understood</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1.2</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OHS risk control measures and procedures are followed in preparation for the work.</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1.3</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The nature of the fault is obtained from documentation, tests or from work supervisor to establish the scope of work to be undertaken.</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1.4</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The need to test or measure operating systems is determined in strict accordance with OHS requirements and when ne</w:t>
            </w:r>
            <w:r w:rsidRPr="002E7CA2">
              <w:t>cessary conducted within established safety procedures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1.5</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 xml:space="preserve">Advice is sought from the work supervisor to ensure the work is coordinated effectively with others. </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1.6</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Sources of materials that may be required for the work are established in accordance with established procedures.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1.7</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Tools, equipment and testing devices needed to carry out the work are obtained in accordance with established procedures and checked fo</w:t>
            </w:r>
            <w:r w:rsidRPr="002E7CA2">
              <w:t>r correct operation and safety</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2</w:t>
            </w:r>
          </w:p>
        </w:tc>
        <w:tc>
          <w:tcPr>
            <w:tcW w:w="2296" w:type="dxa"/>
            <w:vMerge w:val="restart"/>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Find faults in final control elements and associated equipment</w:t>
            </w: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2.1</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OHS risk control measures and procedures for carrying out the work are followed.</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2.2</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Apparatus is checked as being isolated where necessary in strict accordance OHS requirements and procedures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2.3</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Fault finding is approached methodically drawing on knowledge of processes, control valves, actuators and positioners using measured and calc</w:t>
            </w:r>
            <w:r w:rsidRPr="002E7CA2">
              <w:t>ulated values.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2.4</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Apparatus components are dismantled where necessary and parts stored to protect them against loss or damage</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2.5</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Faulty components are rechecked and their fault status confirmed.</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2.6</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Unexpected situations are dealt with safely and with the approval of an authorised person.</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2.7</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Fault finding activities are carried out without damage to apparatus, circuits, the surrounding environment or services and using sustainable energy principle</w:t>
            </w:r>
            <w:r w:rsidRPr="002E7CA2">
              <w:t>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w:t>
            </w:r>
          </w:p>
        </w:tc>
        <w:tc>
          <w:tcPr>
            <w:tcW w:w="2296" w:type="dxa"/>
            <w:vMerge w:val="restart"/>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Rectify faults in final control elements and associated equipment</w:t>
            </w: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3.1</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OHS risk control measures and procedures for carrying out the work are followed.</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3.2</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Apparatus is checked as being isolated where necessary in strict accordance OHS req</w:t>
            </w:r>
            <w:r w:rsidRPr="002E7CA2">
              <w:t>uirements and procedures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3.3</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Materials required to rectify faults are sourced and obtained in accordance with established procedures.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3.4</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Rectification and repairs are affected efficiently without damage to other components, apparatus or circuits.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3.5</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Effectiveness of repairs is tested in accordance with established procedures.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3.6</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Apparatus is reassembled, finally tested and prepared for return to service.</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3.7</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Repairs are carried out without damage to apparatus, circuits, the surrounding env</w:t>
            </w:r>
            <w:r w:rsidRPr="002E7CA2">
              <w:t>ironment or services and using sustainable energy principles.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4</w:t>
            </w:r>
          </w:p>
        </w:tc>
        <w:tc>
          <w:tcPr>
            <w:tcW w:w="2296"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4.1</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OHS work completion risk control measures and procedures are followed.</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4.2</w:t>
            </w:r>
          </w:p>
        </w:tc>
        <w:tc>
          <w:tcPr>
            <w:tcW w:w="48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Work area is cleaned and made safe in a</w:t>
            </w:r>
            <w:r w:rsidRPr="002E7CA2">
              <w:t>ccordance with established procedures.</w:t>
            </w:r>
          </w:p>
        </w:tc>
      </w:tr>
      <w:tr w:rsidTr="005F31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4.3</w:t>
            </w:r>
          </w:p>
        </w:tc>
        <w:tc>
          <w:tcPr>
            <w:tcW w:w="486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Written justification is made for repairs to control valves</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9" w:name="O_516559"/>
      <w:bookmarkEnd w:id="9"/>
      <w:r w:rsidRPr="002E7CA2">
        <w:t>Required Skills and Knowledge</w:t>
      </w:r>
    </w:p>
    <w:tbl>
      <w:tblPr>
        <w:tblW w:w="0" w:type="auto"/>
        <w:tblLayout w:type="fixed"/>
        <w:tblCellMar>
          <w:left w:w="62" w:type="dxa"/>
          <w:right w:w="62" w:type="dxa"/>
        </w:tblCellMar>
        <w:tblLook w:val="0000"/>
      </w:tblPr>
      <w:tblGrid>
        <w:gridCol w:w="1440"/>
        <w:gridCol w:w="7020"/>
      </w:tblGrid>
      <w:tr w:rsidTr="005F318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REQUIRED SKILLS AND KNOWLEDGE</w:t>
            </w:r>
          </w:p>
        </w:tc>
      </w:tr>
      <w:tr w:rsidTr="005F318A">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8)</w:t>
            </w:r>
            <w:r w:rsidRPr="002E7CA2">
              <w:t xml:space="preserve"> This describes the required skills and knowledge and their level, required for this unit.</w:t>
            </w:r>
          </w:p>
          <w:p w:rsidR="00000000" w:rsidRPr="002E7CA2" w:rsidP="002E7CA2">
            <w:pPr>
              <w:pStyle w:val="BodyText"/>
            </w:pPr>
            <w:r w:rsidRPr="002E7CA2">
              <w:t>Evidence shall show that knowledge has been acquired of safe working practices and finding and rectifying faults in process final control elements and associated equ</w:t>
            </w:r>
            <w:r w:rsidRPr="002E7CA2">
              <w:t xml:space="preserve">ipment. </w:t>
            </w:r>
          </w:p>
          <w:p w:rsidR="00000000" w:rsidP="002E7CA2">
            <w:pPr>
              <w:pStyle w:val="BodyText"/>
              <w:rPr>
                <w:lang w:val="en-NZ"/>
              </w:rPr>
            </w:pPr>
            <w:r w:rsidRPr="002E7CA2">
              <w:t>All knowledge and skills detailed in this unit should be contextualised to current industry practices and technologies.</w:t>
            </w:r>
          </w:p>
        </w:tc>
      </w:tr>
      <w:tr w:rsidTr="005F318A">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KS01-EI111A</w:t>
            </w:r>
          </w:p>
        </w:tc>
        <w:tc>
          <w:tcPr>
            <w:tcW w:w="702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Final control elements principles and applications</w:t>
            </w:r>
          </w:p>
        </w:tc>
      </w:tr>
      <w:tr w:rsidTr="005F318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 xml:space="preserve">Evidence shall show an understanding of principles of final </w:t>
            </w:r>
            <w:r w:rsidRPr="002E7CA2">
              <w:t>control elements to an extent indicated by the following aspects:</w:t>
            </w:r>
          </w:p>
        </w:tc>
      </w:tr>
      <w:tr w:rsidTr="005F318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T1</w:t>
            </w:r>
          </w:p>
        </w:tc>
        <w:tc>
          <w:tcPr>
            <w:tcW w:w="702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Control valve body and trim types and flow characteristics encompassing:</w:t>
            </w:r>
          </w:p>
          <w:p w:rsidR="00000000" w:rsidRPr="002E7CA2" w:rsidP="002E7CA2">
            <w:pPr>
              <w:pStyle w:val="ListBullet2"/>
            </w:pPr>
            <w:r w:rsidRPr="002E7CA2">
              <w:t>body types and their typical applications.</w:t>
            </w:r>
          </w:p>
          <w:p w:rsidR="00000000" w:rsidRPr="002E7CA2" w:rsidP="002E7CA2">
            <w:pPr>
              <w:pStyle w:val="ListBullet2"/>
            </w:pPr>
            <w:r w:rsidRPr="002E7CA2">
              <w:t>seating and trim arrangements.</w:t>
            </w:r>
          </w:p>
          <w:p w:rsidR="00000000" w:rsidRPr="002E7CA2" w:rsidP="002E7CA2">
            <w:pPr>
              <w:pStyle w:val="ListBullet2"/>
            </w:pPr>
            <w:r w:rsidRPr="002E7CA2">
              <w:t>flow characteristics of various valves.</w:t>
            </w:r>
          </w:p>
          <w:p w:rsidR="00000000" w:rsidP="002E7CA2">
            <w:pPr>
              <w:pStyle w:val="ListBullet2"/>
              <w:rPr>
                <w:lang w:val="en-NZ"/>
              </w:rPr>
            </w:pPr>
            <w:r w:rsidRPr="002E7CA2">
              <w:t>Control valve terms  - leakage, turndown, rangeability, choked, flow, Cv rating, and perform basic calculations and Cv a rating</w:t>
            </w:r>
          </w:p>
        </w:tc>
      </w:tr>
      <w:tr w:rsidTr="005F318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T2</w:t>
            </w:r>
          </w:p>
        </w:tc>
        <w:tc>
          <w:tcPr>
            <w:tcW w:w="702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Control valve selection encompassing:</w:t>
            </w:r>
          </w:p>
          <w:p w:rsidR="00000000" w:rsidRPr="002E7CA2" w:rsidP="002E7CA2">
            <w:pPr>
              <w:pStyle w:val="ListBullet2"/>
            </w:pPr>
            <w:r w:rsidRPr="002E7CA2">
              <w:t xml:space="preserve">Valve purpose size and characteristic </w:t>
            </w:r>
          </w:p>
          <w:p w:rsidR="00000000" w:rsidRPr="002E7CA2" w:rsidP="002E7CA2">
            <w:pPr>
              <w:pStyle w:val="ListBullet2"/>
            </w:pPr>
            <w:r w:rsidRPr="002E7CA2">
              <w:t xml:space="preserve">Valve </w:t>
            </w:r>
            <w:r w:rsidRPr="002E7CA2">
              <w:t>manufactures specifications</w:t>
            </w:r>
          </w:p>
          <w:p w:rsidR="00000000" w:rsidP="002E7CA2">
            <w:pPr>
              <w:pStyle w:val="ListBullet2"/>
              <w:rPr>
                <w:lang w:val="en-NZ"/>
              </w:rPr>
            </w:pPr>
            <w:r w:rsidRPr="002E7CA2">
              <w:t>Valve faults</w:t>
            </w:r>
          </w:p>
        </w:tc>
      </w:tr>
      <w:tr w:rsidTr="005F318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T3</w:t>
            </w:r>
          </w:p>
        </w:tc>
        <w:tc>
          <w:tcPr>
            <w:tcW w:w="702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Spring opposed diaphragm actuator encompassing:</w:t>
            </w:r>
          </w:p>
          <w:p w:rsidR="00000000" w:rsidRPr="002E7CA2" w:rsidP="002E7CA2">
            <w:pPr>
              <w:pStyle w:val="ListBullet2"/>
            </w:pPr>
            <w:r w:rsidRPr="002E7CA2">
              <w:t xml:space="preserve">control valve actuators </w:t>
            </w:r>
          </w:p>
          <w:p w:rsidR="00000000" w:rsidRPr="002E7CA2" w:rsidP="002E7CA2">
            <w:pPr>
              <w:pStyle w:val="ListBullet2"/>
            </w:pPr>
            <w:r w:rsidRPr="002E7CA2">
              <w:t>air-to-raise</w:t>
            </w:r>
          </w:p>
          <w:p w:rsidR="00000000" w:rsidRPr="002E7CA2" w:rsidP="002E7CA2">
            <w:pPr>
              <w:pStyle w:val="ListBullet2"/>
            </w:pPr>
            <w:r w:rsidRPr="002E7CA2">
              <w:t xml:space="preserve">air-to-lower. </w:t>
            </w:r>
          </w:p>
          <w:p w:rsidR="00000000" w:rsidRPr="002E7CA2" w:rsidP="002E7CA2">
            <w:pPr>
              <w:pStyle w:val="ListBullet2"/>
            </w:pPr>
            <w:r w:rsidRPr="002E7CA2">
              <w:t>fail-safe action of a valve/actuator combination.</w:t>
            </w:r>
          </w:p>
          <w:p w:rsidR="00000000" w:rsidRPr="002E7CA2" w:rsidP="002E7CA2">
            <w:pPr>
              <w:pStyle w:val="ListBullet2"/>
            </w:pPr>
            <w:r w:rsidRPr="002E7CA2">
              <w:t>Actuator characteristics and applications encompassing:</w:t>
            </w:r>
          </w:p>
          <w:p w:rsidR="00000000" w:rsidRPr="002E7CA2" w:rsidP="002E7CA2">
            <w:pPr>
              <w:pStyle w:val="ListBullet2"/>
            </w:pPr>
            <w:r w:rsidRPr="002E7CA2">
              <w:t>actuator forces, spring rate values and process pressure on valve performance.</w:t>
            </w:r>
          </w:p>
          <w:p w:rsidR="00000000" w:rsidP="002E7CA2">
            <w:pPr>
              <w:pStyle w:val="ListBullet2"/>
              <w:rPr>
                <w:lang w:val="en-NZ"/>
              </w:rPr>
            </w:pPr>
            <w:r w:rsidRPr="002E7CA2">
              <w:t>spring opposed actuator to suit air-to-open and air-to-close valves. Adjust a single seating valve for shut-off.</w:t>
            </w:r>
          </w:p>
        </w:tc>
      </w:tr>
      <w:tr w:rsidTr="005F318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T4</w:t>
            </w:r>
          </w:p>
        </w:tc>
        <w:tc>
          <w:tcPr>
            <w:tcW w:w="702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Valve positioners encompassing:</w:t>
            </w:r>
          </w:p>
          <w:p w:rsidR="00000000" w:rsidRPr="002E7CA2" w:rsidP="002E7CA2">
            <w:pPr>
              <w:pStyle w:val="ListBullet2"/>
            </w:pPr>
            <w:r w:rsidRPr="002E7CA2">
              <w:t>valve positioner operation.</w:t>
            </w:r>
          </w:p>
          <w:p w:rsidR="00000000" w:rsidRPr="002E7CA2" w:rsidP="002E7CA2">
            <w:pPr>
              <w:pStyle w:val="ListBullet2"/>
            </w:pPr>
            <w:r w:rsidRPr="002E7CA2">
              <w:t>Calibrate/adjust valve positioners for various signals.</w:t>
            </w:r>
          </w:p>
          <w:p w:rsidR="00000000" w:rsidRPr="002E7CA2" w:rsidP="002E7CA2">
            <w:pPr>
              <w:pStyle w:val="ListBullet2"/>
            </w:pPr>
            <w:r w:rsidRPr="002E7CA2">
              <w:t>cam and spring feedback positioners on control valves.</w:t>
            </w:r>
          </w:p>
          <w:p w:rsidR="00000000" w:rsidRPr="002E7CA2" w:rsidP="002E7CA2">
            <w:pPr>
              <w:pStyle w:val="ListBullet2"/>
            </w:pPr>
            <w:r w:rsidRPr="002E7CA2">
              <w:t>pneumatic, electro-pneumatic and electro hydraulic positioners/actuators.</w:t>
            </w:r>
          </w:p>
          <w:p w:rsidR="00000000" w:rsidP="002E7CA2">
            <w:pPr>
              <w:pStyle w:val="ListBullet2"/>
              <w:rPr>
                <w:lang w:val="en-NZ"/>
              </w:rPr>
            </w:pPr>
            <w:r w:rsidRPr="002E7CA2">
              <w:t>Reverse positioner control action and adjust for split range.</w:t>
            </w:r>
          </w:p>
        </w:tc>
      </w:tr>
      <w:tr w:rsidTr="005F318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T5</w:t>
            </w:r>
          </w:p>
        </w:tc>
        <w:tc>
          <w:tcPr>
            <w:tcW w:w="702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Power cylinder (piston actuator) types encompassing:</w:t>
            </w:r>
          </w:p>
          <w:p w:rsidR="00000000" w:rsidRPr="002E7CA2" w:rsidP="002E7CA2">
            <w:pPr>
              <w:pStyle w:val="ListBullet2"/>
            </w:pPr>
            <w:r w:rsidRPr="002E7CA2">
              <w:t xml:space="preserve">test power cylinders. </w:t>
            </w:r>
          </w:p>
          <w:p w:rsidR="00000000" w:rsidRPr="002E7CA2" w:rsidP="002E7CA2">
            <w:pPr>
              <w:pStyle w:val="ListBullet2"/>
            </w:pPr>
            <w:r w:rsidRPr="002E7CA2">
              <w:t>extension and retraction forces.</w:t>
            </w:r>
          </w:p>
          <w:p w:rsidR="00000000" w:rsidRPr="002E7CA2" w:rsidP="002E7CA2">
            <w:pPr>
              <w:pStyle w:val="ListBullet2"/>
            </w:pPr>
            <w:r w:rsidRPr="002E7CA2">
              <w:t>single acting positive</w:t>
            </w:r>
          </w:p>
          <w:p w:rsidR="00000000" w:rsidRPr="002E7CA2" w:rsidP="002E7CA2">
            <w:pPr>
              <w:pStyle w:val="ListBullet2"/>
            </w:pPr>
            <w:r w:rsidRPr="002E7CA2">
              <w:t>single acting negative</w:t>
            </w:r>
          </w:p>
          <w:p w:rsidR="00000000" w:rsidRPr="002E7CA2" w:rsidP="002E7CA2">
            <w:pPr>
              <w:pStyle w:val="ListBullet2"/>
            </w:pPr>
            <w:r w:rsidRPr="002E7CA2">
              <w:t xml:space="preserve">double acting </w:t>
            </w:r>
          </w:p>
          <w:p w:rsidR="00000000" w:rsidRPr="002E7CA2" w:rsidP="002E7CA2">
            <w:pPr>
              <w:pStyle w:val="ListBullet2"/>
            </w:pPr>
            <w:r w:rsidRPr="002E7CA2">
              <w:t>Position controllers (positioners)</w:t>
            </w:r>
          </w:p>
          <w:p w:rsidR="00000000" w:rsidRPr="002E7CA2" w:rsidP="002E7CA2">
            <w:pPr>
              <w:pStyle w:val="ListBullet2"/>
            </w:pPr>
            <w:r w:rsidRPr="002E7CA2">
              <w:t>Directional control valves and pilot operators</w:t>
            </w:r>
          </w:p>
          <w:p w:rsidR="00000000" w:rsidP="002E7CA2">
            <w:pPr>
              <w:pStyle w:val="ListBullet2"/>
              <w:rPr>
                <w:lang w:val="en-NZ"/>
              </w:rPr>
            </w:pPr>
            <w:r w:rsidRPr="002E7CA2">
              <w:t>Pow</w:t>
            </w:r>
            <w:r w:rsidRPr="002E7CA2">
              <w:t>er cylinder pilot valve combinations  - two, three and five port types, actuation and return modes: solenoid, mechanical, electrical, spring, regulator, filter and lubricator sets and pneumatic control circuits</w:t>
            </w:r>
          </w:p>
        </w:tc>
      </w:tr>
      <w:tr w:rsidTr="005F318A">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T6</w:t>
            </w:r>
          </w:p>
        </w:tc>
        <w:tc>
          <w:tcPr>
            <w:tcW w:w="702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Self-acting pressure and temperature control valves encompassing:</w:t>
            </w:r>
          </w:p>
          <w:p w:rsidR="00000000" w:rsidRPr="002E7CA2" w:rsidP="002E7CA2">
            <w:pPr>
              <w:pStyle w:val="ListBullet2"/>
            </w:pPr>
            <w:r w:rsidRPr="002E7CA2">
              <w:t>pressure or temperature regulating valves.</w:t>
            </w:r>
          </w:p>
          <w:p w:rsidR="00000000" w:rsidRPr="002E7CA2" w:rsidP="002E7CA2">
            <w:pPr>
              <w:pStyle w:val="ListBullet2"/>
            </w:pPr>
            <w:r w:rsidRPr="002E7CA2">
              <w:t>self-acting valves to load changes.</w:t>
            </w:r>
          </w:p>
          <w:p w:rsidR="00000000" w:rsidRPr="002E7CA2" w:rsidP="002E7CA2">
            <w:pPr>
              <w:pStyle w:val="ListBullet2"/>
            </w:pPr>
            <w:r w:rsidRPr="002E7CA2">
              <w:t>pressure reducing and pressure relief valves.</w:t>
            </w:r>
          </w:p>
          <w:p w:rsidR="00000000" w:rsidRPr="002E7CA2" w:rsidP="002E7CA2">
            <w:pPr>
              <w:pStyle w:val="ListBullet2"/>
            </w:pPr>
            <w:r w:rsidRPr="002E7CA2">
              <w:t>self acting valve for required control point</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10" w:name="O_516558"/>
      <w:bookmarkEnd w:id="10"/>
      <w:r w:rsidRPr="002E7CA2">
        <w:t>Evidence Guide</w:t>
      </w:r>
    </w:p>
    <w:tbl>
      <w:tblPr>
        <w:tblW w:w="0" w:type="auto"/>
        <w:tblLayout w:type="fixed"/>
        <w:tblCellMar>
          <w:left w:w="62" w:type="dxa"/>
          <w:right w:w="62" w:type="dxa"/>
        </w:tblCellMar>
        <w:tblLook w:val="0000"/>
      </w:tblPr>
      <w:tblGrid>
        <w:gridCol w:w="8460"/>
      </w:tblGrid>
      <w:tr w:rsidTr="005F31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EVIDENCE GUIDE</w:t>
            </w:r>
          </w:p>
        </w:tc>
      </w:tr>
      <w:tr w:rsidTr="005F31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9)</w:t>
            </w:r>
            <w:r w:rsidRPr="002E7CA2">
              <w:t xml:space="preserve"> The evidence guide provides advice on assessment and must be read in conjunction with the Performance Criteria, Required Skills and Knowledge, the Range Statement and the Assessment Guidelines for this Training Package.</w:t>
            </w:r>
          </w:p>
          <w:p w:rsidR="00000000" w:rsidRPr="002E7CA2" w:rsidP="002E7CA2">
            <w:pPr>
              <w:pStyle w:val="BodyText"/>
            </w:pPr>
            <w:r w:rsidRPr="002E7CA2">
              <w:t>The Evidence Guide forms an integral part of this unit. It must be used in conjunction with all parts of the unit and performed in accordance with the Assessment Guidelines of this Training Package.</w:t>
            </w:r>
          </w:p>
        </w:tc>
      </w:tr>
    </w:tbl>
    <w:p w:rsidR="00000000" w:rsidRPr="002E7CA2" w:rsidP="002E7CA2">
      <w:pPr>
        <w:pStyle w:val="BodyText"/>
      </w:pPr>
    </w:p>
    <w:tbl>
      <w:tblPr>
        <w:tblW w:w="0" w:type="auto"/>
        <w:tblLayout w:type="fixed"/>
        <w:tblCellMar>
          <w:left w:w="62" w:type="dxa"/>
          <w:right w:w="62" w:type="dxa"/>
        </w:tblCellMar>
        <w:tblLook w:val="0000"/>
      </w:tblPr>
      <w:tblGrid>
        <w:gridCol w:w="1890"/>
        <w:gridCol w:w="6570"/>
      </w:tblGrid>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9.1)</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The evidence guide provid</w:t>
            </w:r>
            <w:r w:rsidRPr="002E7CA2">
              <w:t>es advice on assessment and must be read in conjunction with the Performance Criteria, Required Skills and Knowledge, the Range Statement and the Assessment Guidelines for this Training Package.</w:t>
            </w:r>
          </w:p>
          <w:p w:rsidR="00000000" w:rsidRPr="002E7CA2" w:rsidP="002E7CA2">
            <w:pPr>
              <w:pStyle w:val="BodyText"/>
            </w:pPr>
            <w:r w:rsidRPr="002E7CA2">
              <w:t>The Evidence Guide forms an integral part of this unit. It mu</w:t>
            </w:r>
            <w:r w:rsidRPr="002E7CA2">
              <w:t>st be used in conjunction with all parts of the unit and performed in accordance with the Assessment Guidelines of this Training Package.</w:t>
            </w:r>
          </w:p>
        </w:tc>
      </w:tr>
    </w:tbl>
    <w:p w:rsidR="00000000" w:rsidRPr="002E7CA2" w:rsidP="002E7CA2">
      <w:pPr>
        <w:pStyle w:val="BodyText"/>
      </w:pPr>
    </w:p>
    <w:tbl>
      <w:tblPr>
        <w:tblW w:w="0" w:type="auto"/>
        <w:tblLayout w:type="fixed"/>
        <w:tblCellMar>
          <w:left w:w="62" w:type="dxa"/>
          <w:right w:w="62" w:type="dxa"/>
        </w:tblCellMar>
        <w:tblLook w:val="0000"/>
      </w:tblPr>
      <w:tblGrid>
        <w:gridCol w:w="1890"/>
        <w:gridCol w:w="1530"/>
        <w:gridCol w:w="5040"/>
      </w:tblGrid>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9.2)</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Before th</w:t>
            </w:r>
            <w:r w:rsidRPr="002E7CA2">
              <w:t>e critical aspects of evidence are considered all prerequisites must be met.</w:t>
            </w:r>
          </w:p>
          <w:p w:rsidR="00000000" w:rsidRPr="002E7CA2" w:rsidP="002E7CA2">
            <w:pPr>
              <w:pStyle w:val="BodyText"/>
            </w:pPr>
            <w:r w:rsidRPr="002E7CA2">
              <w:t>Evidence for competence in this unit shall be considered holistically.  Each Element and associated performance criteria must be demonstrated on at least two occasions in accordan</w:t>
            </w:r>
            <w:r w:rsidRPr="002E7CA2">
              <w:t>ce with the ‘Assessment Guidelines – UEE11’.  Evidence shall also comprise:</w:t>
            </w:r>
          </w:p>
          <w:p w:rsidR="00000000" w:rsidRPr="002E7CA2" w:rsidP="002E7CA2">
            <w:pPr>
              <w:pStyle w:val="ListBullet"/>
            </w:pPr>
            <w:r w:rsidRPr="002E7CA2">
              <w:t>A representative body of work performance demonstrated within the timeframes typically expected of the discipline, work function and industrial environment. In particular this sha</w:t>
            </w:r>
            <w:r w:rsidRPr="002E7CA2">
              <w:t>ll incorporate evidence that shows a candidate is able to:</w:t>
            </w:r>
          </w:p>
          <w:p w:rsidR="00000000" w:rsidRPr="002E7CA2" w:rsidP="002E7CA2">
            <w:pPr>
              <w:pStyle w:val="ListBullet2"/>
            </w:pPr>
            <w:r w:rsidRPr="002E7CA2">
              <w:t>Implement Occupational Health and Safety workplace procedures and practices, including the use of risk control measures as specified in the performance criteria and range statement</w:t>
            </w:r>
          </w:p>
          <w:p w:rsidR="00000000" w:rsidRPr="002E7CA2" w:rsidP="002E7CA2">
            <w:pPr>
              <w:pStyle w:val="ListBullet2"/>
            </w:pPr>
            <w:r w:rsidRPr="002E7CA2">
              <w:t>Apply sustainable energy principles and practices as specified in the performance criteria and range statement</w:t>
            </w:r>
          </w:p>
          <w:p w:rsidR="00000000" w:rsidRPr="002E7CA2" w:rsidP="002E7CA2">
            <w:pPr>
              <w:pStyle w:val="ListBullet2"/>
            </w:pPr>
            <w:r w:rsidRPr="002E7CA2">
              <w:t xml:space="preserve">Demonstrate an understanding of the required skills and knowledge as described in this unit.  It may be required by some jurisdictions that RTOs </w:t>
            </w:r>
            <w:r w:rsidRPr="002E7CA2">
              <w:t>provide a percentile graded result for the purpose of regulatory or licensing requirements.</w:t>
            </w:r>
          </w:p>
          <w:p w:rsidR="00000000" w:rsidRPr="002E7CA2" w:rsidP="002E7CA2">
            <w:pPr>
              <w:pStyle w:val="ListBullet2"/>
            </w:pPr>
            <w:r w:rsidRPr="002E7CA2">
              <w:t>Demonstrate an appropriate level of skills enabling employment</w:t>
            </w:r>
          </w:p>
          <w:p w:rsidR="00000000" w:rsidRPr="002E7CA2" w:rsidP="002E7CA2">
            <w:pPr>
              <w:pStyle w:val="ListBullet2"/>
            </w:pPr>
            <w:r w:rsidRPr="002E7CA2">
              <w:t>Conduct work observing the relevant Anti Discrimination legislation, regulations, polices and workpla</w:t>
            </w:r>
            <w:r w:rsidRPr="002E7CA2">
              <w:t>ce procedures</w:t>
            </w:r>
          </w:p>
          <w:p w:rsidR="00000000" w:rsidRPr="002E7CA2" w:rsidP="002E7CA2">
            <w:pPr>
              <w:pStyle w:val="ListBullet"/>
            </w:pPr>
            <w:r w:rsidRPr="002E7CA2">
              <w:t>Demonstrated consistent performance across a representative range of contexts from the prescribed items below:</w:t>
            </w:r>
          </w:p>
          <w:p w:rsidR="00000000" w:rsidP="002E7CA2">
            <w:pPr>
              <w:pStyle w:val="ListBullet2"/>
              <w:rPr>
                <w:lang w:val="en-NZ"/>
              </w:rPr>
            </w:pPr>
            <w:r w:rsidRPr="002E7CA2">
              <w:t>Find and rectify faults in process final control elements and associated equipment as listed as described in 8) and including:</w:t>
            </w:r>
          </w:p>
        </w:tc>
      </w:tr>
      <w:tr w:rsidTr="005F318A">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A</w:t>
            </w:r>
          </w:p>
        </w:tc>
        <w:tc>
          <w:tcPr>
            <w:tcW w:w="50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Using methodical fault finding techniques</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B</w:t>
            </w:r>
          </w:p>
        </w:tc>
        <w:tc>
          <w:tcPr>
            <w:tcW w:w="50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Finding faults efficiently</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C</w:t>
            </w:r>
          </w:p>
        </w:tc>
        <w:tc>
          <w:tcPr>
            <w:tcW w:w="50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Replacing/rectifying and repairing components without damage</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D</w:t>
            </w:r>
          </w:p>
        </w:tc>
        <w:tc>
          <w:tcPr>
            <w:tcW w:w="50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Providing written justification for the repairs</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E</w:t>
            </w:r>
          </w:p>
        </w:tc>
        <w:tc>
          <w:tcPr>
            <w:tcW w:w="504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Dealing with unplanned events by drawing on the required</w:t>
            </w:r>
            <w:r w:rsidRPr="002E7CA2">
              <w:t xml:space="preserve"> skills and knowledge to provide appropriate solutions incorporated in a holistic assessment with the above listed items</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 xml:space="preserve">Note: </w:t>
            </w:r>
          </w:p>
          <w:p w:rsidR="00000000" w:rsidRPr="002E7CA2" w:rsidP="002E7CA2">
            <w:pPr>
              <w:pStyle w:val="BodyText"/>
            </w:pPr>
            <w:r w:rsidRPr="002E7CA2">
              <w:t>Successful completion of relevant vendor training may be used to contribute to evidence on which competency is deemed. In thes</w:t>
            </w:r>
            <w:r w:rsidRPr="002E7CA2">
              <w:t>e cases the alignment of outcomes of vendor training with performance criteria and critical aspects of evidence shall be clearly identified.</w:t>
            </w:r>
          </w:p>
        </w:tc>
      </w:tr>
    </w:tbl>
    <w:p w:rsidR="00000000" w:rsidRPr="002E7CA2" w:rsidP="002E7CA2">
      <w:pPr>
        <w:pStyle w:val="BodyText"/>
      </w:pPr>
    </w:p>
    <w:tbl>
      <w:tblPr>
        <w:tblW w:w="0" w:type="auto"/>
        <w:tblLayout w:type="fixed"/>
        <w:tblCellMar>
          <w:left w:w="62" w:type="dxa"/>
          <w:right w:w="62" w:type="dxa"/>
        </w:tblCellMar>
        <w:tblLook w:val="0000"/>
      </w:tblPr>
      <w:tblGrid>
        <w:gridCol w:w="1890"/>
        <w:gridCol w:w="6570"/>
      </w:tblGrid>
      <w:tr w:rsidTr="005F318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9.3)</w:t>
            </w:r>
          </w:p>
        </w:tc>
      </w:tr>
      <w:tr w:rsidTr="005F318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This unit must be assessed as it relates to normal work practice using procedures, information and resources typical of a workplace. This should include:</w:t>
            </w:r>
          </w:p>
          <w:p w:rsidR="00000000" w:rsidRPr="002E7CA2" w:rsidP="002E7CA2">
            <w:pPr>
              <w:pStyle w:val="ListBullet2"/>
            </w:pPr>
            <w:r w:rsidRPr="002E7CA2">
              <w:t>OHS policy and work procedures and instructions.</w:t>
            </w:r>
          </w:p>
          <w:p w:rsidR="00000000" w:rsidRPr="002E7CA2" w:rsidP="002E7CA2">
            <w:pPr>
              <w:pStyle w:val="ListBullet2"/>
            </w:pPr>
            <w:r w:rsidRPr="002E7CA2">
              <w:t>Suitable work environment, facilities, equipment and</w:t>
            </w:r>
            <w:r w:rsidRPr="002E7CA2">
              <w:t xml:space="preserve"> materials to undertake actual work as prescribed by this unit.</w:t>
            </w:r>
          </w:p>
          <w:p w:rsidR="00000000" w:rsidRPr="002E7CA2" w:rsidP="002E7CA2">
            <w:pPr>
              <w:pStyle w:val="BodyText"/>
            </w:pPr>
            <w:r w:rsidRPr="002E7CA2">
              <w:t>These should be part of the formal learning/assessment environment.</w:t>
            </w:r>
          </w:p>
          <w:p w:rsidR="00000000" w:rsidRPr="002E7CA2" w:rsidP="002E7CA2">
            <w:pPr>
              <w:pStyle w:val="BodyText"/>
            </w:pPr>
            <w:r w:rsidRPr="002E7CA2">
              <w:t>Note:</w:t>
            </w:r>
          </w:p>
          <w:p w:rsidR="00000000" w:rsidRPr="002E7CA2" w:rsidP="002E7CA2">
            <w:pPr>
              <w:pStyle w:val="BodyText"/>
            </w:pPr>
            <w:r w:rsidRPr="002E7CA2">
              <w:t>Where simulation is considered a suitable strategy for assessment, the conditions must be authentic and as far as poss</w:t>
            </w:r>
            <w:r w:rsidRPr="002E7CA2">
              <w:t>ible reproduce and replicate the workplace and be consistent with the approved industry simulation policy.</w:t>
            </w:r>
          </w:p>
          <w:p w:rsidR="00000000" w:rsidRPr="002E7CA2" w:rsidP="002E7CA2">
            <w:pPr>
              <w:pStyle w:val="BodyText"/>
            </w:pPr>
            <w:r w:rsidRPr="002E7CA2">
              <w:t>The resources used for assessment should reflect current industry practices in relation to finding and rectifying faults in process final control ele</w:t>
            </w:r>
            <w:r w:rsidRPr="002E7CA2">
              <w:t>ments and associated equipment.</w:t>
            </w:r>
          </w:p>
        </w:tc>
      </w:tr>
    </w:tbl>
    <w:p w:rsidR="00000000" w:rsidRPr="002E7CA2" w:rsidP="002E7CA2">
      <w:pPr>
        <w:pStyle w:val="BodyText"/>
      </w:pPr>
    </w:p>
    <w:tbl>
      <w:tblPr>
        <w:tblW w:w="0" w:type="auto"/>
        <w:tblLayout w:type="fixed"/>
        <w:tblCellMar>
          <w:left w:w="62" w:type="dxa"/>
          <w:right w:w="62" w:type="dxa"/>
        </w:tblCellMar>
        <w:tblLook w:val="0000"/>
      </w:tblPr>
      <w:tblGrid>
        <w:gridCol w:w="1890"/>
        <w:gridCol w:w="6570"/>
      </w:tblGrid>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9.4)</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This unit shall be assessed by methods given in Volume 1, Part 3 ‘Assessment Guidelines’.</w:t>
            </w:r>
          </w:p>
          <w:p w:rsidR="00000000" w:rsidRPr="002E7CA2" w:rsidP="002E7CA2">
            <w:pPr>
              <w:pStyle w:val="BodyText"/>
            </w:pPr>
            <w:r w:rsidRPr="002E7CA2">
              <w:t xml:space="preserve">Note: </w:t>
            </w:r>
          </w:p>
          <w:p w:rsidR="00000000" w:rsidRPr="002E7CA2" w:rsidP="002E7CA2">
            <w:pPr>
              <w:pStyle w:val="BodyText"/>
            </w:pPr>
            <w:r w:rsidRPr="002E7CA2">
              <w:t>Competent performance with inherent safe working practices is ex</w:t>
            </w:r>
            <w:r w:rsidRPr="002E7CA2">
              <w:t xml:space="preserve">pected in the Industry to which this unit applies. This requires assessment in a structured environment which is intended primarily for learning/assessment and incorporates all necessary equipment and facilities for learners to develop and demonstrate the </w:t>
            </w:r>
            <w:r w:rsidRPr="002E7CA2">
              <w:t>required skills and knowledge described in this unit.</w:t>
            </w:r>
          </w:p>
        </w:tc>
      </w:tr>
    </w:tbl>
    <w:p w:rsidR="00000000" w:rsidRPr="002E7CA2" w:rsidP="002E7CA2">
      <w:pPr>
        <w:pStyle w:val="BodyText"/>
      </w:pPr>
    </w:p>
    <w:tbl>
      <w:tblPr>
        <w:tblW w:w="0" w:type="auto"/>
        <w:tblLayout w:type="fixed"/>
        <w:tblCellMar>
          <w:left w:w="62" w:type="dxa"/>
          <w:right w:w="62" w:type="dxa"/>
        </w:tblCellMar>
        <w:tblLook w:val="0000"/>
      </w:tblPr>
      <w:tblGrid>
        <w:gridCol w:w="1890"/>
        <w:gridCol w:w="6570"/>
      </w:tblGrid>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9.5)</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t>There are no concurrent assessment recommendations for this unit.</w:t>
            </w:r>
          </w:p>
        </w:tc>
      </w:tr>
      <w:tr w:rsidTr="005F318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The critical aspects of occupational health and safety covered in unit UEENEEE101A and other discipline specific occupational health and safety units shall be incorporated in relation to this unit.</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11" w:name="O_516557"/>
      <w:bookmarkEnd w:id="11"/>
      <w:r w:rsidRPr="002E7CA2">
        <w:t>Range Statement</w:t>
      </w:r>
    </w:p>
    <w:tbl>
      <w:tblPr>
        <w:tblW w:w="0" w:type="auto"/>
        <w:tblLayout w:type="fixed"/>
        <w:tblCellMar>
          <w:left w:w="62" w:type="dxa"/>
          <w:right w:w="62" w:type="dxa"/>
        </w:tblCellMar>
        <w:tblLook w:val="0000"/>
      </w:tblPr>
      <w:tblGrid>
        <w:gridCol w:w="8460"/>
      </w:tblGrid>
      <w:tr w:rsidTr="005F31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RANGE STATEMENT</w:t>
            </w:r>
          </w:p>
        </w:tc>
      </w:tr>
      <w:tr w:rsidTr="005F31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10)</w:t>
            </w:r>
            <w:r w:rsidRPr="002E7CA2">
              <w:t xml:space="preserve"> Th</w:t>
            </w:r>
            <w:r w:rsidRPr="002E7CA2">
              <w:t>is relates to the unit as a whole providing the range of contexts and conditions to which the performance criteria apply. It allows for different work environments and situations that will affect performance.</w:t>
            </w:r>
          </w:p>
          <w:p w:rsidR="00000000" w:rsidRPr="002E7CA2" w:rsidP="002E7CA2">
            <w:pPr>
              <w:pStyle w:val="BodyText"/>
            </w:pPr>
            <w:r w:rsidRPr="002E7CA2">
              <w:t>This unit must be demonstrated in relation at l</w:t>
            </w:r>
            <w:r w:rsidRPr="002E7CA2">
              <w:t>east two types of final control elements including the associated equipment.</w:t>
            </w:r>
          </w:p>
          <w:p w:rsidR="00000000" w:rsidRPr="002E7CA2" w:rsidP="002E7CA2">
            <w:pPr>
              <w:pStyle w:val="BodyText"/>
            </w:pPr>
            <w:r w:rsidRPr="002E7CA2">
              <w:t xml:space="preserve">Note: </w:t>
            </w:r>
          </w:p>
          <w:p w:rsidR="00000000" w:rsidRPr="002E7CA2" w:rsidP="002E7CA2">
            <w:pPr>
              <w:pStyle w:val="BodyText"/>
            </w:pPr>
            <w:r w:rsidRPr="002E7CA2">
              <w:t>1. Examples of control valves types (by application) are additive valves, level control valve, temperature control valve, flow control valve and pressure control valve.</w:t>
            </w:r>
          </w:p>
          <w:p w:rsidR="00000000" w:rsidRPr="002E7CA2" w:rsidP="002E7CA2">
            <w:pPr>
              <w:pStyle w:val="BodyText"/>
            </w:pPr>
            <w:r w:rsidRPr="002E7CA2">
              <w:t>Gen</w:t>
            </w:r>
            <w:r w:rsidRPr="002E7CA2">
              <w:t>eric terms used throughout this Vocational Standard shall be regarded as part of the Range Statement in which competency is demonstrated. The definition of these and other terms that apply are given in Volume 2, Part 2.1.</w:t>
            </w:r>
          </w:p>
        </w:tc>
      </w:tr>
    </w:tbl>
    <w:p w:rsidR="00000000" w:rsidRPr="002E7CA2" w:rsidP="002E7CA2">
      <w:pPr>
        <w:pStyle w:val="BodyText"/>
      </w:pPr>
    </w:p>
    <w:p w:rsidR="00000000" w:rsidRPr="002E7CA2" w:rsidP="002E7CA2">
      <w:pPr>
        <w:pStyle w:val="AllowPageBreak"/>
      </w:pPr>
    </w:p>
    <w:p w:rsidR="00000000" w:rsidRPr="002E7CA2" w:rsidP="002E7CA2">
      <w:pPr>
        <w:pStyle w:val="Heading1"/>
      </w:pPr>
      <w:bookmarkStart w:id="12" w:name="O_516556"/>
      <w:bookmarkEnd w:id="12"/>
      <w:r w:rsidRPr="002E7CA2">
        <w:t>Unit Sector(s)</w:t>
      </w:r>
    </w:p>
    <w:p w:rsidR="00000000" w:rsidRPr="002E7CA2" w:rsidP="002E7CA2">
      <w:pPr>
        <w:pStyle w:val="BodyText"/>
      </w:pPr>
      <w:r w:rsidRPr="002E7CA2">
        <w:t>Not applicable.</w:t>
      </w:r>
    </w:p>
    <w:p w:rsidR="00000000" w:rsidRPr="002E7CA2" w:rsidP="002E7CA2">
      <w:pPr>
        <w:pStyle w:val="AllowPageBreak"/>
      </w:pPr>
    </w:p>
    <w:p w:rsidR="00000000" w:rsidRPr="002E7CA2" w:rsidP="002E7CA2">
      <w:pPr>
        <w:pStyle w:val="Heading1"/>
      </w:pPr>
      <w:bookmarkStart w:id="13" w:name="O_516555"/>
      <w:bookmarkEnd w:id="13"/>
      <w:r w:rsidRPr="002E7CA2">
        <w:t>Competency Field</w:t>
      </w:r>
    </w:p>
    <w:tbl>
      <w:tblPr>
        <w:tblW w:w="0" w:type="auto"/>
        <w:tblLayout w:type="fixed"/>
        <w:tblCellMar>
          <w:left w:w="62" w:type="dxa"/>
          <w:right w:w="62" w:type="dxa"/>
        </w:tblCellMar>
        <w:tblLook w:val="0000"/>
      </w:tblPr>
      <w:tblGrid>
        <w:gridCol w:w="2700"/>
        <w:gridCol w:w="5760"/>
      </w:tblGrid>
      <w:tr w:rsidTr="005F31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E7CA2">
            <w:pPr>
              <w:pStyle w:val="BodyText"/>
              <w:rPr>
                <w:lang w:val="en-NZ"/>
              </w:rPr>
            </w:pPr>
            <w:r w:rsidRPr="002E7CA2">
              <w:rPr>
                <w:rStyle w:val="SpecialBold"/>
              </w:rPr>
              <w:t xml:space="preserve">11) </w:t>
            </w:r>
          </w:p>
        </w:tc>
      </w:tr>
      <w:tr w:rsidTr="005F31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7CA2" w:rsidP="002E7CA2">
            <w:pPr>
              <w:pStyle w:val="BodyText"/>
            </w:pPr>
            <w:r w:rsidRPr="002E7CA2">
              <w:t>Instrumentation and Control</w:t>
            </w:r>
          </w:p>
        </w:tc>
      </w:tr>
    </w:tbl>
    <w:p w:rsidR="00000000" w:rsidRPr="002E7CA2" w:rsidP="002E7CA2">
      <w:pPr>
        <w:pStyle w:val="BodyText"/>
      </w:pPr>
    </w:p>
    <w:p w:rsidR="00000000" w:rsidRPr="002E7CA2" w:rsidP="002E7CA2"/>
    <w:sectPr w:rsidSect="002E7C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A2" w:rsidRPr="005F318A" w:rsidP="005F31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8A" w:rsidP="002E7C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F318A" w:rsidP="002E7C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5F318A" w:rsidP="002E7C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A2" w:rsidRPr="005F318A" w:rsidP="005F31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8A" w:rsidRPr="002D2AF8" w:rsidP="002E7CA2">
    <w:pPr>
      <w:pStyle w:val="Header"/>
      <w:framePr w:wrap="around"/>
    </w:pPr>
    <w:r>
      <w:fldChar w:fldCharType="begin"/>
    </w:r>
    <w:r>
      <w:instrText xml:space="preserve"> TITLE   \* MERGEFORMAT </w:instrText>
    </w:r>
    <w:r>
      <w:fldChar w:fldCharType="separate"/>
    </w:r>
    <w:r>
      <w:t>UEENEEI111A Find and rectify faults in process final control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5F318A" w:rsidP="002E7C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AC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01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87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C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CA2"/>
    <w:pPr>
      <w:spacing w:before="360" w:after="60"/>
      <w:outlineLvl w:val="0"/>
    </w:pPr>
    <w:rPr>
      <w:sz w:val="32"/>
    </w:rPr>
  </w:style>
  <w:style w:type="paragraph" w:styleId="Heading2">
    <w:name w:val="heading 2"/>
    <w:basedOn w:val="HeadingBase"/>
    <w:next w:val="BodyText"/>
    <w:link w:val="Heading2Char"/>
    <w:qFormat/>
    <w:rsid w:val="002E7CA2"/>
    <w:pPr>
      <w:keepLines/>
      <w:spacing w:before="240" w:after="120"/>
      <w:outlineLvl w:val="1"/>
    </w:pPr>
    <w:rPr>
      <w:sz w:val="28"/>
      <w:szCs w:val="40"/>
    </w:rPr>
  </w:style>
  <w:style w:type="paragraph" w:styleId="Heading3">
    <w:name w:val="heading 3"/>
    <w:basedOn w:val="HeadingBase"/>
    <w:next w:val="BodyText"/>
    <w:link w:val="Heading3Char"/>
    <w:qFormat/>
    <w:rsid w:val="002E7CA2"/>
    <w:pPr>
      <w:spacing w:before="180" w:after="120"/>
      <w:outlineLvl w:val="2"/>
    </w:pPr>
    <w:rPr>
      <w:spacing w:val="-10"/>
      <w:kern w:val="32"/>
    </w:rPr>
  </w:style>
  <w:style w:type="paragraph" w:styleId="Heading4">
    <w:name w:val="heading 4"/>
    <w:basedOn w:val="HeadingBase"/>
    <w:next w:val="BodyText"/>
    <w:link w:val="Heading4Char"/>
    <w:qFormat/>
    <w:rsid w:val="002E7CA2"/>
    <w:pPr>
      <w:spacing w:before="160" w:after="120"/>
      <w:outlineLvl w:val="3"/>
    </w:pPr>
    <w:rPr>
      <w:sz w:val="22"/>
    </w:rPr>
  </w:style>
  <w:style w:type="paragraph" w:styleId="Heading5">
    <w:name w:val="heading 5"/>
    <w:basedOn w:val="HeadingBase"/>
    <w:next w:val="Normal"/>
    <w:link w:val="Heading5Char"/>
    <w:qFormat/>
    <w:rsid w:val="002E7CA2"/>
    <w:pPr>
      <w:spacing w:before="80"/>
      <w:outlineLvl w:val="4"/>
    </w:pPr>
    <w:rPr>
      <w:color w:val="918585"/>
      <w:sz w:val="20"/>
    </w:rPr>
  </w:style>
  <w:style w:type="paragraph" w:styleId="Heading6">
    <w:name w:val="heading 6"/>
    <w:basedOn w:val="HeadingBase"/>
    <w:next w:val="Normal"/>
    <w:link w:val="Heading6Char"/>
    <w:qFormat/>
    <w:rsid w:val="002E7CA2"/>
    <w:pPr>
      <w:spacing w:before="60"/>
      <w:outlineLvl w:val="5"/>
    </w:pPr>
    <w:rPr>
      <w:color w:val="918585"/>
      <w:sz w:val="20"/>
    </w:rPr>
  </w:style>
  <w:style w:type="paragraph" w:styleId="Heading7">
    <w:name w:val="heading 7"/>
    <w:basedOn w:val="Normal"/>
    <w:next w:val="Normal"/>
    <w:link w:val="Heading7Char"/>
    <w:qFormat/>
    <w:rsid w:val="002E7CA2"/>
    <w:pPr>
      <w:ind w:left="720"/>
      <w:outlineLvl w:val="6"/>
    </w:pPr>
    <w:rPr>
      <w:i/>
    </w:rPr>
  </w:style>
  <w:style w:type="paragraph" w:styleId="Heading8">
    <w:name w:val="heading 8"/>
    <w:basedOn w:val="Normal"/>
    <w:next w:val="Normal"/>
    <w:link w:val="Heading8Char"/>
    <w:qFormat/>
    <w:rsid w:val="002E7CA2"/>
    <w:pPr>
      <w:ind w:left="720"/>
      <w:outlineLvl w:val="7"/>
    </w:pPr>
    <w:rPr>
      <w:i/>
    </w:rPr>
  </w:style>
  <w:style w:type="paragraph" w:styleId="Heading9">
    <w:name w:val="heading 9"/>
    <w:basedOn w:val="Normal"/>
    <w:next w:val="Normal"/>
    <w:link w:val="Heading9Char"/>
    <w:qFormat/>
    <w:rsid w:val="002E7CA2"/>
    <w:pPr>
      <w:ind w:left="720"/>
      <w:outlineLvl w:val="8"/>
    </w:pPr>
    <w:rPr>
      <w:i/>
    </w:rPr>
  </w:style>
  <w:style w:type="character" w:default="1" w:styleId="DefaultParagraphFont">
    <w:name w:val="Default Paragraph Font"/>
    <w:uiPriority w:val="1"/>
    <w:unhideWhenUsed/>
    <w:rsid w:val="002E7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CA2"/>
  </w:style>
  <w:style w:type="character" w:customStyle="1" w:styleId="Heading1Char">
    <w:name w:val="Heading 1 Char"/>
    <w:basedOn w:val="DefaultParagraphFont"/>
    <w:link w:val="Heading1"/>
    <w:rsid w:val="002E7CA2"/>
    <w:rPr>
      <w:rFonts w:ascii="Times New Roman" w:eastAsia="Times New Roman" w:hAnsi="Times New Roman" w:cs="Times New Roman"/>
      <w:b/>
      <w:sz w:val="32"/>
      <w:szCs w:val="20"/>
      <w:lang w:eastAsia="en-US"/>
    </w:rPr>
  </w:style>
  <w:style w:type="paragraph" w:styleId="BodyText">
    <w:name w:val="Body Text"/>
    <w:basedOn w:val="Normal"/>
    <w:link w:val="BodyTextChar"/>
    <w:rsid w:val="002E7C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7CA2"/>
    <w:rPr>
      <w:rFonts w:ascii="Times New Roman" w:eastAsia="Times New Roman" w:hAnsi="Times New Roman" w:cs="Times New Roman"/>
      <w:sz w:val="24"/>
      <w:lang w:eastAsia="en-US"/>
    </w:rPr>
  </w:style>
  <w:style w:type="paragraph" w:styleId="ListBullet">
    <w:name w:val="List Bullet"/>
    <w:basedOn w:val="List"/>
    <w:rsid w:val="002E7CA2"/>
    <w:pPr>
      <w:numPr>
        <w:numId w:val="13"/>
      </w:numPr>
      <w:tabs>
        <w:tab w:val="clear" w:pos="340"/>
      </w:tabs>
      <w:spacing w:before="40" w:after="40"/>
    </w:pPr>
  </w:style>
  <w:style w:type="character" w:customStyle="1" w:styleId="SpecialBold">
    <w:name w:val="Special Bold"/>
    <w:basedOn w:val="DefaultParagraphFont"/>
    <w:rsid w:val="002E7CA2"/>
    <w:rPr>
      <w:b/>
      <w:spacing w:val="0"/>
    </w:rPr>
  </w:style>
  <w:style w:type="paragraph" w:styleId="ListBullet2">
    <w:name w:val="List Bullet 2"/>
    <w:basedOn w:val="List2"/>
    <w:rsid w:val="002E7CA2"/>
    <w:pPr>
      <w:numPr>
        <w:numId w:val="14"/>
      </w:numPr>
      <w:tabs>
        <w:tab w:val="clear" w:pos="680"/>
      </w:tabs>
    </w:pPr>
  </w:style>
  <w:style w:type="paragraph" w:customStyle="1" w:styleId="SuperHeading">
    <w:name w:val="SuperHeading"/>
    <w:basedOn w:val="Normal"/>
    <w:rsid w:val="002E7CA2"/>
    <w:pPr>
      <w:spacing w:before="240" w:after="120"/>
      <w:outlineLvl w:val="0"/>
    </w:pPr>
    <w:rPr>
      <w:rFonts w:ascii="Times New Roman" w:hAnsi="Times New Roman"/>
      <w:b/>
      <w:sz w:val="32"/>
    </w:rPr>
  </w:style>
  <w:style w:type="paragraph" w:customStyle="1" w:styleId="AllowPageBreak">
    <w:name w:val="AllowPageBreak"/>
    <w:rsid w:val="002E7C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C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C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C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C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CA2"/>
    <w:rPr>
      <w:rFonts w:ascii="Courier New" w:eastAsia="Times New Roman" w:hAnsi="Courier New" w:cs="Times New Roman"/>
      <w:i/>
      <w:szCs w:val="20"/>
      <w:lang w:eastAsia="en-US"/>
    </w:rPr>
  </w:style>
  <w:style w:type="paragraph" w:customStyle="1" w:styleId="HeadingBase">
    <w:name w:val="Heading Base"/>
    <w:rsid w:val="002E7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CA2"/>
    <w:pPr>
      <w:tabs>
        <w:tab w:val="right" w:leader="dot" w:pos="9072"/>
      </w:tabs>
      <w:ind w:left="567"/>
    </w:pPr>
    <w:rPr>
      <w:szCs w:val="22"/>
    </w:rPr>
  </w:style>
  <w:style w:type="paragraph" w:customStyle="1" w:styleId="TOCBase">
    <w:name w:val="TOC Base"/>
    <w:rsid w:val="002E7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CA2"/>
    <w:pPr>
      <w:tabs>
        <w:tab w:val="right" w:leader="dot" w:pos="9072"/>
      </w:tabs>
      <w:spacing w:before="40" w:after="40"/>
      <w:ind w:left="284"/>
    </w:pPr>
    <w:rPr>
      <w:rFonts w:ascii="Times New Roman" w:hAnsi="Times New Roman"/>
    </w:rPr>
  </w:style>
  <w:style w:type="paragraph" w:styleId="TOC1">
    <w:name w:val="toc 1"/>
    <w:basedOn w:val="TOCBase"/>
    <w:next w:val="Normal"/>
    <w:rsid w:val="002E7C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CA2"/>
    <w:rPr>
      <w:rFonts w:ascii="Times New Roman" w:eastAsia="Times New Roman" w:hAnsi="Times New Roman" w:cs="Times New Roman"/>
      <w:sz w:val="16"/>
      <w:lang w:eastAsia="en-US"/>
    </w:rPr>
  </w:style>
  <w:style w:type="paragraph" w:styleId="Title">
    <w:name w:val="Title"/>
    <w:basedOn w:val="HeadingBase"/>
    <w:link w:val="TitleChar"/>
    <w:qFormat/>
    <w:rsid w:val="002E7CA2"/>
    <w:pPr>
      <w:spacing w:before="5040"/>
      <w:jc w:val="center"/>
    </w:pPr>
    <w:rPr>
      <w:sz w:val="48"/>
      <w:szCs w:val="72"/>
      <w:lang w:val="en-US"/>
    </w:rPr>
  </w:style>
  <w:style w:type="character" w:customStyle="1" w:styleId="TitleChar">
    <w:name w:val="Title Char"/>
    <w:basedOn w:val="DefaultParagraphFont"/>
    <w:link w:val="Title"/>
    <w:rsid w:val="002E7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CA2"/>
    <w:pPr>
      <w:tabs>
        <w:tab w:val="left" w:pos="3600"/>
        <w:tab w:val="left" w:pos="3958"/>
      </w:tabs>
    </w:pPr>
  </w:style>
  <w:style w:type="paragraph" w:styleId="List">
    <w:name w:val="List"/>
    <w:basedOn w:val="BodyText"/>
    <w:next w:val="BodyText"/>
    <w:rsid w:val="002E7CA2"/>
    <w:pPr>
      <w:tabs>
        <w:tab w:val="left" w:pos="340"/>
      </w:tabs>
      <w:spacing w:before="60" w:after="60"/>
      <w:ind w:left="340" w:hanging="340"/>
    </w:pPr>
  </w:style>
  <w:style w:type="paragraph" w:customStyle="1" w:styleId="Note">
    <w:name w:val="Note"/>
    <w:basedOn w:val="BodyText"/>
    <w:rsid w:val="002E7C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CA2"/>
    <w:pPr>
      <w:framePr w:wrap="auto" w:hAnchor="text" w:y="6049"/>
    </w:pPr>
    <w:rPr>
      <w:color w:val="000000"/>
      <w:sz w:val="40"/>
    </w:rPr>
  </w:style>
  <w:style w:type="paragraph" w:customStyle="1" w:styleId="TOCTitle">
    <w:name w:val="TOCTitle"/>
    <w:basedOn w:val="Heading1"/>
    <w:rsid w:val="002E7CA2"/>
    <w:pPr>
      <w:spacing w:after="240"/>
      <w:jc w:val="center"/>
      <w:outlineLvl w:val="9"/>
    </w:pPr>
    <w:rPr>
      <w:caps/>
    </w:rPr>
  </w:style>
  <w:style w:type="paragraph" w:customStyle="1" w:styleId="Version">
    <w:name w:val="Version"/>
    <w:rsid w:val="002E7C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CA2"/>
    <w:pPr>
      <w:keepNext w:val="0"/>
      <w:tabs>
        <w:tab w:val="right" w:pos="4176"/>
      </w:tabs>
      <w:ind w:left="198" w:hanging="198"/>
    </w:pPr>
    <w:rPr>
      <w:rFonts w:ascii="Garamond" w:hAnsi="Garamond"/>
    </w:rPr>
  </w:style>
  <w:style w:type="paragraph" w:styleId="IndexHeading">
    <w:name w:val="index heading"/>
    <w:basedOn w:val="Normal"/>
    <w:next w:val="Index1"/>
    <w:semiHidden/>
    <w:rsid w:val="002E7CA2"/>
    <w:pPr>
      <w:spacing w:before="120" w:after="120"/>
    </w:pPr>
    <w:rPr>
      <w:rFonts w:ascii="Arial" w:hAnsi="Arial"/>
      <w:b/>
      <w:color w:val="918585"/>
      <w:sz w:val="24"/>
    </w:rPr>
  </w:style>
  <w:style w:type="paragraph" w:styleId="Header">
    <w:name w:val="header"/>
    <w:basedOn w:val="Normal"/>
    <w:link w:val="HeaderChar"/>
    <w:rsid w:val="002E7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CA2"/>
    <w:rPr>
      <w:rFonts w:ascii="Times New Roman" w:eastAsia="Times New Roman" w:hAnsi="Times New Roman" w:cs="Times New Roman"/>
      <w:sz w:val="16"/>
      <w:szCs w:val="20"/>
      <w:lang w:val="en-GB" w:eastAsia="en-US"/>
    </w:rPr>
  </w:style>
  <w:style w:type="paragraph" w:customStyle="1" w:styleId="Chapter">
    <w:name w:val="Chapter"/>
    <w:basedOn w:val="Normal"/>
    <w:rsid w:val="002E7CA2"/>
    <w:pPr>
      <w:spacing w:before="240"/>
    </w:pPr>
    <w:rPr>
      <w:rFonts w:ascii="Times New Roman" w:hAnsi="Times New Roman"/>
      <w:smallCaps/>
      <w:spacing w:val="80"/>
      <w:sz w:val="28"/>
    </w:rPr>
  </w:style>
  <w:style w:type="paragraph" w:customStyle="1" w:styleId="InChapter">
    <w:name w:val="InChapter"/>
    <w:basedOn w:val="Heading3"/>
    <w:rsid w:val="002E7CA2"/>
    <w:pPr>
      <w:spacing w:after="240"/>
      <w:outlineLvl w:val="9"/>
    </w:pPr>
    <w:rPr>
      <w:noProof/>
    </w:rPr>
  </w:style>
  <w:style w:type="paragraph" w:styleId="Index2">
    <w:name w:val="index 2"/>
    <w:basedOn w:val="Normal"/>
    <w:next w:val="Normal"/>
    <w:semiHidden/>
    <w:rsid w:val="002E7CA2"/>
    <w:pPr>
      <w:tabs>
        <w:tab w:val="right" w:pos="4176"/>
      </w:tabs>
      <w:ind w:left="568" w:hanging="284"/>
    </w:pPr>
    <w:rPr>
      <w:rFonts w:ascii="Garamond" w:hAnsi="Garamond"/>
    </w:rPr>
  </w:style>
  <w:style w:type="paragraph" w:customStyle="1" w:styleId="Byline">
    <w:name w:val="Byline"/>
    <w:rsid w:val="002E7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CA2"/>
    <w:pPr>
      <w:tabs>
        <w:tab w:val="clear" w:pos="3600"/>
        <w:tab w:val="clear" w:pos="3958"/>
      </w:tabs>
      <w:jc w:val="right"/>
    </w:pPr>
  </w:style>
  <w:style w:type="character" w:styleId="Emphasis">
    <w:name w:val="Emphasis"/>
    <w:basedOn w:val="DefaultParagraphFont"/>
    <w:qFormat/>
    <w:rsid w:val="002E7CA2"/>
    <w:rPr>
      <w:i/>
    </w:rPr>
  </w:style>
  <w:style w:type="paragraph" w:styleId="Caption">
    <w:name w:val="caption"/>
    <w:basedOn w:val="BodyText"/>
    <w:next w:val="Normal"/>
    <w:qFormat/>
    <w:rsid w:val="002E7CA2"/>
    <w:pPr>
      <w:framePr w:w="2268" w:hSpace="181" w:vSpace="181" w:wrap="around" w:vAnchor="text" w:hAnchor="page" w:x="1135" w:y="285" w:anchorLock="1"/>
    </w:pPr>
    <w:rPr>
      <w:i/>
    </w:rPr>
  </w:style>
  <w:style w:type="paragraph" w:customStyle="1" w:styleId="MiniTOCTitle">
    <w:name w:val="MiniTOCTitle"/>
    <w:basedOn w:val="Heading4"/>
    <w:rsid w:val="002E7CA2"/>
    <w:pPr>
      <w:spacing w:before="240"/>
      <w:outlineLvl w:val="9"/>
    </w:pPr>
    <w:rPr>
      <w:noProof/>
      <w:sz w:val="24"/>
    </w:rPr>
  </w:style>
  <w:style w:type="paragraph" w:customStyle="1" w:styleId="MiniTOCItem">
    <w:name w:val="MiniTOCItem"/>
    <w:basedOn w:val="ListBullet"/>
    <w:rsid w:val="002E7CA2"/>
    <w:pPr>
      <w:numPr>
        <w:numId w:val="0"/>
      </w:numPr>
      <w:tabs>
        <w:tab w:val="right" w:leader="dot" w:pos="6521"/>
      </w:tabs>
      <w:spacing w:before="0" w:after="0"/>
    </w:pPr>
  </w:style>
  <w:style w:type="paragraph" w:customStyle="1" w:styleId="TOFTitle">
    <w:name w:val="TOFTitle"/>
    <w:basedOn w:val="TOCTitle"/>
    <w:rsid w:val="002E7CA2"/>
  </w:style>
  <w:style w:type="paragraph" w:styleId="TableofFigures">
    <w:name w:val="table of figures"/>
    <w:basedOn w:val="Normal"/>
    <w:next w:val="Normal"/>
    <w:semiHidden/>
    <w:rsid w:val="002E7CA2"/>
    <w:pPr>
      <w:tabs>
        <w:tab w:val="right" w:leader="dot" w:pos="9072"/>
      </w:tabs>
      <w:ind w:left="970" w:hanging="403"/>
    </w:pPr>
    <w:rPr>
      <w:rFonts w:ascii="Times New Roman" w:hAnsi="Times New Roman"/>
      <w:b/>
    </w:rPr>
  </w:style>
  <w:style w:type="paragraph" w:styleId="ListNumber">
    <w:name w:val="List Number"/>
    <w:basedOn w:val="List"/>
    <w:rsid w:val="002E7CA2"/>
    <w:pPr>
      <w:numPr>
        <w:numId w:val="11"/>
      </w:numPr>
    </w:pPr>
  </w:style>
  <w:style w:type="character" w:customStyle="1" w:styleId="WingdingSymbols">
    <w:name w:val="Wingding Symbols"/>
    <w:rsid w:val="002E7CA2"/>
    <w:rPr>
      <w:rFonts w:ascii="Wingdings" w:hAnsi="Wingdings"/>
    </w:rPr>
  </w:style>
  <w:style w:type="paragraph" w:customStyle="1" w:styleId="TableHeading">
    <w:name w:val="Table Heading"/>
    <w:basedOn w:val="HeadingBase"/>
    <w:rsid w:val="002E7CA2"/>
    <w:pPr>
      <w:keepLines/>
      <w:pBdr>
        <w:bottom w:val="single" w:sz="6" w:space="1" w:color="918585"/>
      </w:pBdr>
      <w:spacing w:before="240"/>
    </w:pPr>
  </w:style>
  <w:style w:type="character" w:customStyle="1" w:styleId="HotSpot">
    <w:name w:val="HotSpot"/>
    <w:rsid w:val="002E7CA2"/>
    <w:rPr>
      <w:color w:val="0033CC"/>
      <w:u w:val="none"/>
    </w:rPr>
  </w:style>
  <w:style w:type="paragraph" w:customStyle="1" w:styleId="BodyTextRight">
    <w:name w:val="Body Text Right"/>
    <w:basedOn w:val="BodyText"/>
    <w:rsid w:val="002E7CA2"/>
    <w:pPr>
      <w:spacing w:before="0" w:after="0"/>
      <w:jc w:val="right"/>
    </w:pPr>
  </w:style>
  <w:style w:type="paragraph" w:styleId="Index3">
    <w:name w:val="index 3"/>
    <w:basedOn w:val="ListNumber2"/>
    <w:next w:val="Normal"/>
    <w:semiHidden/>
    <w:rsid w:val="002E7CA2"/>
    <w:pPr>
      <w:numPr>
        <w:numId w:val="0"/>
      </w:numPr>
      <w:tabs>
        <w:tab w:val="right" w:leader="dot" w:pos="4176"/>
      </w:tabs>
    </w:pPr>
  </w:style>
  <w:style w:type="paragraph" w:styleId="ListNumber2">
    <w:name w:val="List Number 2"/>
    <w:basedOn w:val="List2"/>
    <w:rsid w:val="002E7CA2"/>
    <w:pPr>
      <w:numPr>
        <w:numId w:val="10"/>
      </w:numPr>
      <w:tabs>
        <w:tab w:val="clear" w:pos="1060"/>
      </w:tabs>
    </w:pPr>
  </w:style>
  <w:style w:type="paragraph" w:customStyle="1" w:styleId="MarginNote">
    <w:name w:val="Margin Note"/>
    <w:basedOn w:val="BodyText"/>
    <w:rsid w:val="002E7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C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CA2"/>
    <w:rPr>
      <w:sz w:val="32"/>
    </w:rPr>
  </w:style>
  <w:style w:type="paragraph" w:customStyle="1" w:styleId="HeadingProcedure">
    <w:name w:val="Heading Procedure"/>
    <w:basedOn w:val="HeadingBase"/>
    <w:next w:val="Normal"/>
    <w:rsid w:val="002E7CA2"/>
    <w:pPr>
      <w:tabs>
        <w:tab w:val="left" w:pos="0"/>
      </w:tabs>
      <w:spacing w:before="120" w:after="60"/>
    </w:pPr>
    <w:rPr>
      <w:i/>
      <w:color w:val="918585"/>
      <w:sz w:val="22"/>
    </w:rPr>
  </w:style>
  <w:style w:type="paragraph" w:customStyle="1" w:styleId="TableBodyText">
    <w:name w:val="Table Body Text"/>
    <w:basedOn w:val="BodyText"/>
    <w:rsid w:val="002E7CA2"/>
    <w:pPr>
      <w:spacing w:before="60" w:after="60"/>
    </w:pPr>
  </w:style>
  <w:style w:type="paragraph" w:styleId="ListContinue">
    <w:name w:val="List Continue"/>
    <w:basedOn w:val="List"/>
    <w:rsid w:val="002E7CA2"/>
    <w:pPr>
      <w:ind w:firstLine="0"/>
    </w:pPr>
  </w:style>
  <w:style w:type="paragraph" w:customStyle="1" w:styleId="ListNote">
    <w:name w:val="List Note"/>
    <w:basedOn w:val="List"/>
    <w:rsid w:val="002E7CA2"/>
    <w:pPr>
      <w:pBdr>
        <w:top w:val="single" w:sz="6" w:space="2" w:color="918585"/>
        <w:bottom w:val="single" w:sz="6" w:space="2" w:color="918585"/>
      </w:pBdr>
      <w:tabs>
        <w:tab w:val="left" w:pos="1021"/>
      </w:tabs>
      <w:ind w:firstLine="0"/>
    </w:pPr>
  </w:style>
  <w:style w:type="paragraph" w:customStyle="1" w:styleId="Warning">
    <w:name w:val="Warning"/>
    <w:basedOn w:val="BodyText"/>
    <w:rsid w:val="002E7CA2"/>
    <w:pPr>
      <w:shd w:val="clear" w:color="auto" w:fill="D9D9D9"/>
      <w:tabs>
        <w:tab w:val="left" w:pos="992"/>
      </w:tabs>
      <w:ind w:left="119" w:right="119"/>
    </w:pPr>
    <w:rPr>
      <w:sz w:val="20"/>
    </w:rPr>
  </w:style>
  <w:style w:type="paragraph" w:customStyle="1" w:styleId="MarginIcons">
    <w:name w:val="Margin Icons"/>
    <w:basedOn w:val="BodyText"/>
    <w:rsid w:val="002E7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CA2"/>
    <w:rPr>
      <w:rFonts w:ascii="Courier New" w:hAnsi="Courier New"/>
    </w:rPr>
  </w:style>
  <w:style w:type="paragraph" w:customStyle="1" w:styleId="NoteBullet">
    <w:name w:val="Note Bullet"/>
    <w:basedOn w:val="Note"/>
    <w:rsid w:val="002E7CA2"/>
    <w:pPr>
      <w:tabs>
        <w:tab w:val="clear" w:pos="680"/>
      </w:tabs>
      <w:spacing w:before="60" w:after="60"/>
    </w:pPr>
  </w:style>
  <w:style w:type="paragraph" w:customStyle="1" w:styleId="SubHeading2">
    <w:name w:val="SubHeading2"/>
    <w:basedOn w:val="HeadingBase"/>
    <w:rsid w:val="002E7CA2"/>
    <w:pPr>
      <w:spacing w:before="240" w:after="60"/>
    </w:pPr>
    <w:rPr>
      <w:sz w:val="20"/>
    </w:rPr>
  </w:style>
  <w:style w:type="paragraph" w:customStyle="1" w:styleId="SubHeading1">
    <w:name w:val="SubHeading1"/>
    <w:basedOn w:val="HeadingBase"/>
    <w:rsid w:val="002E7CA2"/>
    <w:pPr>
      <w:spacing w:before="240" w:after="60"/>
    </w:pPr>
    <w:rPr>
      <w:color w:val="918585"/>
      <w:sz w:val="22"/>
    </w:rPr>
  </w:style>
  <w:style w:type="paragraph" w:customStyle="1" w:styleId="SideHeading">
    <w:name w:val="Side Heading"/>
    <w:basedOn w:val="HeadingBase"/>
    <w:rsid w:val="002E7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CA2"/>
    <w:pPr>
      <w:numPr>
        <w:numId w:val="12"/>
      </w:numPr>
    </w:pPr>
  </w:style>
  <w:style w:type="paragraph" w:styleId="PlainText">
    <w:name w:val="Plain Text"/>
    <w:basedOn w:val="Normal"/>
    <w:link w:val="PlainTextChar"/>
    <w:rsid w:val="002E7CA2"/>
    <w:rPr>
      <w:sz w:val="20"/>
    </w:rPr>
  </w:style>
  <w:style w:type="character" w:customStyle="1" w:styleId="PlainTextChar">
    <w:name w:val="Plain Text Char"/>
    <w:basedOn w:val="DefaultParagraphFont"/>
    <w:link w:val="PlainText"/>
    <w:rsid w:val="002E7CA2"/>
    <w:rPr>
      <w:rFonts w:ascii="Courier New" w:eastAsia="Times New Roman" w:hAnsi="Courier New" w:cs="Times New Roman"/>
      <w:sz w:val="20"/>
      <w:szCs w:val="20"/>
      <w:lang w:eastAsia="en-US"/>
    </w:rPr>
  </w:style>
  <w:style w:type="character" w:customStyle="1" w:styleId="MenuOption">
    <w:name w:val="Menu Option"/>
    <w:basedOn w:val="DefaultParagraphFont"/>
    <w:rsid w:val="002E7CA2"/>
    <w:rPr>
      <w:b/>
      <w:smallCaps/>
    </w:rPr>
  </w:style>
  <w:style w:type="paragraph" w:customStyle="1" w:styleId="TableListNumber">
    <w:name w:val="Table List Number"/>
    <w:basedOn w:val="ListNumber"/>
    <w:rsid w:val="002E7CA2"/>
    <w:pPr>
      <w:numPr>
        <w:numId w:val="0"/>
      </w:numPr>
    </w:pPr>
  </w:style>
  <w:style w:type="paragraph" w:styleId="TOC4">
    <w:name w:val="toc 4"/>
    <w:basedOn w:val="TOCBase"/>
    <w:next w:val="Normal"/>
    <w:semiHidden/>
    <w:rsid w:val="002E7CA2"/>
    <w:pPr>
      <w:tabs>
        <w:tab w:val="right" w:leader="dot" w:pos="9071"/>
      </w:tabs>
      <w:ind w:left="1701"/>
    </w:pPr>
  </w:style>
  <w:style w:type="paragraph" w:customStyle="1" w:styleId="ListAlpha">
    <w:name w:val="List Alpha"/>
    <w:basedOn w:val="List"/>
    <w:rsid w:val="002E7CA2"/>
    <w:pPr>
      <w:numPr>
        <w:numId w:val="9"/>
      </w:numPr>
    </w:pPr>
  </w:style>
  <w:style w:type="paragraph" w:customStyle="1" w:styleId="ListAlpha2">
    <w:name w:val="List Alpha 2"/>
    <w:basedOn w:val="List2"/>
    <w:rsid w:val="002E7CA2"/>
    <w:pPr>
      <w:numPr>
        <w:numId w:val="8"/>
      </w:numPr>
    </w:pPr>
  </w:style>
  <w:style w:type="paragraph" w:styleId="List2">
    <w:name w:val="List 2"/>
    <w:basedOn w:val="BodyText"/>
    <w:rsid w:val="002E7CA2"/>
    <w:pPr>
      <w:tabs>
        <w:tab w:val="left" w:pos="680"/>
      </w:tabs>
      <w:spacing w:before="60" w:after="60"/>
      <w:ind w:left="680" w:hanging="340"/>
    </w:pPr>
  </w:style>
  <w:style w:type="paragraph" w:styleId="List3">
    <w:name w:val="List 3"/>
    <w:basedOn w:val="BodyText"/>
    <w:rsid w:val="002E7CA2"/>
    <w:pPr>
      <w:tabs>
        <w:tab w:val="left" w:pos="1021"/>
      </w:tabs>
      <w:spacing w:before="60" w:after="60"/>
      <w:ind w:left="1020" w:hanging="340"/>
    </w:pPr>
  </w:style>
  <w:style w:type="paragraph" w:styleId="List4">
    <w:name w:val="List 4"/>
    <w:basedOn w:val="BodyText"/>
    <w:rsid w:val="002E7CA2"/>
    <w:pPr>
      <w:tabs>
        <w:tab w:val="left" w:pos="1361"/>
      </w:tabs>
      <w:spacing w:before="60" w:after="60"/>
      <w:ind w:left="1361" w:hanging="340"/>
    </w:pPr>
  </w:style>
  <w:style w:type="paragraph" w:styleId="List5">
    <w:name w:val="List 5"/>
    <w:basedOn w:val="BodyText"/>
    <w:rsid w:val="002E7CA2"/>
    <w:pPr>
      <w:tabs>
        <w:tab w:val="left" w:pos="1701"/>
      </w:tabs>
      <w:spacing w:before="60" w:after="60"/>
      <w:ind w:left="1701" w:hanging="340"/>
    </w:pPr>
  </w:style>
  <w:style w:type="paragraph" w:styleId="ListBullet3">
    <w:name w:val="List Bullet 3"/>
    <w:basedOn w:val="List3"/>
    <w:rsid w:val="002E7CA2"/>
    <w:pPr>
      <w:numPr>
        <w:numId w:val="15"/>
      </w:numPr>
      <w:tabs>
        <w:tab w:val="clear" w:pos="1021"/>
      </w:tabs>
      <w:ind w:left="1037" w:hanging="357"/>
    </w:pPr>
  </w:style>
  <w:style w:type="paragraph" w:styleId="ListBullet4">
    <w:name w:val="List Bullet 4"/>
    <w:basedOn w:val="List4"/>
    <w:rsid w:val="002E7CA2"/>
    <w:pPr>
      <w:numPr>
        <w:numId w:val="3"/>
      </w:numPr>
    </w:pPr>
  </w:style>
  <w:style w:type="paragraph" w:styleId="ListBullet5">
    <w:name w:val="List Bullet 5"/>
    <w:basedOn w:val="List5"/>
    <w:rsid w:val="002E7CA2"/>
    <w:pPr>
      <w:numPr>
        <w:numId w:val="4"/>
      </w:numPr>
    </w:pPr>
  </w:style>
  <w:style w:type="paragraph" w:styleId="ListContinue2">
    <w:name w:val="List Continue 2"/>
    <w:basedOn w:val="List2"/>
    <w:rsid w:val="002E7CA2"/>
    <w:pPr>
      <w:ind w:firstLine="0"/>
    </w:pPr>
  </w:style>
  <w:style w:type="paragraph" w:styleId="ListContinue3">
    <w:name w:val="List Continue 3"/>
    <w:basedOn w:val="List3"/>
    <w:rsid w:val="002E7CA2"/>
    <w:pPr>
      <w:ind w:left="1021" w:firstLine="0"/>
    </w:pPr>
  </w:style>
  <w:style w:type="paragraph" w:styleId="ListContinue4">
    <w:name w:val="List Continue 4"/>
    <w:basedOn w:val="List4"/>
    <w:rsid w:val="002E7CA2"/>
    <w:pPr>
      <w:ind w:firstLine="0"/>
    </w:pPr>
  </w:style>
  <w:style w:type="paragraph" w:styleId="ListContinue5">
    <w:name w:val="List Continue 5"/>
    <w:basedOn w:val="List5"/>
    <w:rsid w:val="002E7CA2"/>
    <w:pPr>
      <w:ind w:firstLine="0"/>
    </w:pPr>
  </w:style>
  <w:style w:type="paragraph" w:styleId="ListNumber3">
    <w:name w:val="List Number 3"/>
    <w:basedOn w:val="List3"/>
    <w:rsid w:val="002E7CA2"/>
    <w:pPr>
      <w:numPr>
        <w:numId w:val="5"/>
      </w:numPr>
    </w:pPr>
  </w:style>
  <w:style w:type="paragraph" w:styleId="ListNumber4">
    <w:name w:val="List Number 4"/>
    <w:basedOn w:val="List4"/>
    <w:rsid w:val="002E7CA2"/>
    <w:pPr>
      <w:numPr>
        <w:numId w:val="6"/>
      </w:numPr>
    </w:pPr>
  </w:style>
  <w:style w:type="paragraph" w:styleId="ListNumber5">
    <w:name w:val="List Number 5"/>
    <w:basedOn w:val="List5"/>
    <w:rsid w:val="002E7CA2"/>
    <w:pPr>
      <w:numPr>
        <w:numId w:val="7"/>
      </w:numPr>
    </w:pPr>
  </w:style>
  <w:style w:type="paragraph" w:styleId="BlockText">
    <w:name w:val="Block Text"/>
    <w:basedOn w:val="Normal"/>
    <w:rsid w:val="002E7CA2"/>
    <w:pPr>
      <w:spacing w:after="120"/>
      <w:ind w:left="1440" w:right="1440"/>
    </w:pPr>
  </w:style>
  <w:style w:type="character" w:customStyle="1" w:styleId="Subscript">
    <w:name w:val="Subscript"/>
    <w:basedOn w:val="DefaultParagraphFont"/>
    <w:rsid w:val="002E7CA2"/>
    <w:rPr>
      <w:sz w:val="16"/>
      <w:vertAlign w:val="subscript"/>
    </w:rPr>
  </w:style>
  <w:style w:type="character" w:customStyle="1" w:styleId="Superscript">
    <w:name w:val="Superscript"/>
    <w:basedOn w:val="DefaultParagraphFont"/>
    <w:rsid w:val="002E7CA2"/>
    <w:rPr>
      <w:sz w:val="16"/>
      <w:vertAlign w:val="superscript"/>
    </w:rPr>
  </w:style>
  <w:style w:type="character" w:customStyle="1" w:styleId="Symbols">
    <w:name w:val="Symbols"/>
    <w:basedOn w:val="DefaultParagraphFont"/>
    <w:rsid w:val="002E7CA2"/>
    <w:rPr>
      <w:rFonts w:ascii="Symbol" w:hAnsi="Symbol"/>
    </w:rPr>
  </w:style>
  <w:style w:type="character" w:customStyle="1" w:styleId="MenuOptions">
    <w:name w:val="Menu Options"/>
    <w:basedOn w:val="DefaultParagraphFont"/>
    <w:rsid w:val="002E7CA2"/>
    <w:rPr>
      <w:rFonts w:ascii="Arial Narrow" w:hAnsi="Arial Narrow"/>
      <w:smallCaps/>
    </w:rPr>
  </w:style>
  <w:style w:type="character" w:customStyle="1" w:styleId="Buttons">
    <w:name w:val="Buttons"/>
    <w:basedOn w:val="DefaultParagraphFont"/>
    <w:rsid w:val="002E7CA2"/>
    <w:rPr>
      <w:b/>
    </w:rPr>
  </w:style>
  <w:style w:type="character" w:customStyle="1" w:styleId="Underlined">
    <w:name w:val="Underlined"/>
    <w:basedOn w:val="DefaultParagraphFont"/>
    <w:rsid w:val="002E7CA2"/>
    <w:rPr>
      <w:u w:val="single"/>
    </w:rPr>
  </w:style>
  <w:style w:type="paragraph" w:customStyle="1" w:styleId="TableBodyTextRight">
    <w:name w:val="Table Body Text Right"/>
    <w:basedOn w:val="TableBodyText"/>
    <w:rsid w:val="002E7CA2"/>
    <w:pPr>
      <w:widowControl w:val="0"/>
      <w:autoSpaceDE w:val="0"/>
      <w:autoSpaceDN w:val="0"/>
      <w:adjustRightInd w:val="0"/>
      <w:jc w:val="right"/>
    </w:pPr>
    <w:rPr>
      <w:rFonts w:cs="Arial"/>
      <w:szCs w:val="18"/>
    </w:rPr>
  </w:style>
  <w:style w:type="paragraph" w:customStyle="1" w:styleId="CopyrightText">
    <w:name w:val="Copyright Text"/>
    <w:basedOn w:val="BodyText"/>
    <w:rsid w:val="002E7CA2"/>
    <w:rPr>
      <w:sz w:val="18"/>
    </w:rPr>
  </w:style>
  <w:style w:type="paragraph" w:customStyle="1" w:styleId="BodySmallRight">
    <w:name w:val="Body Small Right"/>
    <w:basedOn w:val="BodyTextRight"/>
    <w:rsid w:val="002E7CA2"/>
    <w:rPr>
      <w:sz w:val="18"/>
      <w:szCs w:val="18"/>
    </w:rPr>
  </w:style>
  <w:style w:type="paragraph" w:customStyle="1" w:styleId="MarginEdition">
    <w:name w:val="Margin Edition"/>
    <w:basedOn w:val="MarginNote"/>
    <w:rsid w:val="002E7CA2"/>
    <w:pPr>
      <w:spacing w:before="0" w:after="0"/>
    </w:pPr>
    <w:rPr>
      <w:rFonts w:ascii="Times New Roman" w:hAnsi="Times New Roman"/>
      <w:color w:val="999999"/>
    </w:rPr>
  </w:style>
  <w:style w:type="paragraph" w:customStyle="1" w:styleId="Spacer">
    <w:name w:val="Spacer"/>
    <w:basedOn w:val="Normal"/>
    <w:rsid w:val="002E7CA2"/>
    <w:rPr>
      <w:sz w:val="2"/>
      <w:szCs w:val="2"/>
    </w:rPr>
  </w:style>
  <w:style w:type="character" w:customStyle="1" w:styleId="Small">
    <w:name w:val="Small"/>
    <w:basedOn w:val="DefaultParagraphFont"/>
    <w:rsid w:val="002E7CA2"/>
    <w:rPr>
      <w:sz w:val="16"/>
    </w:rPr>
  </w:style>
  <w:style w:type="paragraph" w:customStyle="1" w:styleId="WideTable">
    <w:name w:val="Wide Table"/>
    <w:basedOn w:val="Normal"/>
    <w:rsid w:val="002E7CA2"/>
    <w:pPr>
      <w:ind w:left="-1418"/>
    </w:pPr>
    <w:rPr>
      <w:sz w:val="2"/>
      <w:szCs w:val="2"/>
    </w:rPr>
  </w:style>
  <w:style w:type="character" w:styleId="PageNumber">
    <w:name w:val="page number"/>
    <w:basedOn w:val="DefaultParagraphFont"/>
    <w:rsid w:val="002E7CA2"/>
  </w:style>
  <w:style w:type="paragraph" w:styleId="Quote">
    <w:name w:val="Quote"/>
    <w:basedOn w:val="Heading1"/>
    <w:link w:val="QuoteChar"/>
    <w:qFormat/>
    <w:rsid w:val="002E7CA2"/>
    <w:rPr>
      <w:b w:val="0"/>
      <w:sz w:val="72"/>
      <w:szCs w:val="72"/>
      <w:lang w:val="en-NZ"/>
    </w:rPr>
  </w:style>
  <w:style w:type="character" w:customStyle="1" w:styleId="QuoteChar">
    <w:name w:val="Quote Char"/>
    <w:basedOn w:val="DefaultParagraphFont"/>
    <w:link w:val="Quote"/>
    <w:rsid w:val="002E7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CA2"/>
    <w:pPr>
      <w:pageBreakBefore/>
    </w:pPr>
  </w:style>
  <w:style w:type="paragraph" w:customStyle="1" w:styleId="Border">
    <w:name w:val="Border"/>
    <w:basedOn w:val="Normal"/>
    <w:qFormat/>
    <w:rsid w:val="002E7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CA2"/>
    <w:rPr>
      <w:b/>
      <w:bCs/>
      <w:i/>
      <w:iCs/>
      <w:color w:val="auto"/>
    </w:rPr>
  </w:style>
  <w:style w:type="paragraph" w:styleId="IntenseQuote">
    <w:name w:val="Intense Quote"/>
    <w:basedOn w:val="Normal"/>
    <w:next w:val="Normal"/>
    <w:link w:val="IntenseQuoteChar"/>
    <w:uiPriority w:val="30"/>
    <w:qFormat/>
    <w:rsid w:val="002E7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C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CA2"/>
    <w:rPr>
      <w:smallCaps/>
      <w:color w:val="auto"/>
      <w:u w:val="single"/>
    </w:rPr>
  </w:style>
  <w:style w:type="character" w:styleId="IntenseReference">
    <w:name w:val="Intense Reference"/>
    <w:basedOn w:val="DefaultParagraphFont"/>
    <w:uiPriority w:val="32"/>
    <w:qFormat/>
    <w:rsid w:val="002E7CA2"/>
    <w:rPr>
      <w:b/>
      <w:bCs/>
      <w:smallCaps/>
      <w:color w:val="auto"/>
      <w:spacing w:val="5"/>
      <w:u w:val="single"/>
    </w:rPr>
  </w:style>
  <w:style w:type="paragraph" w:customStyle="1" w:styleId="2ColumnHeading">
    <w:name w:val="2Column Heading"/>
    <w:basedOn w:val="BodyText"/>
    <w:qFormat/>
    <w:rsid w:val="002E7CA2"/>
    <w:pPr>
      <w:spacing w:after="60"/>
      <w:ind w:left="-2268"/>
    </w:pPr>
    <w:rPr>
      <w:b/>
    </w:rPr>
  </w:style>
  <w:style w:type="paragraph" w:customStyle="1" w:styleId="Heading1TOC">
    <w:name w:val="Heading1 TOC"/>
    <w:basedOn w:val="Normal"/>
    <w:qFormat/>
    <w:rsid w:val="002E7CA2"/>
    <w:pPr>
      <w:spacing w:before="240" w:after="120"/>
    </w:pPr>
    <w:rPr>
      <w:rFonts w:ascii="Times New Roman" w:hAnsi="Times New Roman"/>
      <w:b/>
      <w:sz w:val="32"/>
    </w:rPr>
  </w:style>
  <w:style w:type="paragraph" w:customStyle="1" w:styleId="Heading2TOC">
    <w:name w:val="Heading2 TOC"/>
    <w:basedOn w:val="Normal"/>
    <w:qFormat/>
    <w:rsid w:val="002E7CA2"/>
    <w:pPr>
      <w:spacing w:before="240" w:after="60"/>
    </w:pPr>
    <w:rPr>
      <w:rFonts w:ascii="Times New Roman" w:hAnsi="Times New Roman"/>
      <w:b/>
      <w:sz w:val="28"/>
    </w:rPr>
  </w:style>
  <w:style w:type="character" w:customStyle="1" w:styleId="Underline">
    <w:name w:val="Underline"/>
    <w:basedOn w:val="DefaultParagraphFont"/>
    <w:qFormat/>
    <w:rsid w:val="002E7CA2"/>
    <w:rPr>
      <w:u w:val="single"/>
    </w:rPr>
  </w:style>
  <w:style w:type="character" w:customStyle="1" w:styleId="BoldandItalics">
    <w:name w:val="Bold and Italics"/>
    <w:qFormat/>
    <w:rsid w:val="002E7CA2"/>
    <w:rPr>
      <w:b/>
      <w:i/>
      <w:u w:val="none"/>
    </w:rPr>
  </w:style>
  <w:style w:type="paragraph" w:styleId="BalloonText">
    <w:name w:val="Balloon Text"/>
    <w:basedOn w:val="Normal"/>
    <w:link w:val="BalloonTextChar"/>
    <w:rsid w:val="002E7CA2"/>
    <w:rPr>
      <w:rFonts w:ascii="Tahoma" w:hAnsi="Tahoma" w:cs="Tahoma"/>
      <w:sz w:val="16"/>
      <w:szCs w:val="16"/>
    </w:rPr>
  </w:style>
  <w:style w:type="character" w:customStyle="1" w:styleId="BalloonTextChar">
    <w:name w:val="Balloon Text Char"/>
    <w:basedOn w:val="DefaultParagraphFont"/>
    <w:link w:val="BalloonText"/>
    <w:rsid w:val="002E7C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C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7C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CA2"/>
    <w:rPr>
      <w:b/>
      <w:color w:val="660033"/>
      <w:spacing w:val="0"/>
    </w:rPr>
  </w:style>
  <w:style w:type="paragraph" w:customStyle="1" w:styleId="Nameditemlist">
    <w:name w:val="Named item list"/>
    <w:basedOn w:val="BodyText"/>
    <w:qFormat/>
    <w:rsid w:val="002E7C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2112</Words>
  <Characters>12785</Characters>
  <Application>Microsoft Office Word</Application>
  <DocSecurity>0</DocSecurity>
  <Lines>555</Lines>
  <Paragraphs>249</Paragraphs>
  <ScaleCrop>false</ScaleCrop>
  <Company>Author-it Software Corporation Ltd.</Company>
  <LinksUpToDate>false</LinksUpToDate>
  <CharactersWithSpaces>14719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UEENEEI111A Find and rectify faults in process final control elements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2013-03-07T16:25:00Z</dcterms:created>
  <dcterms:modified xsi:type="dcterms:W3CDTF">2013-03-07T16:25:00Z</dcterms:modified>
</cp:coreProperties>
</file>