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6AB" w:rsidP="001606AB">
      <w:pPr>
        <w:pStyle w:val="Title"/>
      </w:pPr>
      <w:r>
        <w:fldChar w:fldCharType="begin"/>
      </w:r>
      <w:r>
        <w:instrText xml:space="preserve"> TITLE   \* MERGEFORMAT </w:instrText>
      </w:r>
      <w:r>
        <w:fldChar w:fldCharType="separate"/>
      </w:r>
      <w:r>
        <w:t>UEENEEI103A Solve problems in density/level measurement components and systems</w:t>
      </w:r>
      <w:r>
        <w:fldChar w:fldCharType="end"/>
      </w:r>
    </w:p>
    <w:p w:rsidR="001606AB" w:rsidP="001606AB">
      <w:pPr>
        <w:pStyle w:val="Version"/>
        <w:sectPr w:rsidSect="007337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37B7" w:rsidP="007337B7">
      <w:pPr>
        <w:pStyle w:val="SuperHeading"/>
      </w:pPr>
      <w:r w:rsidRPr="007337B7">
        <w:t>UEENEEI103A Solve problems in density/level measurement components and systems</w:t>
      </w:r>
    </w:p>
    <w:p w:rsidR="00000000" w:rsidRPr="007337B7" w:rsidP="007337B7">
      <w:pPr>
        <w:pStyle w:val="Heading1"/>
      </w:pPr>
      <w:bookmarkStart w:id="1" w:name="O_516392"/>
      <w:bookmarkEnd w:id="1"/>
      <w:r w:rsidRPr="007337B7">
        <w:t>Modification History</w:t>
      </w:r>
    </w:p>
    <w:tbl>
      <w:tblPr>
        <w:tblW w:w="0" w:type="auto"/>
        <w:tblCellMar>
          <w:left w:w="62" w:type="dxa"/>
          <w:right w:w="62" w:type="dxa"/>
        </w:tblCellMar>
        <w:tblLook w:val="0000"/>
      </w:tblPr>
      <w:tblGrid>
        <w:gridCol w:w="762"/>
        <w:gridCol w:w="931"/>
        <w:gridCol w:w="1191"/>
        <w:gridCol w:w="5257"/>
        <w:gridCol w:w="1055"/>
      </w:tblGrid>
      <w:tr w:rsidTr="00160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Points</w:t>
            </w:r>
          </w:p>
        </w:tc>
      </w:tr>
      <w:tr w:rsidTr="001606AB">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7B7">
            <w:pPr>
              <w:pStyle w:val="BodyText"/>
              <w:rPr>
                <w:lang w:val="en-NZ"/>
              </w:rPr>
            </w:pPr>
            <w:r w:rsidRPr="007337B7">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7B7" w:rsidP="007337B7">
            <w:pPr>
              <w:pStyle w:val="BodyText"/>
            </w:pP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2" w:name="O_516391"/>
      <w:bookmarkEnd w:id="2"/>
      <w:r w:rsidRPr="007337B7">
        <w:t>Unit Descriptor</w:t>
      </w:r>
    </w:p>
    <w:tbl>
      <w:tblPr>
        <w:tblW w:w="0" w:type="auto"/>
        <w:tblLayout w:type="fixed"/>
        <w:tblCellMar>
          <w:left w:w="62" w:type="dxa"/>
          <w:right w:w="62" w:type="dxa"/>
        </w:tblCellMar>
        <w:tblLook w:val="0000"/>
      </w:tblPr>
      <w:tblGrid>
        <w:gridCol w:w="2700"/>
        <w:gridCol w:w="5760"/>
      </w:tblGrid>
      <w:tr w:rsidTr="001606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1)</w:t>
            </w:r>
            <w:r w:rsidRPr="007337B7">
              <w:t xml:space="preserve"> </w:t>
            </w:r>
            <w:r w:rsidRPr="007337B7">
              <w:rPr>
                <w:rStyle w:val="SpecialBold"/>
              </w:rPr>
              <w:t>Scope:</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37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1.1) Descriptor</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This unit covers setting up density/level measuring components and systems and providing solutions to density/level measurement problems as they apply to various process and control work functions. It encompass</w:t>
            </w:r>
            <w:r w:rsidRPr="007337B7">
              <w:t>es working safely, setting up and calibrating density/level measuring components and systems, problem solving techniques, the use of a range of measuring devices, providing solutions derived from measurements and calculations to predictable problems in den</w:t>
            </w:r>
            <w:r w:rsidRPr="007337B7">
              <w:t>sity/level measurement components and systems.</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3" w:name="O_516390"/>
      <w:bookmarkEnd w:id="3"/>
      <w:r w:rsidRPr="007337B7">
        <w:t>Application of the Unit</w:t>
      </w:r>
    </w:p>
    <w:tbl>
      <w:tblPr>
        <w:tblW w:w="0" w:type="auto"/>
        <w:tblLayout w:type="fixed"/>
        <w:tblCellMar>
          <w:left w:w="62" w:type="dxa"/>
          <w:right w:w="62" w:type="dxa"/>
        </w:tblCellMar>
        <w:tblLook w:val="0000"/>
      </w:tblPr>
      <w:tblGrid>
        <w:gridCol w:w="2672"/>
        <w:gridCol w:w="5699"/>
      </w:tblGrid>
      <w:tr w:rsidTr="001606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2)</w:t>
            </w:r>
          </w:p>
        </w:tc>
      </w:tr>
      <w:tr w:rsidTr="001606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This unit is intended for competency development entry-level employment-based programs incorporated in approved contracts of t</w:t>
            </w:r>
            <w:r w:rsidRPr="007337B7">
              <w:t>raining. The unit may also be used to augment previously acquired competencies.</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4" w:name="O_516389"/>
      <w:bookmarkEnd w:id="4"/>
      <w:r w:rsidRPr="007337B7">
        <w:t>Licensing/Regulatory Information</w:t>
      </w:r>
    </w:p>
    <w:tbl>
      <w:tblPr>
        <w:tblW w:w="0" w:type="auto"/>
        <w:tblLayout w:type="fixed"/>
        <w:tblCellMar>
          <w:left w:w="62" w:type="dxa"/>
          <w:right w:w="62" w:type="dxa"/>
        </w:tblCellMar>
        <w:tblLook w:val="0000"/>
      </w:tblPr>
      <w:tblGrid>
        <w:gridCol w:w="2700"/>
        <w:gridCol w:w="5760"/>
      </w:tblGrid>
      <w:tr w:rsidTr="001606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 xml:space="preserve">3)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The skills and knowledge described in this unit do not require a license to practice in the work p</w:t>
            </w:r>
            <w:r w:rsidRPr="007337B7">
              <w:t>lace. However they are subject to regulations directly related to occupational health and safe and contracts of training such as new apprenticeships.</w:t>
            </w:r>
          </w:p>
          <w:p w:rsidR="00000000" w:rsidRPr="007337B7" w:rsidP="007337B7">
            <w:pPr>
              <w:pStyle w:val="BodyText"/>
            </w:pPr>
            <w:r w:rsidRPr="007337B7">
              <w:t xml:space="preserve">Note: </w:t>
            </w:r>
          </w:p>
          <w:p w:rsidR="00000000" w:rsidRPr="007337B7" w:rsidP="007337B7">
            <w:pPr>
              <w:pStyle w:val="BodyText"/>
            </w:pPr>
            <w:r w:rsidRPr="007337B7">
              <w:t>1. Compliance with permits may be required in various jurisdictions and typically relates to the op</w:t>
            </w:r>
            <w:r w:rsidRPr="007337B7">
              <w:t>eration of plant, machinery and equipment such as elevating work platforms, powder operated fixing tools, power operated tools, vehicles, road signage and traffic control and lifting equipment. Permits may also be required for some work environments such a</w:t>
            </w:r>
            <w:r w:rsidRPr="007337B7">
              <w:t>s confined spaces, working aloft, near live electrical apparatus and site rehabilitation.</w:t>
            </w:r>
          </w:p>
          <w:p w:rsidR="00000000" w:rsidRPr="007337B7" w:rsidP="007337B7">
            <w:pPr>
              <w:pStyle w:val="BodyText"/>
            </w:pPr>
            <w:r w:rsidRPr="007337B7">
              <w:t>2. Compliance may be required in various jurisdictions relating to currency in First Aid, confined space and lifting and risk safety measures.</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5" w:name="O_516388"/>
      <w:bookmarkEnd w:id="5"/>
      <w:r w:rsidRPr="007337B7">
        <w:t>Pre-Requisites</w:t>
      </w:r>
    </w:p>
    <w:tbl>
      <w:tblPr>
        <w:tblW w:w="0" w:type="auto"/>
        <w:tblLayout w:type="fixed"/>
        <w:tblCellMar>
          <w:left w:w="62" w:type="dxa"/>
          <w:right w:w="62" w:type="dxa"/>
        </w:tblCellMar>
        <w:tblLook w:val="0000"/>
      </w:tblPr>
      <w:tblGrid>
        <w:gridCol w:w="2700"/>
        <w:gridCol w:w="1440"/>
        <w:gridCol w:w="4320"/>
      </w:tblGrid>
      <w:tr w:rsidTr="001606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 xml:space="preserve">4)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4.1)</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Granting competency in this unit shall be made only after competency in the following unit(s) has/have been confirmed.</w:t>
            </w:r>
          </w:p>
        </w:tc>
      </w:tr>
      <w:tr w:rsidTr="001606A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 xml:space="preserve">UEENEEE101A </w:t>
            </w:r>
            <w:r w:rsidRPr="007337B7">
              <w:tab/>
            </w:r>
          </w:p>
        </w:tc>
        <w:tc>
          <w:tcPr>
            <w:tcW w:w="432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 xml:space="preserve">Apply Occupational Health and Safety regulations, codes and practices in the workplace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UEENEEE107A</w:t>
            </w:r>
          </w:p>
        </w:tc>
        <w:tc>
          <w:tcPr>
            <w:tcW w:w="432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 xml:space="preserve">Use drawings, diagrams, schedules, standards, codes and specifications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UEENEEI101A</w:t>
            </w:r>
          </w:p>
        </w:tc>
        <w:tc>
          <w:tcPr>
            <w:tcW w:w="432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Use instrumentation drawings, specification, standards and equipment manuals</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UEENEEI102A</w:t>
            </w:r>
          </w:p>
        </w:tc>
        <w:tc>
          <w:tcPr>
            <w:tcW w:w="432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Solve problems in pressure measurement components and systems</w:t>
            </w:r>
          </w:p>
        </w:tc>
      </w:tr>
    </w:tbl>
    <w:p w:rsidR="00000000" w:rsidRPr="007337B7" w:rsidP="007337B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606A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 xml:space="preserve">4.2)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Participants are best equipped to achieve competency in this unit if they have reading, writing and numeracy skills indicated by the following scales. Description of each scale is given in Volume 2, Part 3 ‘Literacy and Numeracy’</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Reading</w:t>
            </w:r>
          </w:p>
        </w:tc>
        <w:tc>
          <w:tcPr>
            <w:tcW w:w="81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w:t>
            </w:r>
          </w:p>
        </w:tc>
        <w:tc>
          <w:tcPr>
            <w:tcW w:w="99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Writing</w:t>
            </w:r>
          </w:p>
        </w:tc>
        <w:tc>
          <w:tcPr>
            <w:tcW w:w="90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w:t>
            </w:r>
          </w:p>
        </w:tc>
        <w:tc>
          <w:tcPr>
            <w:tcW w:w="12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Numeracy</w:t>
            </w:r>
          </w:p>
        </w:tc>
        <w:tc>
          <w:tcPr>
            <w:tcW w:w="72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3</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6" w:name="O_516387"/>
      <w:bookmarkEnd w:id="6"/>
      <w:r w:rsidRPr="007337B7">
        <w:t>Employability Skills Information</w:t>
      </w:r>
    </w:p>
    <w:tbl>
      <w:tblPr>
        <w:tblW w:w="0" w:type="auto"/>
        <w:tblLayout w:type="fixed"/>
        <w:tblCellMar>
          <w:left w:w="62" w:type="dxa"/>
          <w:right w:w="62" w:type="dxa"/>
        </w:tblCellMar>
        <w:tblLook w:val="0000"/>
      </w:tblPr>
      <w:tblGrid>
        <w:gridCol w:w="2700"/>
        <w:gridCol w:w="5760"/>
      </w:tblGrid>
      <w:tr w:rsidTr="001606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 xml:space="preserve">5)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This unit contains Employability Skills</w:t>
            </w:r>
          </w:p>
          <w:p w:rsidR="00000000" w:rsidRPr="007337B7" w:rsidP="007337B7">
            <w:pPr>
              <w:pStyle w:val="BodyText"/>
            </w:pPr>
            <w:r w:rsidRPr="007337B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337B7">
              <w:t>requirements.</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7" w:name="O_516386"/>
      <w:bookmarkEnd w:id="7"/>
      <w:r w:rsidRPr="007337B7">
        <w:t>Elements and Performance Criteria Pre-Content</w:t>
      </w:r>
    </w:p>
    <w:tbl>
      <w:tblPr>
        <w:tblW w:w="0" w:type="auto"/>
        <w:tblLayout w:type="fixed"/>
        <w:tblCellMar>
          <w:left w:w="62" w:type="dxa"/>
          <w:right w:w="62" w:type="dxa"/>
        </w:tblCellMar>
        <w:tblLook w:val="0000"/>
      </w:tblPr>
      <w:tblGrid>
        <w:gridCol w:w="2700"/>
        <w:gridCol w:w="5760"/>
      </w:tblGrid>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6)</w:t>
            </w:r>
            <w:r w:rsidRPr="007337B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Performance Criteria describe the required performance needed to demonstrate achievement of the element. Assessment of performance is to be consistent with the Evidence Guide.</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8" w:name="O_516385"/>
      <w:bookmarkEnd w:id="8"/>
      <w:r w:rsidRPr="007337B7">
        <w:t>Elements and Performance Criteria</w:t>
      </w:r>
    </w:p>
    <w:tbl>
      <w:tblPr>
        <w:tblW w:w="0" w:type="auto"/>
        <w:tblLayout w:type="fixed"/>
        <w:tblCellMar>
          <w:left w:w="62" w:type="dxa"/>
          <w:right w:w="62" w:type="dxa"/>
        </w:tblCellMar>
        <w:tblLook w:val="0000"/>
      </w:tblPr>
      <w:tblGrid>
        <w:gridCol w:w="324"/>
        <w:gridCol w:w="2154"/>
        <w:gridCol w:w="222"/>
        <w:gridCol w:w="604"/>
        <w:gridCol w:w="4457"/>
        <w:gridCol w:w="699"/>
      </w:tblGrid>
      <w:tr w:rsidTr="001606AB">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PERFORMANCE CRITE</w:t>
            </w:r>
            <w:r w:rsidRPr="007337B7">
              <w:rPr>
                <w:rStyle w:val="SpecialBold"/>
              </w:rPr>
              <w:t>RIA</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w:t>
            </w:r>
          </w:p>
        </w:tc>
        <w:tc>
          <w:tcPr>
            <w:tcW w:w="2154" w:type="dxa"/>
            <w:vMerge w:val="restart"/>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Prepare to work on density/level measurement components and systems</w:t>
            </w: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1.1</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OHS procedures for a given work area are identified, obtained and understood</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1.2</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OHS risk control work preparation measures and procedures are followed.</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1.3</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The nature of the density/level measurement problem is obtained from documentation or from an appropriate person to establish the scope of work to be undertaken.</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1.4</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Appropriate personnel are consulted to ensure the work is coordinated effectively with</w:t>
            </w:r>
            <w:r w:rsidRPr="007337B7">
              <w:t xml:space="preserve"> others involved or affected by the work.</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1.5</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Sources of materials that may be required for the work are established in accordance with established procedures.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1.6</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Tools, equipment and testing devices needed to carry out the work are obtained and checked for correct operation and safety</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w:t>
            </w:r>
          </w:p>
        </w:tc>
        <w:tc>
          <w:tcPr>
            <w:tcW w:w="2154" w:type="dxa"/>
            <w:vMerge w:val="restart"/>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Solve density/level measurement problems</w:t>
            </w: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2.1</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OHS risk control work measures and procedures are followed.</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2.2</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The need to test or measure any electrical components live is determined in strict accordance with OHS requirements and when necessary conducted within established safety procedures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2.3</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 xml:space="preserve">Density/level measurement apparatus are checked as being isolated </w:t>
            </w:r>
            <w:r w:rsidRPr="007337B7">
              <w:t>where necessary in strict accordance OHS requirements and procedures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2.4</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Established methods are used to solve measurement problems from tests and calculated values as they apply to density/level measurement systems.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2.5</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Unexpected situations are dealt with safely and with the approval of an authorised person.</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2.6</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Problems are solved using sustainable energy principles and without damage to apparatus, the surrounding environment or services.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w:t>
            </w:r>
          </w:p>
        </w:tc>
        <w:tc>
          <w:tcPr>
            <w:tcW w:w="2154" w:type="dxa"/>
            <w:vMerge w:val="restart"/>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Complete work and docume</w:t>
            </w:r>
            <w:r w:rsidRPr="007337B7">
              <w:t>nt work activities</w:t>
            </w: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3.1</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OHS work completion risk control measures and procedures are followed.</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3.2</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Work site is cleaned and made safe in accordance with established procedures.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3.3</w:t>
            </w:r>
          </w:p>
        </w:tc>
        <w:tc>
          <w:tcPr>
            <w:tcW w:w="4457"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Written justification is made for solutions to density/level measurement problems.</w:t>
            </w:r>
          </w:p>
        </w:tc>
      </w:tr>
      <w:tr w:rsidTr="001606AB">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3.4</w:t>
            </w:r>
          </w:p>
        </w:tc>
        <w:tc>
          <w:tcPr>
            <w:tcW w:w="4457"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Work completion is documented and appropriate person(s) notified in accordance with established procedures.</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9" w:name="O_516384"/>
      <w:bookmarkEnd w:id="9"/>
      <w:r w:rsidRPr="007337B7">
        <w:t>Required Skills and Knowledge</w:t>
      </w:r>
    </w:p>
    <w:tbl>
      <w:tblPr>
        <w:tblW w:w="0" w:type="auto"/>
        <w:tblLayout w:type="fixed"/>
        <w:tblCellMar>
          <w:left w:w="62" w:type="dxa"/>
          <w:right w:w="62" w:type="dxa"/>
        </w:tblCellMar>
        <w:tblLook w:val="0000"/>
      </w:tblPr>
      <w:tblGrid>
        <w:gridCol w:w="8460"/>
      </w:tblGrid>
      <w:tr w:rsidTr="001606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REQUIRED SKILLS AND KNOWLEDGE</w:t>
            </w:r>
          </w:p>
        </w:tc>
      </w:tr>
      <w:tr w:rsidTr="001606A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8)</w:t>
            </w:r>
            <w:r w:rsidRPr="007337B7">
              <w:t xml:space="preserve"> This describes the essential skills and knowledge and their level, required for this unit.</w:t>
            </w:r>
          </w:p>
          <w:p w:rsidR="00000000" w:rsidRPr="007337B7" w:rsidP="007337B7">
            <w:pPr>
              <w:pStyle w:val="BodyText"/>
            </w:pPr>
            <w:r w:rsidRPr="007337B7">
              <w:t>Evidence shall show that knowledge has been acquired of safe working practices and solving problems in density/level measurement sy</w:t>
            </w:r>
            <w:r w:rsidRPr="007337B7">
              <w:t>stems.</w:t>
            </w:r>
          </w:p>
          <w:p w:rsidR="00000000" w:rsidRPr="007337B7" w:rsidP="007337B7">
            <w:pPr>
              <w:pStyle w:val="BodyText"/>
            </w:pPr>
            <w:r w:rsidRPr="007337B7">
              <w:t>All knowledge and skills detailed in this unit should be contextualised to current industry practices and technologies.</w:t>
            </w:r>
          </w:p>
          <w:p w:rsidR="00000000" w:rsidRPr="007337B7" w:rsidP="007337B7">
            <w:pPr>
              <w:pStyle w:val="BodyText"/>
            </w:pPr>
            <w:r w:rsidRPr="007337B7">
              <w:rPr>
                <w:rStyle w:val="SpecialBold"/>
              </w:rPr>
              <w:t>KS01-EI103A</w:t>
            </w:r>
            <w:r w:rsidRPr="007337B7">
              <w:rPr>
                <w:rStyle w:val="SpecialBold"/>
              </w:rPr>
              <w:tab/>
            </w:r>
            <w:r w:rsidRPr="007337B7">
              <w:rPr>
                <w:rStyle w:val="SpecialBold"/>
              </w:rPr>
              <w:tab/>
              <w:t>Level/Density Measurement</w:t>
            </w:r>
          </w:p>
          <w:p w:rsidR="00000000" w:rsidRPr="007337B7" w:rsidP="007337B7">
            <w:pPr>
              <w:pStyle w:val="BodyText"/>
            </w:pPr>
            <w:r w:rsidRPr="007337B7">
              <w:t>Evidence shall show an understanding of level/density measurement used in industrial proce</w:t>
            </w:r>
            <w:r w:rsidRPr="007337B7">
              <w:t>sses to an extent indicated by the following aspects:</w:t>
            </w:r>
          </w:p>
          <w:p w:rsidR="00000000" w:rsidRPr="007337B7" w:rsidP="007337B7">
            <w:pPr>
              <w:pStyle w:val="BodyText"/>
            </w:pPr>
            <w:r w:rsidRPr="007337B7">
              <w:t>T1</w:t>
            </w:r>
            <w:r w:rsidRPr="007337B7">
              <w:tab/>
              <w:t>Introduction to level/density measurement encompassing:</w:t>
            </w:r>
          </w:p>
          <w:p w:rsidR="00000000" w:rsidRPr="007337B7" w:rsidP="007337B7">
            <w:pPr>
              <w:pStyle w:val="ListBullet"/>
            </w:pPr>
            <w:r w:rsidRPr="007337B7">
              <w:t>Definitions density and relative density (sg)</w:t>
            </w:r>
          </w:p>
          <w:p w:rsidR="00000000" w:rsidRPr="007337B7" w:rsidP="007337B7">
            <w:pPr>
              <w:pStyle w:val="ListBullet"/>
            </w:pPr>
            <w:r w:rsidRPr="007337B7">
              <w:t>Application</w:t>
            </w:r>
          </w:p>
          <w:p w:rsidR="00000000" w:rsidRPr="007337B7" w:rsidP="007337B7">
            <w:pPr>
              <w:pStyle w:val="ListBullet"/>
            </w:pPr>
            <w:r w:rsidRPr="007337B7">
              <w:t>Factors affecting density</w:t>
            </w:r>
          </w:p>
          <w:p w:rsidR="00000000" w:rsidRPr="007337B7" w:rsidP="007337B7">
            <w:pPr>
              <w:pStyle w:val="ListBullet"/>
            </w:pPr>
            <w:r w:rsidRPr="007337B7">
              <w:t>Density measurement</w:t>
            </w:r>
          </w:p>
          <w:p w:rsidR="00000000" w:rsidRPr="007337B7" w:rsidP="007337B7">
            <w:pPr>
              <w:pStyle w:val="ListBullet"/>
            </w:pPr>
            <w:r w:rsidRPr="007337B7">
              <w:t>Archimedes’ Principle</w:t>
            </w:r>
          </w:p>
          <w:p w:rsidR="00000000" w:rsidRPr="007337B7" w:rsidP="007337B7">
            <w:pPr>
              <w:pStyle w:val="ListBullet"/>
            </w:pPr>
            <w:r w:rsidRPr="007337B7">
              <w:t>Density calculations</w:t>
            </w:r>
          </w:p>
          <w:p w:rsidR="00000000" w:rsidRPr="007337B7" w:rsidP="007337B7">
            <w:pPr>
              <w:pStyle w:val="ListBullet"/>
            </w:pPr>
            <w:r w:rsidRPr="007337B7">
              <w:t>Types and applications of level/density transducers</w:t>
            </w:r>
          </w:p>
          <w:p w:rsidR="00000000" w:rsidRPr="007337B7" w:rsidP="007337B7">
            <w:pPr>
              <w:pStyle w:val="ListBullet"/>
            </w:pPr>
            <w:r w:rsidRPr="007337B7">
              <w:t>Transducers input/outputs - measurement and evaluation</w:t>
            </w:r>
          </w:p>
          <w:p w:rsidR="00000000" w:rsidRPr="007337B7" w:rsidP="007337B7">
            <w:pPr>
              <w:pStyle w:val="ListBullet"/>
            </w:pPr>
            <w:r w:rsidRPr="007337B7">
              <w:t>Transducer connections</w:t>
            </w:r>
          </w:p>
          <w:p w:rsidR="00000000" w:rsidRPr="007337B7" w:rsidP="007337B7">
            <w:pPr>
              <w:pStyle w:val="BodyText"/>
            </w:pPr>
            <w:r w:rsidRPr="007337B7">
              <w:t>T2</w:t>
            </w:r>
            <w:r w:rsidRPr="007337B7">
              <w:tab/>
              <w:t>Level measurement techniques – sight type encompassing:</w:t>
            </w:r>
          </w:p>
          <w:p w:rsidR="00000000" w:rsidRPr="007337B7" w:rsidP="007337B7">
            <w:pPr>
              <w:pStyle w:val="ListBullet"/>
            </w:pPr>
            <w:r w:rsidRPr="007337B7">
              <w:t>Dipstick and hook gauges</w:t>
            </w:r>
          </w:p>
          <w:p w:rsidR="00000000" w:rsidRPr="007337B7" w:rsidP="007337B7">
            <w:pPr>
              <w:pStyle w:val="ListBullet"/>
            </w:pPr>
            <w:r w:rsidRPr="007337B7">
              <w:t>Tubular and flat gla</w:t>
            </w:r>
            <w:r w:rsidRPr="007337B7">
              <w:t>ss gauges</w:t>
            </w:r>
          </w:p>
          <w:p w:rsidR="00000000" w:rsidRPr="007337B7" w:rsidP="007337B7">
            <w:pPr>
              <w:pStyle w:val="ListBullet"/>
            </w:pPr>
            <w:r w:rsidRPr="007337B7">
              <w:t>Accuracy of flat glass gauges</w:t>
            </w:r>
          </w:p>
          <w:p w:rsidR="00000000" w:rsidRPr="007337B7" w:rsidP="007337B7">
            <w:pPr>
              <w:pStyle w:val="ListBullet"/>
            </w:pPr>
            <w:r w:rsidRPr="007337B7">
              <w:t>Magnetically coupled gauges</w:t>
            </w:r>
          </w:p>
          <w:p w:rsidR="00000000" w:rsidRPr="007337B7" w:rsidP="007337B7">
            <w:pPr>
              <w:pStyle w:val="ListBullet"/>
            </w:pPr>
            <w:r w:rsidRPr="007337B7">
              <w:t>Float Level Measuring devices</w:t>
            </w:r>
          </w:p>
          <w:p w:rsidR="00000000" w:rsidRPr="007337B7" w:rsidP="007337B7">
            <w:pPr>
              <w:pStyle w:val="ListBullet"/>
            </w:pPr>
            <w:r w:rsidRPr="007337B7">
              <w:t>Application of float devices</w:t>
            </w:r>
          </w:p>
          <w:p w:rsidR="00000000" w:rsidRPr="007337B7" w:rsidP="007337B7">
            <w:pPr>
              <w:pStyle w:val="BodyText"/>
            </w:pPr>
            <w:r w:rsidRPr="007337B7">
              <w:t>T3</w:t>
            </w:r>
            <w:r w:rsidRPr="007337B7">
              <w:tab/>
              <w:t>Level/density measurement - force type techniques encompassing:</w:t>
            </w:r>
          </w:p>
          <w:p w:rsidR="00000000" w:rsidRPr="007337B7" w:rsidP="007337B7">
            <w:pPr>
              <w:pStyle w:val="ListBullet"/>
            </w:pPr>
            <w:r w:rsidRPr="007337B7">
              <w:t>Comparison of float and displacement type systems</w:t>
            </w:r>
          </w:p>
          <w:p w:rsidR="00000000" w:rsidRPr="007337B7" w:rsidP="007337B7">
            <w:pPr>
              <w:pStyle w:val="ListBullet"/>
            </w:pPr>
            <w:r w:rsidRPr="007337B7">
              <w:t>Interface s</w:t>
            </w:r>
            <w:r w:rsidRPr="007337B7">
              <w:t>ensing devices</w:t>
            </w:r>
          </w:p>
          <w:p w:rsidR="00000000" w:rsidRPr="007337B7" w:rsidP="007337B7">
            <w:pPr>
              <w:pStyle w:val="ListBullet"/>
            </w:pPr>
            <w:r w:rsidRPr="007337B7">
              <w:t>Torque tube type displacer operation</w:t>
            </w:r>
          </w:p>
          <w:p w:rsidR="00000000" w:rsidRPr="007337B7" w:rsidP="007337B7">
            <w:pPr>
              <w:pStyle w:val="ListBullet"/>
            </w:pPr>
            <w:r w:rsidRPr="007337B7">
              <w:t>Torque tube type displacer construction</w:t>
            </w:r>
          </w:p>
          <w:p w:rsidR="00000000" w:rsidRPr="007337B7" w:rsidP="007337B7">
            <w:pPr>
              <w:pStyle w:val="ListBullet"/>
            </w:pPr>
            <w:r w:rsidRPr="007337B7">
              <w:t>Pneumatic and electronic transmitters</w:t>
            </w:r>
          </w:p>
          <w:p w:rsidR="00000000" w:rsidRPr="007337B7" w:rsidP="007337B7">
            <w:pPr>
              <w:pStyle w:val="BodyText"/>
            </w:pPr>
            <w:r w:rsidRPr="007337B7">
              <w:t>T4</w:t>
            </w:r>
            <w:r w:rsidRPr="007337B7">
              <w:tab/>
              <w:t>Level/density measurement - pressure-type techniques encompassing:</w:t>
            </w:r>
          </w:p>
          <w:p w:rsidR="00000000" w:rsidRPr="007337B7" w:rsidP="007337B7">
            <w:pPr>
              <w:pStyle w:val="ListBullet"/>
            </w:pPr>
            <w:r w:rsidRPr="007337B7">
              <w:t>Diaphragm level detectors</w:t>
            </w:r>
          </w:p>
          <w:p w:rsidR="00000000" w:rsidRPr="007337B7" w:rsidP="007337B7">
            <w:pPr>
              <w:pStyle w:val="ListBullet"/>
            </w:pPr>
            <w:r w:rsidRPr="007337B7">
              <w:t>Applications of diaphragm level detectors</w:t>
            </w:r>
          </w:p>
          <w:p w:rsidR="00000000" w:rsidRPr="007337B7" w:rsidP="007337B7">
            <w:pPr>
              <w:pStyle w:val="ListBullet"/>
            </w:pPr>
            <w:r w:rsidRPr="007337B7">
              <w:t>Differential pressure cells advantages and disadvantages</w:t>
            </w:r>
          </w:p>
          <w:p w:rsidR="00000000" w:rsidRPr="007337B7" w:rsidP="007337B7">
            <w:pPr>
              <w:pStyle w:val="ListBullet"/>
            </w:pPr>
            <w:r w:rsidRPr="007337B7">
              <w:t>Density measurement using D/P cells</w:t>
            </w:r>
          </w:p>
          <w:p w:rsidR="00000000" w:rsidRPr="007337B7" w:rsidP="007337B7">
            <w:pPr>
              <w:pStyle w:val="BodyText"/>
            </w:pPr>
            <w:r w:rsidRPr="007337B7">
              <w:t>T5</w:t>
            </w:r>
            <w:r w:rsidRPr="007337B7">
              <w:tab/>
              <w:t>Level/density measurement - electrical techniques encompassing:</w:t>
            </w:r>
          </w:p>
          <w:p w:rsidR="00000000" w:rsidRPr="007337B7" w:rsidP="007337B7">
            <w:pPr>
              <w:pStyle w:val="ListBullet"/>
            </w:pPr>
            <w:r w:rsidRPr="007337B7">
              <w:t>Application of conductance probes</w:t>
            </w:r>
          </w:p>
          <w:p w:rsidR="00000000" w:rsidRPr="007337B7" w:rsidP="007337B7">
            <w:pPr>
              <w:pStyle w:val="ListBullet"/>
            </w:pPr>
            <w:r w:rsidRPr="007337B7">
              <w:t>Operation of a cond</w:t>
            </w:r>
            <w:r w:rsidRPr="007337B7">
              <w:t>uctivity-level controller</w:t>
            </w:r>
          </w:p>
          <w:p w:rsidR="00000000" w:rsidRPr="007337B7" w:rsidP="007337B7">
            <w:pPr>
              <w:pStyle w:val="ListBullet"/>
            </w:pPr>
            <w:r w:rsidRPr="007337B7">
              <w:t>Resistance tapes level detectors</w:t>
            </w:r>
          </w:p>
          <w:p w:rsidR="00000000" w:rsidRPr="007337B7" w:rsidP="007337B7">
            <w:pPr>
              <w:pStyle w:val="ListBullet"/>
            </w:pPr>
            <w:r w:rsidRPr="007337B7">
              <w:t>Capacitance probes level detectors</w:t>
            </w:r>
          </w:p>
          <w:p w:rsidR="00000000" w:rsidRPr="007337B7" w:rsidP="007337B7">
            <w:pPr>
              <w:pStyle w:val="ListBullet"/>
            </w:pPr>
            <w:r w:rsidRPr="007337B7">
              <w:t>Ultrasonic level detectors</w:t>
            </w:r>
          </w:p>
          <w:p w:rsidR="00000000" w:rsidRPr="007337B7" w:rsidP="007337B7">
            <w:pPr>
              <w:pStyle w:val="ListBullet"/>
            </w:pPr>
            <w:r w:rsidRPr="007337B7">
              <w:t>Microwave-based level detectors</w:t>
            </w:r>
          </w:p>
          <w:p w:rsidR="00000000" w:rsidRPr="007337B7" w:rsidP="007337B7">
            <w:pPr>
              <w:pStyle w:val="ListBullet"/>
            </w:pPr>
            <w:r w:rsidRPr="007337B7">
              <w:t>Nucleonic-type level sensors</w:t>
            </w:r>
          </w:p>
          <w:p w:rsidR="00000000" w:rsidRPr="007337B7" w:rsidP="007337B7">
            <w:pPr>
              <w:pStyle w:val="ListBullet"/>
            </w:pPr>
            <w:r w:rsidRPr="007337B7">
              <w:t>Load Cells used for level measurement</w:t>
            </w:r>
          </w:p>
          <w:p w:rsidR="00000000" w:rsidRPr="007337B7" w:rsidP="007337B7">
            <w:pPr>
              <w:pStyle w:val="BodyText"/>
            </w:pPr>
            <w:r w:rsidRPr="007337B7">
              <w:t>T6</w:t>
            </w:r>
            <w:r w:rsidRPr="007337B7">
              <w:tab/>
              <w:t>Level/density measurement - non-i</w:t>
            </w:r>
            <w:r w:rsidRPr="007337B7">
              <w:t>ntrusive type techniques encompassing:</w:t>
            </w:r>
          </w:p>
          <w:p w:rsidR="00000000" w:rsidRPr="007337B7" w:rsidP="007337B7">
            <w:pPr>
              <w:pStyle w:val="ListBullet"/>
            </w:pPr>
            <w:r w:rsidRPr="007337B7">
              <w:t>Radiation-type density sensor</w:t>
            </w:r>
          </w:p>
          <w:p w:rsidR="00000000" w:rsidRPr="007337B7" w:rsidP="007337B7">
            <w:pPr>
              <w:pStyle w:val="ListBullet"/>
            </w:pPr>
            <w:r w:rsidRPr="007337B7">
              <w:t>Hydrometer element used for density measurement</w:t>
            </w:r>
          </w:p>
          <w:p w:rsidR="00000000" w:rsidRPr="007337B7" w:rsidP="007337B7">
            <w:pPr>
              <w:pStyle w:val="ListBullet"/>
            </w:pPr>
            <w:r w:rsidRPr="007337B7">
              <w:t>Vibrating tube type liquid density meter</w:t>
            </w:r>
          </w:p>
          <w:p w:rsidR="00000000" w:rsidRPr="007337B7" w:rsidP="007337B7">
            <w:pPr>
              <w:pStyle w:val="BodyText"/>
            </w:pPr>
            <w:r w:rsidRPr="007337B7">
              <w:t>T7</w:t>
            </w:r>
            <w:r w:rsidRPr="007337B7">
              <w:tab/>
              <w:t>Level/density measurement calibration encompassing:</w:t>
            </w:r>
          </w:p>
          <w:p w:rsidR="00000000" w:rsidRPr="007337B7" w:rsidP="007337B7">
            <w:pPr>
              <w:pStyle w:val="ListBullet"/>
            </w:pPr>
            <w:r w:rsidRPr="007337B7">
              <w:t>D/P cell calculations</w:t>
            </w:r>
          </w:p>
          <w:p w:rsidR="00000000" w:rsidRPr="007337B7" w:rsidP="007337B7">
            <w:pPr>
              <w:pStyle w:val="ListBullet"/>
            </w:pPr>
            <w:r w:rsidRPr="007337B7">
              <w:t>D/P cell calibratio</w:t>
            </w:r>
            <w:r w:rsidRPr="007337B7">
              <w:t>n</w:t>
            </w:r>
          </w:p>
          <w:p w:rsidR="00000000" w:rsidRPr="007337B7" w:rsidP="007337B7">
            <w:pPr>
              <w:pStyle w:val="ListBullet"/>
            </w:pPr>
            <w:r w:rsidRPr="007337B7">
              <w:t>Open Tank installation level measurement.</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10" w:name="O_516383"/>
      <w:bookmarkEnd w:id="10"/>
      <w:r w:rsidRPr="007337B7">
        <w:t>Evidence Guide</w:t>
      </w:r>
    </w:p>
    <w:tbl>
      <w:tblPr>
        <w:tblW w:w="0" w:type="auto"/>
        <w:tblLayout w:type="fixed"/>
        <w:tblCellMar>
          <w:left w:w="62" w:type="dxa"/>
          <w:right w:w="62" w:type="dxa"/>
        </w:tblCellMar>
        <w:tblLook w:val="0000"/>
      </w:tblPr>
      <w:tblGrid>
        <w:gridCol w:w="8460"/>
      </w:tblGrid>
      <w:tr w:rsidTr="001606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EVIDENCE GUIDE</w:t>
            </w:r>
          </w:p>
        </w:tc>
      </w:tr>
      <w:tr w:rsidTr="001606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9)</w:t>
            </w:r>
            <w:r w:rsidRPr="007337B7">
              <w:t xml:space="preserve"> The evidence guide provides advice on assessment and must be read in conjunction with the Performance </w:t>
            </w:r>
            <w:r w:rsidRPr="007337B7">
              <w:t>Criteria, Required Skills and Knowledge, the Range Statement and the Assessment Guidelines for this Training Package.</w:t>
            </w:r>
          </w:p>
          <w:p w:rsidR="00000000" w:rsidRPr="007337B7" w:rsidP="007337B7">
            <w:pPr>
              <w:pStyle w:val="BodyText"/>
            </w:pPr>
            <w:r w:rsidRPr="007337B7">
              <w:t>The Evidence Guide forms an integral part of this unit. It must be used in conjunction with all parts of the unit and performed in ac</w:t>
            </w:r>
            <w:r w:rsidRPr="007337B7">
              <w:t>cordance with the Assessment Guidelines of this Training Package.</w:t>
            </w:r>
          </w:p>
        </w:tc>
      </w:tr>
    </w:tbl>
    <w:p w:rsidR="00000000" w:rsidRPr="007337B7" w:rsidP="007337B7">
      <w:pPr>
        <w:pStyle w:val="BodyText"/>
      </w:pPr>
    </w:p>
    <w:tbl>
      <w:tblPr>
        <w:tblW w:w="0" w:type="auto"/>
        <w:tblLayout w:type="fixed"/>
        <w:tblCellMar>
          <w:left w:w="62" w:type="dxa"/>
          <w:right w:w="62" w:type="dxa"/>
        </w:tblCellMar>
        <w:tblLook w:val="0000"/>
      </w:tblPr>
      <w:tblGrid>
        <w:gridCol w:w="1890"/>
        <w:gridCol w:w="6570"/>
      </w:tblGrid>
      <w:tr w:rsidTr="001606A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9.1)</w:t>
            </w:r>
          </w:p>
        </w:tc>
      </w:tr>
      <w:tr w:rsidTr="001606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Longitudinal competency development approaches to assessment, such as Profiling, require data to be reliably gathered in a form that can be consistently inter</w:t>
            </w:r>
            <w:r w:rsidRPr="007337B7">
              <w:t>preted over time. This approach is best utilised in Apprenticeship programs and reduces assessment intervention. It is the industry-preferred model for apprenticeships. However, where summative (or final) assessment is used it is to include the application</w:t>
            </w:r>
            <w:r w:rsidRPr="007337B7">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7337B7">
              <w:t>ccordance with industry and regulatory policy.</w:t>
            </w:r>
          </w:p>
          <w:p w:rsidR="00000000" w:rsidRPr="007337B7" w:rsidP="007337B7">
            <w:pPr>
              <w:pStyle w:val="BodyText"/>
            </w:pPr>
            <w:r w:rsidRPr="007337B7">
              <w:t>Methods chosen for a particular assessment will be influenced by various factors. These include the extent of the assessment, the most effective locations for the assessment activities to take place, access to</w:t>
            </w:r>
            <w:r w:rsidRPr="007337B7">
              <w:t xml:space="preserve"> physical resources, additional safety measures that may be required and the critical nature of the competencies being assessed.</w:t>
            </w:r>
          </w:p>
          <w:p w:rsidR="00000000" w:rsidRPr="007337B7" w:rsidP="007337B7">
            <w:pPr>
              <w:pStyle w:val="BodyText"/>
            </w:pPr>
            <w:r w:rsidRPr="007337B7">
              <w:t>The critical safety nature of working with electricity, electrical equipment, gas or any other hazardous substance/material car</w:t>
            </w:r>
            <w:r w:rsidRPr="007337B7">
              <w:t>ries risk in deeming a person competent. Sources of evidence need to be ‘rich’ in nature to minimise error in judgment.</w:t>
            </w:r>
          </w:p>
          <w:p w:rsidR="00000000" w:rsidRPr="007337B7" w:rsidP="007337B7">
            <w:pPr>
              <w:pStyle w:val="BodyText"/>
            </w:pPr>
            <w:r w:rsidRPr="007337B7">
              <w:t xml:space="preserve">Activities associated with normal everyday work influence how/how much the data gathered will contribute to its ‘richness’. Some skills </w:t>
            </w:r>
            <w:r w:rsidRPr="007337B7">
              <w:t xml:space="preserve">are more critical to safety and operational requirements while the same skills may be more or less frequently practised. These points are raised for the assessors to consider when choosing an assessment method and developing assessment instruments. Sample </w:t>
            </w:r>
            <w:r w:rsidRPr="007337B7">
              <w:t>assessment instruments are included for Assessors in the Assessment Guidelines of this Training Package.</w:t>
            </w:r>
          </w:p>
        </w:tc>
      </w:tr>
    </w:tbl>
    <w:p w:rsidR="00000000" w:rsidRPr="007337B7" w:rsidP="007337B7">
      <w:pPr>
        <w:pStyle w:val="BodyText"/>
      </w:pPr>
    </w:p>
    <w:tbl>
      <w:tblPr>
        <w:tblW w:w="9861" w:type="dxa"/>
        <w:tblLayout w:type="fixed"/>
        <w:tblCellMar>
          <w:left w:w="62" w:type="dxa"/>
          <w:right w:w="62" w:type="dxa"/>
        </w:tblCellMar>
        <w:tblLook w:val="0000"/>
      </w:tblPr>
      <w:tblGrid>
        <w:gridCol w:w="1856"/>
        <w:gridCol w:w="34"/>
        <w:gridCol w:w="6081"/>
        <w:gridCol w:w="489"/>
        <w:gridCol w:w="1401"/>
      </w:tblGrid>
      <w:tr w:rsidTr="001606AB">
        <w:tblPrEx>
          <w:tblW w:w="9861" w:type="dxa"/>
          <w:tblLayout w:type="fixed"/>
          <w:tblCellMar>
            <w:left w:w="62" w:type="dxa"/>
            <w:right w:w="62" w:type="dxa"/>
          </w:tblCellMar>
          <w:tblLook w:val="0000"/>
        </w:tblPrEx>
        <w:trPr>
          <w:gridAfter w:val="1"/>
          <w:wAfter w:w="1401" w:type="dxa"/>
        </w:trPr>
        <w:tc>
          <w:tcPr>
            <w:tcW w:w="1890" w:type="dxa"/>
            <w:gridSpan w:val="2"/>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9.2)</w:t>
            </w:r>
          </w:p>
        </w:tc>
      </w:tr>
      <w:tr w:rsidTr="001606AB">
        <w:tblPrEx>
          <w:tblW w:w="9861" w:type="dxa"/>
          <w:tblLayout w:type="fixed"/>
          <w:tblCellMar>
            <w:left w:w="62" w:type="dxa"/>
            <w:right w:w="62" w:type="dxa"/>
          </w:tblCellMar>
          <w:tblLook w:val="0000"/>
        </w:tblPrEx>
        <w:trPr>
          <w:gridAfter w:val="1"/>
          <w:wAfter w:w="1401"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Before the critical aspects of evidence are considered all prerequisites must be met.</w:t>
            </w:r>
          </w:p>
          <w:p w:rsidR="00000000" w:rsidRPr="007337B7" w:rsidP="007337B7">
            <w:pPr>
              <w:pStyle w:val="BodyText"/>
            </w:pPr>
            <w:r w:rsidRPr="007337B7">
              <w:t>Evidence for competence in this unit shall be considered holistically.  Each Element and associated performance criteria must be demonstrated on at least two occasions in</w:t>
            </w:r>
            <w:r w:rsidRPr="007337B7">
              <w:t xml:space="preserve"> accordance with the ‘Assessment Guidelines – UEE11’.  Evidence shall also comprise:</w:t>
            </w:r>
          </w:p>
          <w:p w:rsidR="00000000" w:rsidRPr="007337B7" w:rsidP="007337B7">
            <w:pPr>
              <w:pStyle w:val="ListBullet"/>
            </w:pPr>
            <w:r w:rsidRPr="007337B7">
              <w:t>A representative body of work performance demonstrated within the timeframes typically expected of the discipline, work function and industrial environment. In particular</w:t>
            </w:r>
            <w:r w:rsidRPr="007337B7">
              <w:t xml:space="preserve"> this shall incorporate evidence that shows a candidate is able to:</w:t>
            </w:r>
          </w:p>
          <w:p w:rsidR="00000000" w:rsidRPr="007337B7" w:rsidP="007337B7">
            <w:pPr>
              <w:pStyle w:val="ListBullet2"/>
            </w:pPr>
            <w:r w:rsidRPr="007337B7">
              <w:t>Implement Occupational Health and Safety workplace procedures and practices, including the use of risk control measures as specified in the performance criteria and range statement</w:t>
            </w:r>
          </w:p>
          <w:p w:rsidR="00000000" w:rsidRPr="007337B7" w:rsidP="007337B7">
            <w:pPr>
              <w:pStyle w:val="ListBullet2"/>
            </w:pPr>
            <w:r w:rsidRPr="007337B7">
              <w:t>Apply sustainable energy principles and practices as specified in the performance criteria and range statement</w:t>
            </w:r>
          </w:p>
          <w:p w:rsidR="00000000" w:rsidRPr="007337B7" w:rsidP="007337B7">
            <w:pPr>
              <w:pStyle w:val="ListBullet2"/>
            </w:pPr>
            <w:r w:rsidRPr="007337B7">
              <w:t>Demonstrate an understanding of the essential knowledge and associated skills as described in this unit.  It may be required by some jurisdiction</w:t>
            </w:r>
            <w:r w:rsidRPr="007337B7">
              <w:t>s that RTOs provide a percentile graded result for the purpose of regulatory or licensing requirements.</w:t>
            </w:r>
          </w:p>
          <w:p w:rsidR="00000000" w:rsidRPr="007337B7" w:rsidP="007337B7">
            <w:pPr>
              <w:pStyle w:val="ListBullet2"/>
            </w:pPr>
            <w:r w:rsidRPr="007337B7">
              <w:t>Demonstrate an appropriate level of skills enabling employment</w:t>
            </w:r>
          </w:p>
          <w:p w:rsidR="00000000" w:rsidRPr="007337B7" w:rsidP="007337B7">
            <w:pPr>
              <w:pStyle w:val="ListBullet2"/>
            </w:pPr>
            <w:r w:rsidRPr="007337B7">
              <w:t>Conduct work observing the relevant Anti Discrimination legislation, regulations, polices</w:t>
            </w:r>
            <w:r w:rsidRPr="007337B7">
              <w:t xml:space="preserve"> and workplace procedures</w:t>
            </w:r>
          </w:p>
          <w:p w:rsidR="00000000" w:rsidRPr="007337B7" w:rsidP="007337B7">
            <w:pPr>
              <w:pStyle w:val="ListBullet"/>
            </w:pPr>
            <w:r w:rsidRPr="007337B7">
              <w:t>Demonstrated consistent performance across a representative range of contexts from the prescribed items below:</w:t>
            </w:r>
          </w:p>
          <w:p w:rsidR="00000000" w:rsidP="007337B7">
            <w:pPr>
              <w:pStyle w:val="ListBullet2"/>
              <w:rPr>
                <w:lang w:val="en-NZ"/>
              </w:rPr>
            </w:pPr>
            <w:r w:rsidRPr="007337B7">
              <w:t>Solve problems in density/level measurement systems as described in 8) and including:</w:t>
            </w:r>
          </w:p>
        </w:tc>
      </w:tr>
      <w:tr w:rsidTr="001606AB">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A</w:t>
            </w:r>
          </w:p>
        </w:tc>
        <w:tc>
          <w:tcPr>
            <w:tcW w:w="6115"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Determining the operating parameters of a density/level measuring system</w:t>
            </w:r>
          </w:p>
        </w:tc>
      </w:tr>
      <w:tr w:rsidTr="001606AB">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B</w:t>
            </w:r>
          </w:p>
        </w:tc>
        <w:tc>
          <w:tcPr>
            <w:tcW w:w="6115"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Setting up and calibrating a density/level measuring system</w:t>
            </w:r>
          </w:p>
        </w:tc>
      </w:tr>
      <w:tr w:rsidTr="001606AB">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C</w:t>
            </w:r>
          </w:p>
        </w:tc>
        <w:tc>
          <w:tcPr>
            <w:tcW w:w="6115"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Altering an existing density/level measuring system to comply with specified operating parameters</w:t>
            </w:r>
          </w:p>
        </w:tc>
      </w:tr>
      <w:tr w:rsidTr="001606AB">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D</w:t>
            </w:r>
          </w:p>
        </w:tc>
        <w:tc>
          <w:tcPr>
            <w:tcW w:w="6115"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Developing a den</w:t>
            </w:r>
            <w:r w:rsidRPr="007337B7">
              <w:t>sity/level measuring system to comply with a specified function and operating parameters</w:t>
            </w:r>
          </w:p>
        </w:tc>
      </w:tr>
      <w:tr w:rsidTr="001606AB">
        <w:tblPrEx>
          <w:tblW w:w="9861" w:type="dxa"/>
          <w:tblLayout w:type="fixed"/>
          <w:tblCellMar>
            <w:left w:w="62" w:type="dxa"/>
            <w:right w:w="62" w:type="dxa"/>
          </w:tblCellMar>
          <w:tblLook w:val="0000"/>
        </w:tblPrEx>
        <w:trPr>
          <w:gridAfter w:val="2"/>
          <w:wAfter w:w="1890" w:type="dxa"/>
          <w:trHeight w:val="1084"/>
        </w:trPr>
        <w:tc>
          <w:tcPr>
            <w:tcW w:w="1856"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E</w:t>
            </w:r>
          </w:p>
        </w:tc>
        <w:tc>
          <w:tcPr>
            <w:tcW w:w="6115"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Dealing with unplanned events by drawing on essential knowledge and skills to provide appropriate solutions incorporated in a holistic assessment with the above lis</w:t>
            </w:r>
            <w:r w:rsidRPr="007337B7">
              <w:t>ted items</w:t>
            </w:r>
          </w:p>
        </w:tc>
      </w:tr>
      <w:tr w:rsidTr="001606AB">
        <w:tblPrEx>
          <w:tblW w:w="9861" w:type="dxa"/>
          <w:tblLayout w:type="fixed"/>
          <w:tblCellMar>
            <w:left w:w="62" w:type="dxa"/>
            <w:right w:w="62" w:type="dxa"/>
          </w:tblCellMar>
          <w:tblLook w:val="0000"/>
        </w:tblPrEx>
        <w:trPr>
          <w:trHeight w:val="1084"/>
        </w:trPr>
        <w:tc>
          <w:tcPr>
            <w:tcW w:w="9861" w:type="dxa"/>
            <w:gridSpan w:val="5"/>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 xml:space="preserve">Note: </w:t>
            </w:r>
          </w:p>
          <w:p w:rsidR="00000000" w:rsidRPr="007337B7" w:rsidP="007337B7">
            <w:pPr>
              <w:pStyle w:val="BodyText"/>
            </w:pPr>
            <w:r w:rsidRPr="007337B7">
              <w:t>Successful completion of relevant vendor training may be used to contribute to evidence on which competency is deemed. In these cases the alignment of outcomes of vendor training with performance criteria and critical aspects of evidence shall be clearly i</w:t>
            </w:r>
            <w:r w:rsidRPr="007337B7">
              <w:t>dentified</w:t>
            </w:r>
          </w:p>
        </w:tc>
      </w:tr>
    </w:tbl>
    <w:p w:rsidR="00000000" w:rsidRPr="007337B7" w:rsidP="007337B7">
      <w:pPr>
        <w:pStyle w:val="BodyText"/>
      </w:pPr>
    </w:p>
    <w:tbl>
      <w:tblPr>
        <w:tblW w:w="0" w:type="auto"/>
        <w:tblLayout w:type="fixed"/>
        <w:tblCellMar>
          <w:left w:w="62" w:type="dxa"/>
          <w:right w:w="62" w:type="dxa"/>
        </w:tblCellMar>
        <w:tblLook w:val="0000"/>
      </w:tblPr>
      <w:tblGrid>
        <w:gridCol w:w="1890"/>
        <w:gridCol w:w="6570"/>
      </w:tblGrid>
      <w:tr w:rsidTr="001606A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9.3)</w:t>
            </w:r>
          </w:p>
        </w:tc>
      </w:tr>
      <w:tr w:rsidTr="001606A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This unit must be assessed as it relates to normal work practice using procedures, information and resources typical of a workplace. This should include:</w:t>
            </w:r>
          </w:p>
          <w:p w:rsidR="00000000" w:rsidRPr="007337B7" w:rsidP="007337B7">
            <w:pPr>
              <w:pStyle w:val="ListBullet3"/>
            </w:pPr>
            <w:r w:rsidRPr="007337B7">
              <w:t>OHS policy and work procedu</w:t>
            </w:r>
            <w:r w:rsidRPr="007337B7">
              <w:t>res and instructions.</w:t>
            </w:r>
          </w:p>
          <w:p w:rsidR="00000000" w:rsidRPr="007337B7" w:rsidP="007337B7">
            <w:pPr>
              <w:pStyle w:val="ListBullet3"/>
            </w:pPr>
            <w:r w:rsidRPr="007337B7">
              <w:t>Suitable work environment, facilities, equipment and materials to undertake actual work as prescribed by this unit.</w:t>
            </w:r>
          </w:p>
          <w:p w:rsidR="00000000" w:rsidRPr="007337B7" w:rsidP="007337B7">
            <w:pPr>
              <w:pStyle w:val="BodyText"/>
            </w:pPr>
            <w:r w:rsidRPr="007337B7">
              <w:t>These should be part of the formal learning/assessment environment.</w:t>
            </w:r>
          </w:p>
          <w:p w:rsidR="00000000" w:rsidRPr="007337B7" w:rsidP="007337B7">
            <w:pPr>
              <w:pStyle w:val="BodyText"/>
            </w:pPr>
            <w:r w:rsidRPr="007337B7">
              <w:t>Note:</w:t>
            </w:r>
          </w:p>
          <w:p w:rsidR="00000000" w:rsidRPr="007337B7" w:rsidP="007337B7">
            <w:pPr>
              <w:pStyle w:val="BodyText"/>
            </w:pPr>
            <w:r w:rsidRPr="007337B7">
              <w:t>Where simulation is considered a suitable st</w:t>
            </w:r>
            <w:r w:rsidRPr="007337B7">
              <w:t>rategy for assessment, the conditions must be authentic and as far as possible reproduce and replicate the workplace and be consistent with the approved industry simulation policy.</w:t>
            </w:r>
          </w:p>
          <w:p w:rsidR="00000000" w:rsidRPr="007337B7" w:rsidP="007337B7">
            <w:pPr>
              <w:pStyle w:val="BodyText"/>
            </w:pPr>
            <w:r w:rsidRPr="007337B7">
              <w:t>The resources used for assessment should reflect current industry practices</w:t>
            </w:r>
            <w:r w:rsidRPr="007337B7">
              <w:t xml:space="preserve"> in relation to solving problems in density/level measurement systems.</w:t>
            </w:r>
          </w:p>
        </w:tc>
      </w:tr>
    </w:tbl>
    <w:p w:rsidR="00000000" w:rsidRPr="007337B7" w:rsidP="007337B7">
      <w:pPr>
        <w:pStyle w:val="BodyText"/>
      </w:pPr>
    </w:p>
    <w:tbl>
      <w:tblPr>
        <w:tblW w:w="0" w:type="auto"/>
        <w:tblLayout w:type="fixed"/>
        <w:tblCellMar>
          <w:left w:w="62" w:type="dxa"/>
          <w:right w:w="62" w:type="dxa"/>
        </w:tblCellMar>
        <w:tblLook w:val="0000"/>
      </w:tblPr>
      <w:tblGrid>
        <w:gridCol w:w="1890"/>
        <w:gridCol w:w="6570"/>
      </w:tblGrid>
      <w:tr w:rsidTr="001606AB">
        <w:tblPrEx>
          <w:tblW w:w="0" w:type="auto"/>
          <w:tblLayout w:type="fixed"/>
          <w:tblCellMar>
            <w:left w:w="62" w:type="dxa"/>
            <w:right w:w="62" w:type="dxa"/>
          </w:tblCellMar>
          <w:tblLook w:val="0000"/>
        </w:tblPrEx>
        <w:trPr>
          <w:trHeight w:val="437"/>
        </w:trPr>
        <w:tc>
          <w:tcPr>
            <w:tcW w:w="189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9.4)</w:t>
            </w:r>
          </w:p>
        </w:tc>
      </w:tr>
      <w:tr w:rsidTr="001606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This unit shall be assessed by methods given in Volume 1, Part 3 ‘Assessment Guidelines’.</w:t>
            </w:r>
          </w:p>
          <w:p w:rsidR="00000000" w:rsidRPr="007337B7" w:rsidP="007337B7">
            <w:pPr>
              <w:pStyle w:val="BodyText"/>
            </w:pPr>
            <w:r w:rsidRPr="007337B7">
              <w:t xml:space="preserve">Note: </w:t>
            </w:r>
          </w:p>
          <w:p w:rsidR="00000000" w:rsidRPr="007337B7" w:rsidP="007337B7">
            <w:pPr>
              <w:pStyle w:val="BodyText"/>
            </w:pPr>
            <w:r w:rsidRPr="007337B7">
              <w:t>Competent performance with inherent safe working practices is expected in the Industry to which this unit applies. This requires assessment in a structured environment which is intended primarily for learning/assessment and incorporates all necessary equip</w:t>
            </w:r>
            <w:r w:rsidRPr="007337B7">
              <w:t>ment and facilities for learners to develop and demonstrate the essential knowledge and skills described in this unit.</w:t>
            </w:r>
          </w:p>
        </w:tc>
      </w:tr>
    </w:tbl>
    <w:p w:rsidR="00000000" w:rsidRPr="007337B7" w:rsidP="007337B7">
      <w:pPr>
        <w:pStyle w:val="BodyText"/>
      </w:pPr>
    </w:p>
    <w:tbl>
      <w:tblPr>
        <w:tblW w:w="0" w:type="auto"/>
        <w:tblLayout w:type="fixed"/>
        <w:tblCellMar>
          <w:left w:w="62" w:type="dxa"/>
          <w:right w:w="62" w:type="dxa"/>
        </w:tblCellMar>
        <w:tblLook w:val="0000"/>
      </w:tblPr>
      <w:tblGrid>
        <w:gridCol w:w="1392"/>
        <w:gridCol w:w="498"/>
        <w:gridCol w:w="5976"/>
        <w:gridCol w:w="594"/>
      </w:tblGrid>
      <w:tr w:rsidTr="001606AB">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9.5)</w:t>
            </w:r>
          </w:p>
        </w:tc>
      </w:tr>
      <w:tr w:rsidTr="001606AB">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For optimisation of training and assessment effort, competency development in this unit may be arranged concurrently with unit:</w:t>
            </w:r>
          </w:p>
        </w:tc>
      </w:tr>
      <w:tr w:rsidTr="001606AB">
        <w:tblPrEx>
          <w:tblW w:w="0" w:type="auto"/>
          <w:tblLayout w:type="fixed"/>
          <w:tblCellMar>
            <w:left w:w="62" w:type="dxa"/>
            <w:right w:w="62" w:type="dxa"/>
          </w:tblCellMar>
          <w:tblLook w:val="0000"/>
        </w:tblPrEx>
        <w:trPr>
          <w:gridAfter w:val="1"/>
          <w:wAfter w:w="594" w:type="dxa"/>
        </w:trPr>
        <w:tc>
          <w:tcPr>
            <w:tcW w:w="1392"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UEENEEI102A</w:t>
            </w:r>
          </w:p>
        </w:tc>
        <w:tc>
          <w:tcPr>
            <w:tcW w:w="6474"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Solve problems in pressure measurement components and systems</w:t>
            </w:r>
          </w:p>
        </w:tc>
      </w:tr>
      <w:tr w:rsidTr="001606AB">
        <w:tblPrEx>
          <w:tblW w:w="0" w:type="auto"/>
          <w:tblLayout w:type="fixed"/>
          <w:tblCellMar>
            <w:left w:w="62" w:type="dxa"/>
            <w:right w:w="62" w:type="dxa"/>
          </w:tblCellMar>
          <w:tblLook w:val="0000"/>
        </w:tblPrEx>
        <w:trPr>
          <w:gridAfter w:val="1"/>
          <w:wAfter w:w="594" w:type="dxa"/>
        </w:trPr>
        <w:tc>
          <w:tcPr>
            <w:tcW w:w="1392"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UEENEEI104A</w:t>
            </w:r>
          </w:p>
        </w:tc>
        <w:tc>
          <w:tcPr>
            <w:tcW w:w="6474"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Solve problems in flow measurement com</w:t>
            </w:r>
            <w:r w:rsidRPr="007337B7">
              <w:t>ponents and systems</w:t>
            </w:r>
          </w:p>
        </w:tc>
      </w:tr>
      <w:tr w:rsidTr="001606AB">
        <w:tblPrEx>
          <w:tblW w:w="0" w:type="auto"/>
          <w:tblLayout w:type="fixed"/>
          <w:tblCellMar>
            <w:left w:w="62" w:type="dxa"/>
            <w:right w:w="62" w:type="dxa"/>
          </w:tblCellMar>
          <w:tblLook w:val="0000"/>
        </w:tblPrEx>
        <w:trPr>
          <w:gridAfter w:val="1"/>
          <w:wAfter w:w="594" w:type="dxa"/>
        </w:trPr>
        <w:tc>
          <w:tcPr>
            <w:tcW w:w="1392"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UEENEEI105A</w:t>
            </w:r>
          </w:p>
        </w:tc>
        <w:tc>
          <w:tcPr>
            <w:tcW w:w="6474" w:type="dxa"/>
            <w:gridSpan w:val="2"/>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t>Solve problems in temperature measurement components and systems</w:t>
            </w:r>
          </w:p>
        </w:tc>
      </w:tr>
      <w:tr w:rsidTr="001606AB">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 xml:space="preserve">The critical aspects of occupational health and safety covered in unit UEENEEE101A and other discipline specific occupational health and safety </w:t>
            </w:r>
            <w:r w:rsidRPr="007337B7">
              <w:t>units shall be incorporated in relation to this unit.</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11" w:name="O_516382"/>
      <w:bookmarkEnd w:id="11"/>
      <w:r w:rsidRPr="007337B7">
        <w:t>Range Statement</w:t>
      </w:r>
    </w:p>
    <w:tbl>
      <w:tblPr>
        <w:tblW w:w="0" w:type="auto"/>
        <w:tblLayout w:type="fixed"/>
        <w:tblCellMar>
          <w:left w:w="62" w:type="dxa"/>
          <w:right w:w="62" w:type="dxa"/>
        </w:tblCellMar>
        <w:tblLook w:val="0000"/>
      </w:tblPr>
      <w:tblGrid>
        <w:gridCol w:w="8460"/>
      </w:tblGrid>
      <w:tr w:rsidTr="001606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RANGE STATEMENT</w:t>
            </w:r>
          </w:p>
        </w:tc>
      </w:tr>
      <w:tr w:rsidTr="001606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10)</w:t>
            </w:r>
            <w:r w:rsidRPr="007337B7">
              <w:t xml:space="preserve"> This relates to the unit as a whole providing the range of contexts and conditions to which the performance cr</w:t>
            </w:r>
            <w:r w:rsidRPr="007337B7">
              <w:t>iteria apply. It allows for different work environments and situations that will affect performance.</w:t>
            </w:r>
          </w:p>
          <w:p w:rsidR="00000000" w:rsidRPr="007337B7" w:rsidP="007337B7">
            <w:pPr>
              <w:pStyle w:val="BodyText"/>
            </w:pPr>
            <w:r w:rsidRPr="007337B7">
              <w:t>This unit must be demonstrated in relation to the density/level measurement apparatus and systems as they apply to chemical, industrial or medical processe</w:t>
            </w:r>
            <w:r w:rsidRPr="007337B7">
              <w:t>s associated with installation, fault finding, maintenance or development work functions, and at least three of the following types density/level measurement problems on at least two occasions:</w:t>
            </w:r>
          </w:p>
          <w:p w:rsidR="00000000" w:rsidRPr="007337B7" w:rsidP="007337B7">
            <w:pPr>
              <w:pStyle w:val="ListBullet3"/>
            </w:pPr>
            <w:r w:rsidRPr="007337B7">
              <w:t>Determining the operating parameters of a density/level measu</w:t>
            </w:r>
            <w:r w:rsidRPr="007337B7">
              <w:t xml:space="preserve">ring system </w:t>
            </w:r>
          </w:p>
          <w:p w:rsidR="00000000" w:rsidRPr="007337B7" w:rsidP="007337B7">
            <w:pPr>
              <w:pStyle w:val="ListBullet3"/>
            </w:pPr>
            <w:r w:rsidRPr="007337B7">
              <w:t>Setting up and calibrating density/level measuring system</w:t>
            </w:r>
          </w:p>
          <w:p w:rsidR="00000000" w:rsidRPr="007337B7" w:rsidP="007337B7">
            <w:pPr>
              <w:pStyle w:val="ListBullet3"/>
            </w:pPr>
            <w:r w:rsidRPr="007337B7">
              <w:t>Altering an existing density/level measuring system to comply with specified operating parameters</w:t>
            </w:r>
          </w:p>
          <w:p w:rsidR="00000000" w:rsidRPr="007337B7" w:rsidP="007337B7">
            <w:pPr>
              <w:pStyle w:val="ListBullet3"/>
            </w:pPr>
            <w:r w:rsidRPr="007337B7">
              <w:t>Developing a density/level measuring system to comply with a specified function and ope</w:t>
            </w:r>
            <w:r w:rsidRPr="007337B7">
              <w:t>rating parameters</w:t>
            </w:r>
          </w:p>
          <w:p w:rsidR="00000000" w:rsidRPr="007337B7" w:rsidP="007337B7">
            <w:pPr>
              <w:pStyle w:val="BodyText"/>
            </w:pPr>
            <w:r w:rsidRPr="007337B7">
              <w:t>Generic terms used throughout this Vocational Standard shall be regarded as part of the Range Statement in which competency is demonstrated. The definition of these and other terms that apply are given in Volume 2, Part 2.1.</w:t>
            </w:r>
          </w:p>
        </w:tc>
      </w:tr>
    </w:tbl>
    <w:p w:rsidR="00000000" w:rsidRPr="007337B7" w:rsidP="007337B7">
      <w:pPr>
        <w:pStyle w:val="BodyText"/>
      </w:pPr>
    </w:p>
    <w:p w:rsidR="00000000" w:rsidRPr="007337B7" w:rsidP="007337B7">
      <w:pPr>
        <w:pStyle w:val="AllowPageBreak"/>
      </w:pPr>
    </w:p>
    <w:p w:rsidR="00000000" w:rsidRPr="007337B7" w:rsidP="007337B7">
      <w:pPr>
        <w:pStyle w:val="Heading1"/>
      </w:pPr>
      <w:bookmarkStart w:id="12" w:name="O_516381"/>
      <w:bookmarkEnd w:id="12"/>
      <w:r w:rsidRPr="007337B7">
        <w:t>Unit Sector(s)</w:t>
      </w:r>
    </w:p>
    <w:p w:rsidR="00000000" w:rsidRPr="007337B7" w:rsidP="007337B7">
      <w:pPr>
        <w:pStyle w:val="BodyText"/>
      </w:pPr>
      <w:r w:rsidRPr="007337B7">
        <w:t>Not applicable.</w:t>
      </w:r>
    </w:p>
    <w:p w:rsidR="00000000" w:rsidRPr="007337B7" w:rsidP="007337B7">
      <w:pPr>
        <w:pStyle w:val="AllowPageBreak"/>
      </w:pPr>
    </w:p>
    <w:p w:rsidR="00000000" w:rsidRPr="007337B7" w:rsidP="007337B7">
      <w:pPr>
        <w:pStyle w:val="Heading1"/>
      </w:pPr>
      <w:bookmarkStart w:id="13" w:name="O_516380"/>
      <w:bookmarkEnd w:id="13"/>
      <w:r w:rsidRPr="007337B7">
        <w:t>Competency Field</w:t>
      </w:r>
    </w:p>
    <w:tbl>
      <w:tblPr>
        <w:tblW w:w="0" w:type="auto"/>
        <w:tblLayout w:type="fixed"/>
        <w:tblCellMar>
          <w:left w:w="62" w:type="dxa"/>
          <w:right w:w="62" w:type="dxa"/>
        </w:tblCellMar>
        <w:tblLook w:val="0000"/>
      </w:tblPr>
      <w:tblGrid>
        <w:gridCol w:w="2700"/>
        <w:gridCol w:w="5760"/>
      </w:tblGrid>
      <w:tr w:rsidTr="001606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37B7">
            <w:pPr>
              <w:pStyle w:val="BodyText"/>
              <w:rPr>
                <w:lang w:val="en-NZ"/>
              </w:rPr>
            </w:pPr>
            <w:r w:rsidRPr="007337B7">
              <w:rPr>
                <w:rStyle w:val="SpecialBold"/>
              </w:rPr>
              <w:t xml:space="preserve">11) </w:t>
            </w:r>
          </w:p>
        </w:tc>
      </w:tr>
      <w:tr w:rsidTr="001606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37B7" w:rsidP="007337B7">
            <w:pPr>
              <w:pStyle w:val="BodyText"/>
            </w:pPr>
            <w:r w:rsidRPr="007337B7">
              <w:t>Instrumentation and Control</w:t>
            </w:r>
          </w:p>
        </w:tc>
      </w:tr>
    </w:tbl>
    <w:p w:rsidR="00000000" w:rsidRPr="007337B7" w:rsidP="007337B7">
      <w:pPr>
        <w:pStyle w:val="BodyText"/>
      </w:pPr>
    </w:p>
    <w:p w:rsidR="00000000" w:rsidRPr="007337B7" w:rsidP="007337B7"/>
    <w:sectPr w:rsidSect="007337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B7" w:rsidRPr="001606AB" w:rsidP="00160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AB" w:rsidP="00733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06AB" w:rsidP="007337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606AB" w:rsidP="00733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B7" w:rsidRPr="001606AB" w:rsidP="001606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AB" w:rsidRPr="002D2AF8" w:rsidP="007337B7">
    <w:pPr>
      <w:pStyle w:val="Header"/>
      <w:framePr w:wrap="around"/>
    </w:pPr>
    <w:r>
      <w:fldChar w:fldCharType="begin"/>
    </w:r>
    <w:r>
      <w:instrText xml:space="preserve"> TITLE   \* MERGEFORMAT </w:instrText>
    </w:r>
    <w:r>
      <w:fldChar w:fldCharType="separate"/>
    </w:r>
    <w:r>
      <w:t>UEENEEI103A Solve problems in density/level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606AB" w:rsidP="00733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CF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6D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4E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7B7"/>
    <w:pPr>
      <w:spacing w:before="360" w:after="60"/>
      <w:outlineLvl w:val="0"/>
    </w:pPr>
    <w:rPr>
      <w:sz w:val="32"/>
    </w:rPr>
  </w:style>
  <w:style w:type="paragraph" w:styleId="Heading2">
    <w:name w:val="heading 2"/>
    <w:basedOn w:val="HeadingBase"/>
    <w:next w:val="BodyText"/>
    <w:link w:val="Heading2Char"/>
    <w:qFormat/>
    <w:rsid w:val="007337B7"/>
    <w:pPr>
      <w:keepLines/>
      <w:spacing w:before="240" w:after="120"/>
      <w:outlineLvl w:val="1"/>
    </w:pPr>
    <w:rPr>
      <w:sz w:val="28"/>
      <w:szCs w:val="40"/>
    </w:rPr>
  </w:style>
  <w:style w:type="paragraph" w:styleId="Heading3">
    <w:name w:val="heading 3"/>
    <w:basedOn w:val="HeadingBase"/>
    <w:next w:val="BodyText"/>
    <w:link w:val="Heading3Char"/>
    <w:qFormat/>
    <w:rsid w:val="007337B7"/>
    <w:pPr>
      <w:spacing w:before="180" w:after="120"/>
      <w:outlineLvl w:val="2"/>
    </w:pPr>
    <w:rPr>
      <w:spacing w:val="-10"/>
      <w:kern w:val="32"/>
    </w:rPr>
  </w:style>
  <w:style w:type="paragraph" w:styleId="Heading4">
    <w:name w:val="heading 4"/>
    <w:basedOn w:val="HeadingBase"/>
    <w:next w:val="BodyText"/>
    <w:link w:val="Heading4Char"/>
    <w:qFormat/>
    <w:rsid w:val="007337B7"/>
    <w:pPr>
      <w:spacing w:before="160" w:after="120"/>
      <w:outlineLvl w:val="3"/>
    </w:pPr>
    <w:rPr>
      <w:sz w:val="22"/>
    </w:rPr>
  </w:style>
  <w:style w:type="paragraph" w:styleId="Heading5">
    <w:name w:val="heading 5"/>
    <w:basedOn w:val="HeadingBase"/>
    <w:next w:val="Normal"/>
    <w:link w:val="Heading5Char"/>
    <w:qFormat/>
    <w:rsid w:val="007337B7"/>
    <w:pPr>
      <w:spacing w:before="80"/>
      <w:outlineLvl w:val="4"/>
    </w:pPr>
    <w:rPr>
      <w:color w:val="918585"/>
      <w:sz w:val="20"/>
    </w:rPr>
  </w:style>
  <w:style w:type="paragraph" w:styleId="Heading6">
    <w:name w:val="heading 6"/>
    <w:basedOn w:val="HeadingBase"/>
    <w:next w:val="Normal"/>
    <w:link w:val="Heading6Char"/>
    <w:qFormat/>
    <w:rsid w:val="007337B7"/>
    <w:pPr>
      <w:spacing w:before="60"/>
      <w:outlineLvl w:val="5"/>
    </w:pPr>
    <w:rPr>
      <w:color w:val="918585"/>
      <w:sz w:val="20"/>
    </w:rPr>
  </w:style>
  <w:style w:type="paragraph" w:styleId="Heading7">
    <w:name w:val="heading 7"/>
    <w:basedOn w:val="Normal"/>
    <w:next w:val="Normal"/>
    <w:link w:val="Heading7Char"/>
    <w:qFormat/>
    <w:rsid w:val="007337B7"/>
    <w:pPr>
      <w:ind w:left="720"/>
      <w:outlineLvl w:val="6"/>
    </w:pPr>
    <w:rPr>
      <w:i/>
    </w:rPr>
  </w:style>
  <w:style w:type="paragraph" w:styleId="Heading8">
    <w:name w:val="heading 8"/>
    <w:basedOn w:val="Normal"/>
    <w:next w:val="Normal"/>
    <w:link w:val="Heading8Char"/>
    <w:qFormat/>
    <w:rsid w:val="007337B7"/>
    <w:pPr>
      <w:ind w:left="720"/>
      <w:outlineLvl w:val="7"/>
    </w:pPr>
    <w:rPr>
      <w:i/>
    </w:rPr>
  </w:style>
  <w:style w:type="paragraph" w:styleId="Heading9">
    <w:name w:val="heading 9"/>
    <w:basedOn w:val="Normal"/>
    <w:next w:val="Normal"/>
    <w:link w:val="Heading9Char"/>
    <w:qFormat/>
    <w:rsid w:val="007337B7"/>
    <w:pPr>
      <w:ind w:left="720"/>
      <w:outlineLvl w:val="8"/>
    </w:pPr>
    <w:rPr>
      <w:i/>
    </w:rPr>
  </w:style>
  <w:style w:type="character" w:default="1" w:styleId="DefaultParagraphFont">
    <w:name w:val="Default Paragraph Font"/>
    <w:uiPriority w:val="1"/>
    <w:unhideWhenUsed/>
    <w:rsid w:val="00733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7B7"/>
  </w:style>
  <w:style w:type="character" w:customStyle="1" w:styleId="Heading1Char">
    <w:name w:val="Heading 1 Char"/>
    <w:basedOn w:val="DefaultParagraphFont"/>
    <w:link w:val="Heading1"/>
    <w:rsid w:val="007337B7"/>
    <w:rPr>
      <w:rFonts w:ascii="Times New Roman" w:eastAsia="Times New Roman" w:hAnsi="Times New Roman" w:cs="Times New Roman"/>
      <w:b/>
      <w:sz w:val="32"/>
      <w:szCs w:val="20"/>
      <w:lang w:eastAsia="en-US"/>
    </w:rPr>
  </w:style>
  <w:style w:type="paragraph" w:styleId="BodyText">
    <w:name w:val="Body Text"/>
    <w:basedOn w:val="Normal"/>
    <w:link w:val="BodyTextChar"/>
    <w:rsid w:val="007337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7B7"/>
    <w:rPr>
      <w:rFonts w:ascii="Times New Roman" w:eastAsia="Times New Roman" w:hAnsi="Times New Roman" w:cs="Times New Roman"/>
      <w:sz w:val="24"/>
      <w:lang w:eastAsia="en-US"/>
    </w:rPr>
  </w:style>
  <w:style w:type="paragraph" w:styleId="ListBullet">
    <w:name w:val="List Bullet"/>
    <w:basedOn w:val="List"/>
    <w:rsid w:val="007337B7"/>
    <w:pPr>
      <w:numPr>
        <w:numId w:val="14"/>
      </w:numPr>
      <w:tabs>
        <w:tab w:val="clear" w:pos="340"/>
      </w:tabs>
      <w:spacing w:before="40" w:after="40"/>
    </w:pPr>
  </w:style>
  <w:style w:type="character" w:customStyle="1" w:styleId="SpecialBold">
    <w:name w:val="Special Bold"/>
    <w:basedOn w:val="DefaultParagraphFont"/>
    <w:rsid w:val="007337B7"/>
    <w:rPr>
      <w:b/>
      <w:spacing w:val="0"/>
    </w:rPr>
  </w:style>
  <w:style w:type="paragraph" w:styleId="ListBullet2">
    <w:name w:val="List Bullet 2"/>
    <w:basedOn w:val="List2"/>
    <w:rsid w:val="007337B7"/>
    <w:pPr>
      <w:numPr>
        <w:numId w:val="15"/>
      </w:numPr>
      <w:tabs>
        <w:tab w:val="clear" w:pos="680"/>
      </w:tabs>
    </w:pPr>
  </w:style>
  <w:style w:type="paragraph" w:customStyle="1" w:styleId="SuperHeading">
    <w:name w:val="SuperHeading"/>
    <w:basedOn w:val="Normal"/>
    <w:rsid w:val="007337B7"/>
    <w:pPr>
      <w:spacing w:before="240" w:after="120"/>
      <w:outlineLvl w:val="0"/>
    </w:pPr>
    <w:rPr>
      <w:rFonts w:ascii="Times New Roman" w:hAnsi="Times New Roman"/>
      <w:b/>
      <w:sz w:val="32"/>
    </w:rPr>
  </w:style>
  <w:style w:type="paragraph" w:customStyle="1" w:styleId="AllowPageBreak">
    <w:name w:val="AllowPageBreak"/>
    <w:rsid w:val="007337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37B7"/>
    <w:pPr>
      <w:numPr>
        <w:numId w:val="3"/>
      </w:numPr>
      <w:tabs>
        <w:tab w:val="clear" w:pos="1021"/>
      </w:tabs>
      <w:ind w:left="1037" w:hanging="357"/>
    </w:pPr>
  </w:style>
  <w:style w:type="character" w:customStyle="1" w:styleId="Heading2Char">
    <w:name w:val="Heading 2 Char"/>
    <w:basedOn w:val="DefaultParagraphFont"/>
    <w:link w:val="Heading2"/>
    <w:rsid w:val="00733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7B7"/>
    <w:rPr>
      <w:rFonts w:ascii="Courier New" w:eastAsia="Times New Roman" w:hAnsi="Courier New" w:cs="Times New Roman"/>
      <w:i/>
      <w:szCs w:val="20"/>
      <w:lang w:eastAsia="en-US"/>
    </w:rPr>
  </w:style>
  <w:style w:type="paragraph" w:customStyle="1" w:styleId="HeadingBase">
    <w:name w:val="Heading Base"/>
    <w:rsid w:val="00733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7B7"/>
    <w:pPr>
      <w:tabs>
        <w:tab w:val="right" w:leader="dot" w:pos="9072"/>
      </w:tabs>
      <w:ind w:left="567"/>
    </w:pPr>
    <w:rPr>
      <w:szCs w:val="22"/>
    </w:rPr>
  </w:style>
  <w:style w:type="paragraph" w:customStyle="1" w:styleId="TOCBase">
    <w:name w:val="TOC Base"/>
    <w:rsid w:val="00733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7B7"/>
    <w:pPr>
      <w:tabs>
        <w:tab w:val="right" w:leader="dot" w:pos="9072"/>
      </w:tabs>
      <w:spacing w:before="40" w:after="40"/>
      <w:ind w:left="284"/>
    </w:pPr>
    <w:rPr>
      <w:rFonts w:ascii="Times New Roman" w:hAnsi="Times New Roman"/>
    </w:rPr>
  </w:style>
  <w:style w:type="paragraph" w:styleId="TOC1">
    <w:name w:val="toc 1"/>
    <w:basedOn w:val="TOCBase"/>
    <w:next w:val="Normal"/>
    <w:rsid w:val="00733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7B7"/>
    <w:rPr>
      <w:rFonts w:ascii="Times New Roman" w:eastAsia="Times New Roman" w:hAnsi="Times New Roman" w:cs="Times New Roman"/>
      <w:sz w:val="16"/>
      <w:lang w:eastAsia="en-US"/>
    </w:rPr>
  </w:style>
  <w:style w:type="paragraph" w:styleId="Title">
    <w:name w:val="Title"/>
    <w:basedOn w:val="HeadingBase"/>
    <w:link w:val="TitleChar"/>
    <w:qFormat/>
    <w:rsid w:val="007337B7"/>
    <w:pPr>
      <w:spacing w:before="5040"/>
      <w:jc w:val="center"/>
    </w:pPr>
    <w:rPr>
      <w:sz w:val="48"/>
      <w:szCs w:val="72"/>
      <w:lang w:val="en-US"/>
    </w:rPr>
  </w:style>
  <w:style w:type="character" w:customStyle="1" w:styleId="TitleChar">
    <w:name w:val="Title Char"/>
    <w:basedOn w:val="DefaultParagraphFont"/>
    <w:link w:val="Title"/>
    <w:rsid w:val="00733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7B7"/>
    <w:pPr>
      <w:tabs>
        <w:tab w:val="left" w:pos="3600"/>
        <w:tab w:val="left" w:pos="3958"/>
      </w:tabs>
    </w:pPr>
  </w:style>
  <w:style w:type="paragraph" w:styleId="List">
    <w:name w:val="List"/>
    <w:basedOn w:val="BodyText"/>
    <w:next w:val="BodyText"/>
    <w:rsid w:val="007337B7"/>
    <w:pPr>
      <w:tabs>
        <w:tab w:val="left" w:pos="340"/>
      </w:tabs>
      <w:spacing w:before="60" w:after="60"/>
      <w:ind w:left="340" w:hanging="340"/>
    </w:pPr>
  </w:style>
  <w:style w:type="paragraph" w:customStyle="1" w:styleId="Note">
    <w:name w:val="Note"/>
    <w:basedOn w:val="BodyText"/>
    <w:rsid w:val="00733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7B7"/>
    <w:pPr>
      <w:framePr w:wrap="auto" w:hAnchor="text" w:y="6049"/>
    </w:pPr>
    <w:rPr>
      <w:color w:val="000000"/>
      <w:sz w:val="40"/>
    </w:rPr>
  </w:style>
  <w:style w:type="paragraph" w:customStyle="1" w:styleId="TOCTitle">
    <w:name w:val="TOCTitle"/>
    <w:basedOn w:val="Heading1"/>
    <w:rsid w:val="007337B7"/>
    <w:pPr>
      <w:spacing w:after="240"/>
      <w:jc w:val="center"/>
      <w:outlineLvl w:val="9"/>
    </w:pPr>
    <w:rPr>
      <w:caps/>
    </w:rPr>
  </w:style>
  <w:style w:type="paragraph" w:customStyle="1" w:styleId="Version">
    <w:name w:val="Version"/>
    <w:rsid w:val="00733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7B7"/>
    <w:pPr>
      <w:keepNext w:val="0"/>
      <w:tabs>
        <w:tab w:val="right" w:pos="4176"/>
      </w:tabs>
      <w:ind w:left="198" w:hanging="198"/>
    </w:pPr>
    <w:rPr>
      <w:rFonts w:ascii="Garamond" w:hAnsi="Garamond"/>
    </w:rPr>
  </w:style>
  <w:style w:type="paragraph" w:styleId="IndexHeading">
    <w:name w:val="index heading"/>
    <w:basedOn w:val="Normal"/>
    <w:next w:val="Index1"/>
    <w:semiHidden/>
    <w:rsid w:val="007337B7"/>
    <w:pPr>
      <w:spacing w:before="120" w:after="120"/>
    </w:pPr>
    <w:rPr>
      <w:rFonts w:ascii="Arial" w:hAnsi="Arial"/>
      <w:b/>
      <w:color w:val="918585"/>
      <w:sz w:val="24"/>
    </w:rPr>
  </w:style>
  <w:style w:type="paragraph" w:styleId="Header">
    <w:name w:val="header"/>
    <w:basedOn w:val="Normal"/>
    <w:link w:val="HeaderChar"/>
    <w:rsid w:val="00733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7B7"/>
    <w:rPr>
      <w:rFonts w:ascii="Times New Roman" w:eastAsia="Times New Roman" w:hAnsi="Times New Roman" w:cs="Times New Roman"/>
      <w:sz w:val="16"/>
      <w:szCs w:val="20"/>
      <w:lang w:val="en-GB" w:eastAsia="en-US"/>
    </w:rPr>
  </w:style>
  <w:style w:type="paragraph" w:customStyle="1" w:styleId="Chapter">
    <w:name w:val="Chapter"/>
    <w:basedOn w:val="Normal"/>
    <w:rsid w:val="007337B7"/>
    <w:pPr>
      <w:spacing w:before="240"/>
    </w:pPr>
    <w:rPr>
      <w:rFonts w:ascii="Times New Roman" w:hAnsi="Times New Roman"/>
      <w:smallCaps/>
      <w:spacing w:val="80"/>
      <w:sz w:val="28"/>
    </w:rPr>
  </w:style>
  <w:style w:type="paragraph" w:customStyle="1" w:styleId="InChapter">
    <w:name w:val="InChapter"/>
    <w:basedOn w:val="Heading3"/>
    <w:rsid w:val="007337B7"/>
    <w:pPr>
      <w:spacing w:after="240"/>
      <w:outlineLvl w:val="9"/>
    </w:pPr>
    <w:rPr>
      <w:noProof/>
    </w:rPr>
  </w:style>
  <w:style w:type="paragraph" w:styleId="Index2">
    <w:name w:val="index 2"/>
    <w:basedOn w:val="Normal"/>
    <w:next w:val="Normal"/>
    <w:semiHidden/>
    <w:rsid w:val="007337B7"/>
    <w:pPr>
      <w:tabs>
        <w:tab w:val="right" w:pos="4176"/>
      </w:tabs>
      <w:ind w:left="568" w:hanging="284"/>
    </w:pPr>
    <w:rPr>
      <w:rFonts w:ascii="Garamond" w:hAnsi="Garamond"/>
    </w:rPr>
  </w:style>
  <w:style w:type="paragraph" w:customStyle="1" w:styleId="Byline">
    <w:name w:val="Byline"/>
    <w:rsid w:val="00733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7B7"/>
    <w:pPr>
      <w:tabs>
        <w:tab w:val="clear" w:pos="3600"/>
        <w:tab w:val="clear" w:pos="3958"/>
      </w:tabs>
      <w:jc w:val="right"/>
    </w:pPr>
  </w:style>
  <w:style w:type="character" w:styleId="Emphasis">
    <w:name w:val="Emphasis"/>
    <w:basedOn w:val="DefaultParagraphFont"/>
    <w:qFormat/>
    <w:rsid w:val="007337B7"/>
    <w:rPr>
      <w:i/>
    </w:rPr>
  </w:style>
  <w:style w:type="paragraph" w:styleId="Caption">
    <w:name w:val="caption"/>
    <w:basedOn w:val="BodyText"/>
    <w:next w:val="Normal"/>
    <w:qFormat/>
    <w:rsid w:val="007337B7"/>
    <w:pPr>
      <w:framePr w:w="2268" w:hSpace="181" w:vSpace="181" w:wrap="around" w:vAnchor="text" w:hAnchor="page" w:x="1135" w:y="285" w:anchorLock="1"/>
    </w:pPr>
    <w:rPr>
      <w:i/>
    </w:rPr>
  </w:style>
  <w:style w:type="paragraph" w:customStyle="1" w:styleId="MiniTOCTitle">
    <w:name w:val="MiniTOCTitle"/>
    <w:basedOn w:val="Heading4"/>
    <w:rsid w:val="007337B7"/>
    <w:pPr>
      <w:spacing w:before="240"/>
      <w:outlineLvl w:val="9"/>
    </w:pPr>
    <w:rPr>
      <w:noProof/>
      <w:sz w:val="24"/>
    </w:rPr>
  </w:style>
  <w:style w:type="paragraph" w:customStyle="1" w:styleId="MiniTOCItem">
    <w:name w:val="MiniTOCItem"/>
    <w:basedOn w:val="ListBullet"/>
    <w:rsid w:val="007337B7"/>
    <w:pPr>
      <w:numPr>
        <w:numId w:val="0"/>
      </w:numPr>
      <w:tabs>
        <w:tab w:val="right" w:leader="dot" w:pos="6521"/>
      </w:tabs>
      <w:spacing w:before="0" w:after="0"/>
    </w:pPr>
  </w:style>
  <w:style w:type="paragraph" w:customStyle="1" w:styleId="TOFTitle">
    <w:name w:val="TOFTitle"/>
    <w:basedOn w:val="TOCTitle"/>
    <w:rsid w:val="007337B7"/>
  </w:style>
  <w:style w:type="paragraph" w:styleId="TableofFigures">
    <w:name w:val="table of figures"/>
    <w:basedOn w:val="Normal"/>
    <w:next w:val="Normal"/>
    <w:semiHidden/>
    <w:rsid w:val="007337B7"/>
    <w:pPr>
      <w:tabs>
        <w:tab w:val="right" w:leader="dot" w:pos="9072"/>
      </w:tabs>
      <w:ind w:left="970" w:hanging="403"/>
    </w:pPr>
    <w:rPr>
      <w:rFonts w:ascii="Times New Roman" w:hAnsi="Times New Roman"/>
      <w:b/>
    </w:rPr>
  </w:style>
  <w:style w:type="paragraph" w:styleId="ListNumber">
    <w:name w:val="List Number"/>
    <w:basedOn w:val="List"/>
    <w:rsid w:val="007337B7"/>
    <w:pPr>
      <w:numPr>
        <w:numId w:val="12"/>
      </w:numPr>
    </w:pPr>
  </w:style>
  <w:style w:type="character" w:customStyle="1" w:styleId="WingdingSymbols">
    <w:name w:val="Wingding Symbols"/>
    <w:rsid w:val="007337B7"/>
    <w:rPr>
      <w:rFonts w:ascii="Wingdings" w:hAnsi="Wingdings"/>
    </w:rPr>
  </w:style>
  <w:style w:type="paragraph" w:customStyle="1" w:styleId="TableHeading">
    <w:name w:val="Table Heading"/>
    <w:basedOn w:val="HeadingBase"/>
    <w:rsid w:val="007337B7"/>
    <w:pPr>
      <w:keepLines/>
      <w:pBdr>
        <w:bottom w:val="single" w:sz="6" w:space="1" w:color="918585"/>
      </w:pBdr>
      <w:spacing w:before="240"/>
    </w:pPr>
  </w:style>
  <w:style w:type="character" w:customStyle="1" w:styleId="HotSpot">
    <w:name w:val="HotSpot"/>
    <w:rsid w:val="007337B7"/>
    <w:rPr>
      <w:color w:val="0033CC"/>
      <w:u w:val="none"/>
    </w:rPr>
  </w:style>
  <w:style w:type="paragraph" w:customStyle="1" w:styleId="BodyTextRight">
    <w:name w:val="Body Text Right"/>
    <w:basedOn w:val="BodyText"/>
    <w:rsid w:val="007337B7"/>
    <w:pPr>
      <w:spacing w:before="0" w:after="0"/>
      <w:jc w:val="right"/>
    </w:pPr>
  </w:style>
  <w:style w:type="paragraph" w:styleId="Index3">
    <w:name w:val="index 3"/>
    <w:basedOn w:val="ListNumber2"/>
    <w:next w:val="Normal"/>
    <w:semiHidden/>
    <w:rsid w:val="007337B7"/>
    <w:pPr>
      <w:numPr>
        <w:numId w:val="0"/>
      </w:numPr>
      <w:tabs>
        <w:tab w:val="right" w:leader="dot" w:pos="4176"/>
      </w:tabs>
    </w:pPr>
  </w:style>
  <w:style w:type="paragraph" w:styleId="ListNumber2">
    <w:name w:val="List Number 2"/>
    <w:basedOn w:val="List2"/>
    <w:rsid w:val="007337B7"/>
    <w:pPr>
      <w:numPr>
        <w:numId w:val="11"/>
      </w:numPr>
      <w:tabs>
        <w:tab w:val="clear" w:pos="1060"/>
      </w:tabs>
    </w:pPr>
  </w:style>
  <w:style w:type="paragraph" w:customStyle="1" w:styleId="MarginNote">
    <w:name w:val="Margin Note"/>
    <w:basedOn w:val="BodyText"/>
    <w:rsid w:val="00733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7B7"/>
    <w:rPr>
      <w:sz w:val="32"/>
    </w:rPr>
  </w:style>
  <w:style w:type="paragraph" w:customStyle="1" w:styleId="HeadingProcedure">
    <w:name w:val="Heading Procedure"/>
    <w:basedOn w:val="HeadingBase"/>
    <w:next w:val="Normal"/>
    <w:rsid w:val="007337B7"/>
    <w:pPr>
      <w:tabs>
        <w:tab w:val="left" w:pos="0"/>
      </w:tabs>
      <w:spacing w:before="120" w:after="60"/>
    </w:pPr>
    <w:rPr>
      <w:i/>
      <w:color w:val="918585"/>
      <w:sz w:val="22"/>
    </w:rPr>
  </w:style>
  <w:style w:type="paragraph" w:customStyle="1" w:styleId="TableBodyText">
    <w:name w:val="Table Body Text"/>
    <w:basedOn w:val="BodyText"/>
    <w:rsid w:val="007337B7"/>
    <w:pPr>
      <w:spacing w:before="60" w:after="60"/>
    </w:pPr>
  </w:style>
  <w:style w:type="paragraph" w:styleId="ListContinue">
    <w:name w:val="List Continue"/>
    <w:basedOn w:val="List"/>
    <w:rsid w:val="007337B7"/>
    <w:pPr>
      <w:ind w:firstLine="0"/>
    </w:pPr>
  </w:style>
  <w:style w:type="paragraph" w:customStyle="1" w:styleId="ListNote">
    <w:name w:val="List Note"/>
    <w:basedOn w:val="List"/>
    <w:rsid w:val="007337B7"/>
    <w:pPr>
      <w:pBdr>
        <w:top w:val="single" w:sz="6" w:space="2" w:color="918585"/>
        <w:bottom w:val="single" w:sz="6" w:space="2" w:color="918585"/>
      </w:pBdr>
      <w:tabs>
        <w:tab w:val="left" w:pos="1021"/>
      </w:tabs>
      <w:ind w:firstLine="0"/>
    </w:pPr>
  </w:style>
  <w:style w:type="paragraph" w:customStyle="1" w:styleId="Warning">
    <w:name w:val="Warning"/>
    <w:basedOn w:val="BodyText"/>
    <w:rsid w:val="007337B7"/>
    <w:pPr>
      <w:shd w:val="clear" w:color="auto" w:fill="D9D9D9"/>
      <w:tabs>
        <w:tab w:val="left" w:pos="992"/>
      </w:tabs>
      <w:ind w:left="119" w:right="119"/>
    </w:pPr>
    <w:rPr>
      <w:sz w:val="20"/>
    </w:rPr>
  </w:style>
  <w:style w:type="paragraph" w:customStyle="1" w:styleId="MarginIcons">
    <w:name w:val="Margin Icons"/>
    <w:basedOn w:val="BodyText"/>
    <w:rsid w:val="00733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7B7"/>
    <w:rPr>
      <w:rFonts w:ascii="Courier New" w:hAnsi="Courier New"/>
    </w:rPr>
  </w:style>
  <w:style w:type="paragraph" w:customStyle="1" w:styleId="NoteBullet">
    <w:name w:val="Note Bullet"/>
    <w:basedOn w:val="Note"/>
    <w:rsid w:val="007337B7"/>
    <w:pPr>
      <w:tabs>
        <w:tab w:val="clear" w:pos="680"/>
      </w:tabs>
      <w:spacing w:before="60" w:after="60"/>
    </w:pPr>
  </w:style>
  <w:style w:type="paragraph" w:customStyle="1" w:styleId="SubHeading2">
    <w:name w:val="SubHeading2"/>
    <w:basedOn w:val="HeadingBase"/>
    <w:rsid w:val="007337B7"/>
    <w:pPr>
      <w:spacing w:before="240" w:after="60"/>
    </w:pPr>
    <w:rPr>
      <w:sz w:val="20"/>
    </w:rPr>
  </w:style>
  <w:style w:type="paragraph" w:customStyle="1" w:styleId="SubHeading1">
    <w:name w:val="SubHeading1"/>
    <w:basedOn w:val="HeadingBase"/>
    <w:rsid w:val="007337B7"/>
    <w:pPr>
      <w:spacing w:before="240" w:after="60"/>
    </w:pPr>
    <w:rPr>
      <w:color w:val="918585"/>
      <w:sz w:val="22"/>
    </w:rPr>
  </w:style>
  <w:style w:type="paragraph" w:customStyle="1" w:styleId="SideHeading">
    <w:name w:val="Side Heading"/>
    <w:basedOn w:val="HeadingBase"/>
    <w:rsid w:val="00733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7B7"/>
    <w:pPr>
      <w:numPr>
        <w:numId w:val="13"/>
      </w:numPr>
    </w:pPr>
  </w:style>
  <w:style w:type="paragraph" w:styleId="PlainText">
    <w:name w:val="Plain Text"/>
    <w:basedOn w:val="Normal"/>
    <w:link w:val="PlainTextChar"/>
    <w:rsid w:val="007337B7"/>
    <w:rPr>
      <w:sz w:val="20"/>
    </w:rPr>
  </w:style>
  <w:style w:type="character" w:customStyle="1" w:styleId="PlainTextChar">
    <w:name w:val="Plain Text Char"/>
    <w:basedOn w:val="DefaultParagraphFont"/>
    <w:link w:val="PlainText"/>
    <w:rsid w:val="007337B7"/>
    <w:rPr>
      <w:rFonts w:ascii="Courier New" w:eastAsia="Times New Roman" w:hAnsi="Courier New" w:cs="Times New Roman"/>
      <w:sz w:val="20"/>
      <w:szCs w:val="20"/>
      <w:lang w:eastAsia="en-US"/>
    </w:rPr>
  </w:style>
  <w:style w:type="character" w:customStyle="1" w:styleId="MenuOption">
    <w:name w:val="Menu Option"/>
    <w:basedOn w:val="DefaultParagraphFont"/>
    <w:rsid w:val="007337B7"/>
    <w:rPr>
      <w:b/>
      <w:smallCaps/>
    </w:rPr>
  </w:style>
  <w:style w:type="paragraph" w:customStyle="1" w:styleId="TableListNumber">
    <w:name w:val="Table List Number"/>
    <w:basedOn w:val="ListNumber"/>
    <w:rsid w:val="007337B7"/>
    <w:pPr>
      <w:numPr>
        <w:numId w:val="0"/>
      </w:numPr>
    </w:pPr>
  </w:style>
  <w:style w:type="paragraph" w:styleId="TOC4">
    <w:name w:val="toc 4"/>
    <w:basedOn w:val="TOCBase"/>
    <w:next w:val="Normal"/>
    <w:semiHidden/>
    <w:rsid w:val="007337B7"/>
    <w:pPr>
      <w:tabs>
        <w:tab w:val="right" w:leader="dot" w:pos="9071"/>
      </w:tabs>
      <w:ind w:left="1701"/>
    </w:pPr>
  </w:style>
  <w:style w:type="paragraph" w:customStyle="1" w:styleId="ListAlpha">
    <w:name w:val="List Alpha"/>
    <w:basedOn w:val="List"/>
    <w:rsid w:val="007337B7"/>
    <w:pPr>
      <w:numPr>
        <w:numId w:val="10"/>
      </w:numPr>
    </w:pPr>
  </w:style>
  <w:style w:type="paragraph" w:customStyle="1" w:styleId="ListAlpha2">
    <w:name w:val="List Alpha 2"/>
    <w:basedOn w:val="List2"/>
    <w:rsid w:val="007337B7"/>
    <w:pPr>
      <w:numPr>
        <w:numId w:val="9"/>
      </w:numPr>
    </w:pPr>
  </w:style>
  <w:style w:type="paragraph" w:styleId="List2">
    <w:name w:val="List 2"/>
    <w:basedOn w:val="BodyText"/>
    <w:rsid w:val="007337B7"/>
    <w:pPr>
      <w:tabs>
        <w:tab w:val="left" w:pos="680"/>
      </w:tabs>
      <w:spacing w:before="60" w:after="60"/>
      <w:ind w:left="680" w:hanging="340"/>
    </w:pPr>
  </w:style>
  <w:style w:type="paragraph" w:styleId="List3">
    <w:name w:val="List 3"/>
    <w:basedOn w:val="BodyText"/>
    <w:rsid w:val="007337B7"/>
    <w:pPr>
      <w:tabs>
        <w:tab w:val="left" w:pos="1021"/>
      </w:tabs>
      <w:spacing w:before="60" w:after="60"/>
      <w:ind w:left="1020" w:hanging="340"/>
    </w:pPr>
  </w:style>
  <w:style w:type="paragraph" w:styleId="List4">
    <w:name w:val="List 4"/>
    <w:basedOn w:val="BodyText"/>
    <w:rsid w:val="007337B7"/>
    <w:pPr>
      <w:tabs>
        <w:tab w:val="left" w:pos="1361"/>
      </w:tabs>
      <w:spacing w:before="60" w:after="60"/>
      <w:ind w:left="1361" w:hanging="340"/>
    </w:pPr>
  </w:style>
  <w:style w:type="paragraph" w:styleId="List5">
    <w:name w:val="List 5"/>
    <w:basedOn w:val="BodyText"/>
    <w:rsid w:val="007337B7"/>
    <w:pPr>
      <w:tabs>
        <w:tab w:val="left" w:pos="1701"/>
      </w:tabs>
      <w:spacing w:before="60" w:after="60"/>
      <w:ind w:left="1701" w:hanging="340"/>
    </w:pPr>
  </w:style>
  <w:style w:type="paragraph" w:styleId="ListBullet4">
    <w:name w:val="List Bullet 4"/>
    <w:basedOn w:val="List4"/>
    <w:rsid w:val="007337B7"/>
    <w:pPr>
      <w:numPr>
        <w:numId w:val="4"/>
      </w:numPr>
    </w:pPr>
  </w:style>
  <w:style w:type="paragraph" w:styleId="ListBullet5">
    <w:name w:val="List Bullet 5"/>
    <w:basedOn w:val="List5"/>
    <w:rsid w:val="007337B7"/>
    <w:pPr>
      <w:numPr>
        <w:numId w:val="5"/>
      </w:numPr>
    </w:pPr>
  </w:style>
  <w:style w:type="paragraph" w:styleId="ListContinue2">
    <w:name w:val="List Continue 2"/>
    <w:basedOn w:val="List2"/>
    <w:rsid w:val="007337B7"/>
    <w:pPr>
      <w:ind w:firstLine="0"/>
    </w:pPr>
  </w:style>
  <w:style w:type="paragraph" w:styleId="ListContinue3">
    <w:name w:val="List Continue 3"/>
    <w:basedOn w:val="List3"/>
    <w:rsid w:val="007337B7"/>
    <w:pPr>
      <w:ind w:left="1021" w:firstLine="0"/>
    </w:pPr>
  </w:style>
  <w:style w:type="paragraph" w:styleId="ListContinue4">
    <w:name w:val="List Continue 4"/>
    <w:basedOn w:val="List4"/>
    <w:rsid w:val="007337B7"/>
    <w:pPr>
      <w:ind w:firstLine="0"/>
    </w:pPr>
  </w:style>
  <w:style w:type="paragraph" w:styleId="ListContinue5">
    <w:name w:val="List Continue 5"/>
    <w:basedOn w:val="List5"/>
    <w:rsid w:val="007337B7"/>
    <w:pPr>
      <w:ind w:firstLine="0"/>
    </w:pPr>
  </w:style>
  <w:style w:type="paragraph" w:styleId="ListNumber3">
    <w:name w:val="List Number 3"/>
    <w:basedOn w:val="List3"/>
    <w:rsid w:val="007337B7"/>
    <w:pPr>
      <w:numPr>
        <w:numId w:val="6"/>
      </w:numPr>
    </w:pPr>
  </w:style>
  <w:style w:type="paragraph" w:styleId="ListNumber4">
    <w:name w:val="List Number 4"/>
    <w:basedOn w:val="List4"/>
    <w:rsid w:val="007337B7"/>
    <w:pPr>
      <w:numPr>
        <w:numId w:val="7"/>
      </w:numPr>
    </w:pPr>
  </w:style>
  <w:style w:type="paragraph" w:styleId="ListNumber5">
    <w:name w:val="List Number 5"/>
    <w:basedOn w:val="List5"/>
    <w:rsid w:val="007337B7"/>
    <w:pPr>
      <w:numPr>
        <w:numId w:val="8"/>
      </w:numPr>
    </w:pPr>
  </w:style>
  <w:style w:type="paragraph" w:styleId="BlockText">
    <w:name w:val="Block Text"/>
    <w:basedOn w:val="Normal"/>
    <w:rsid w:val="007337B7"/>
    <w:pPr>
      <w:spacing w:after="120"/>
      <w:ind w:left="1440" w:right="1440"/>
    </w:pPr>
  </w:style>
  <w:style w:type="character" w:customStyle="1" w:styleId="Subscript">
    <w:name w:val="Subscript"/>
    <w:basedOn w:val="DefaultParagraphFont"/>
    <w:rsid w:val="007337B7"/>
    <w:rPr>
      <w:sz w:val="16"/>
      <w:vertAlign w:val="subscript"/>
    </w:rPr>
  </w:style>
  <w:style w:type="character" w:customStyle="1" w:styleId="Superscript">
    <w:name w:val="Superscript"/>
    <w:basedOn w:val="DefaultParagraphFont"/>
    <w:rsid w:val="007337B7"/>
    <w:rPr>
      <w:sz w:val="16"/>
      <w:vertAlign w:val="superscript"/>
    </w:rPr>
  </w:style>
  <w:style w:type="character" w:customStyle="1" w:styleId="Symbols">
    <w:name w:val="Symbols"/>
    <w:basedOn w:val="DefaultParagraphFont"/>
    <w:rsid w:val="007337B7"/>
    <w:rPr>
      <w:rFonts w:ascii="Symbol" w:hAnsi="Symbol"/>
    </w:rPr>
  </w:style>
  <w:style w:type="character" w:customStyle="1" w:styleId="MenuOptions">
    <w:name w:val="Menu Options"/>
    <w:basedOn w:val="DefaultParagraphFont"/>
    <w:rsid w:val="007337B7"/>
    <w:rPr>
      <w:rFonts w:ascii="Arial Narrow" w:hAnsi="Arial Narrow"/>
      <w:smallCaps/>
    </w:rPr>
  </w:style>
  <w:style w:type="character" w:customStyle="1" w:styleId="Buttons">
    <w:name w:val="Buttons"/>
    <w:basedOn w:val="DefaultParagraphFont"/>
    <w:rsid w:val="007337B7"/>
    <w:rPr>
      <w:b/>
    </w:rPr>
  </w:style>
  <w:style w:type="character" w:customStyle="1" w:styleId="Underlined">
    <w:name w:val="Underlined"/>
    <w:basedOn w:val="DefaultParagraphFont"/>
    <w:rsid w:val="007337B7"/>
    <w:rPr>
      <w:u w:val="single"/>
    </w:rPr>
  </w:style>
  <w:style w:type="paragraph" w:customStyle="1" w:styleId="TableBodyTextRight">
    <w:name w:val="Table Body Text Right"/>
    <w:basedOn w:val="TableBodyText"/>
    <w:rsid w:val="007337B7"/>
    <w:pPr>
      <w:widowControl w:val="0"/>
      <w:autoSpaceDE w:val="0"/>
      <w:autoSpaceDN w:val="0"/>
      <w:adjustRightInd w:val="0"/>
      <w:jc w:val="right"/>
    </w:pPr>
    <w:rPr>
      <w:rFonts w:cs="Arial"/>
      <w:szCs w:val="18"/>
    </w:rPr>
  </w:style>
  <w:style w:type="paragraph" w:customStyle="1" w:styleId="CopyrightText">
    <w:name w:val="Copyright Text"/>
    <w:basedOn w:val="BodyText"/>
    <w:rsid w:val="007337B7"/>
    <w:rPr>
      <w:sz w:val="18"/>
    </w:rPr>
  </w:style>
  <w:style w:type="paragraph" w:customStyle="1" w:styleId="BodySmallRight">
    <w:name w:val="Body Small Right"/>
    <w:basedOn w:val="BodyTextRight"/>
    <w:rsid w:val="007337B7"/>
    <w:rPr>
      <w:sz w:val="18"/>
      <w:szCs w:val="18"/>
    </w:rPr>
  </w:style>
  <w:style w:type="paragraph" w:customStyle="1" w:styleId="MarginEdition">
    <w:name w:val="Margin Edition"/>
    <w:basedOn w:val="MarginNote"/>
    <w:rsid w:val="007337B7"/>
    <w:pPr>
      <w:spacing w:before="0" w:after="0"/>
    </w:pPr>
    <w:rPr>
      <w:rFonts w:ascii="Times New Roman" w:hAnsi="Times New Roman"/>
      <w:color w:val="999999"/>
    </w:rPr>
  </w:style>
  <w:style w:type="paragraph" w:customStyle="1" w:styleId="Spacer">
    <w:name w:val="Spacer"/>
    <w:basedOn w:val="Normal"/>
    <w:rsid w:val="007337B7"/>
    <w:rPr>
      <w:sz w:val="2"/>
      <w:szCs w:val="2"/>
    </w:rPr>
  </w:style>
  <w:style w:type="character" w:customStyle="1" w:styleId="Small">
    <w:name w:val="Small"/>
    <w:basedOn w:val="DefaultParagraphFont"/>
    <w:rsid w:val="007337B7"/>
    <w:rPr>
      <w:sz w:val="16"/>
    </w:rPr>
  </w:style>
  <w:style w:type="paragraph" w:customStyle="1" w:styleId="WideTable">
    <w:name w:val="Wide Table"/>
    <w:basedOn w:val="Normal"/>
    <w:rsid w:val="007337B7"/>
    <w:pPr>
      <w:ind w:left="-1418"/>
    </w:pPr>
    <w:rPr>
      <w:sz w:val="2"/>
      <w:szCs w:val="2"/>
    </w:rPr>
  </w:style>
  <w:style w:type="character" w:styleId="PageNumber">
    <w:name w:val="page number"/>
    <w:basedOn w:val="DefaultParagraphFont"/>
    <w:rsid w:val="007337B7"/>
  </w:style>
  <w:style w:type="paragraph" w:styleId="Quote">
    <w:name w:val="Quote"/>
    <w:basedOn w:val="Heading1"/>
    <w:link w:val="QuoteChar"/>
    <w:qFormat/>
    <w:rsid w:val="007337B7"/>
    <w:rPr>
      <w:b w:val="0"/>
      <w:sz w:val="72"/>
      <w:szCs w:val="72"/>
      <w:lang w:val="en-NZ"/>
    </w:rPr>
  </w:style>
  <w:style w:type="character" w:customStyle="1" w:styleId="QuoteChar">
    <w:name w:val="Quote Char"/>
    <w:basedOn w:val="DefaultParagraphFont"/>
    <w:link w:val="Quote"/>
    <w:rsid w:val="00733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7B7"/>
    <w:pPr>
      <w:pageBreakBefore/>
    </w:pPr>
  </w:style>
  <w:style w:type="paragraph" w:customStyle="1" w:styleId="Border">
    <w:name w:val="Border"/>
    <w:basedOn w:val="Normal"/>
    <w:qFormat/>
    <w:rsid w:val="00733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7B7"/>
    <w:rPr>
      <w:b/>
      <w:bCs/>
      <w:i/>
      <w:iCs/>
      <w:color w:val="auto"/>
    </w:rPr>
  </w:style>
  <w:style w:type="paragraph" w:styleId="IntenseQuote">
    <w:name w:val="Intense Quote"/>
    <w:basedOn w:val="Normal"/>
    <w:next w:val="Normal"/>
    <w:link w:val="IntenseQuoteChar"/>
    <w:uiPriority w:val="30"/>
    <w:qFormat/>
    <w:rsid w:val="00733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7B7"/>
    <w:rPr>
      <w:smallCaps/>
      <w:color w:val="auto"/>
      <w:u w:val="single"/>
    </w:rPr>
  </w:style>
  <w:style w:type="character" w:styleId="IntenseReference">
    <w:name w:val="Intense Reference"/>
    <w:basedOn w:val="DefaultParagraphFont"/>
    <w:uiPriority w:val="32"/>
    <w:qFormat/>
    <w:rsid w:val="007337B7"/>
    <w:rPr>
      <w:b/>
      <w:bCs/>
      <w:smallCaps/>
      <w:color w:val="auto"/>
      <w:spacing w:val="5"/>
      <w:u w:val="single"/>
    </w:rPr>
  </w:style>
  <w:style w:type="paragraph" w:customStyle="1" w:styleId="2ColumnHeading">
    <w:name w:val="2Column Heading"/>
    <w:basedOn w:val="BodyText"/>
    <w:qFormat/>
    <w:rsid w:val="007337B7"/>
    <w:pPr>
      <w:spacing w:after="60"/>
      <w:ind w:left="-2268"/>
    </w:pPr>
    <w:rPr>
      <w:b/>
    </w:rPr>
  </w:style>
  <w:style w:type="paragraph" w:customStyle="1" w:styleId="Heading1TOC">
    <w:name w:val="Heading1 TOC"/>
    <w:basedOn w:val="Normal"/>
    <w:qFormat/>
    <w:rsid w:val="007337B7"/>
    <w:pPr>
      <w:spacing w:before="240" w:after="120"/>
    </w:pPr>
    <w:rPr>
      <w:rFonts w:ascii="Times New Roman" w:hAnsi="Times New Roman"/>
      <w:b/>
      <w:sz w:val="32"/>
    </w:rPr>
  </w:style>
  <w:style w:type="paragraph" w:customStyle="1" w:styleId="Heading2TOC">
    <w:name w:val="Heading2 TOC"/>
    <w:basedOn w:val="Normal"/>
    <w:qFormat/>
    <w:rsid w:val="007337B7"/>
    <w:pPr>
      <w:spacing w:before="240" w:after="60"/>
    </w:pPr>
    <w:rPr>
      <w:rFonts w:ascii="Times New Roman" w:hAnsi="Times New Roman"/>
      <w:b/>
      <w:sz w:val="28"/>
    </w:rPr>
  </w:style>
  <w:style w:type="character" w:customStyle="1" w:styleId="Underline">
    <w:name w:val="Underline"/>
    <w:basedOn w:val="DefaultParagraphFont"/>
    <w:qFormat/>
    <w:rsid w:val="007337B7"/>
    <w:rPr>
      <w:u w:val="single"/>
    </w:rPr>
  </w:style>
  <w:style w:type="character" w:customStyle="1" w:styleId="BoldandItalics">
    <w:name w:val="Bold and Italics"/>
    <w:qFormat/>
    <w:rsid w:val="007337B7"/>
    <w:rPr>
      <w:b/>
      <w:i/>
      <w:u w:val="none"/>
    </w:rPr>
  </w:style>
  <w:style w:type="paragraph" w:styleId="BalloonText">
    <w:name w:val="Balloon Text"/>
    <w:basedOn w:val="Normal"/>
    <w:link w:val="BalloonTextChar"/>
    <w:rsid w:val="007337B7"/>
    <w:rPr>
      <w:rFonts w:ascii="Tahoma" w:hAnsi="Tahoma" w:cs="Tahoma"/>
      <w:sz w:val="16"/>
      <w:szCs w:val="16"/>
    </w:rPr>
  </w:style>
  <w:style w:type="character" w:customStyle="1" w:styleId="BalloonTextChar">
    <w:name w:val="Balloon Text Char"/>
    <w:basedOn w:val="DefaultParagraphFont"/>
    <w:link w:val="BalloonText"/>
    <w:rsid w:val="00733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7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7B7"/>
    <w:rPr>
      <w:b/>
      <w:color w:val="660033"/>
      <w:spacing w:val="0"/>
    </w:rPr>
  </w:style>
  <w:style w:type="paragraph" w:customStyle="1" w:styleId="Nameditemlist">
    <w:name w:val="Named item list"/>
    <w:basedOn w:val="BodyText"/>
    <w:qFormat/>
    <w:rsid w:val="007337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2181</Words>
  <Characters>13549</Characters>
  <Application>Microsoft Office Word</Application>
  <DocSecurity>0</DocSecurity>
  <Lines>508</Lines>
  <Paragraphs>226</Paragraphs>
  <ScaleCrop>false</ScaleCrop>
  <Company>Author-it Software Corporation Ltd.</Company>
  <LinksUpToDate>false</LinksUpToDate>
  <CharactersWithSpaces>15575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UEENEEI103A Solve problems in density/level measurement components and systems</dc:title>
  <dc:subject>Approved</dc:subject>
  <dc:creator>E-OZ Training Standards</dc:creator>
  <cp:keywords>Release: 2</cp:keywords>
  <dc:description>Review Date: 12 April 2008</dc:description>
  <cp:lastModifiedBy>HSD_TPCMSd.prod</cp:lastModifiedBy>
  <cp:revision>3</cp:revision>
  <dcterms:created xsi:type="dcterms:W3CDTF">2013-10-25T06:30:00Z</dcterms:created>
  <dcterms:modified xsi:type="dcterms:W3CDTF">2013-10-25T06:30:00Z</dcterms:modified>
</cp:coreProperties>
</file>