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10D" w:rsidP="00FC710D">
      <w:pPr>
        <w:pStyle w:val="Title"/>
      </w:pPr>
      <w:r>
        <w:fldChar w:fldCharType="begin"/>
      </w:r>
      <w:r>
        <w:instrText xml:space="preserve"> TITLE   \* MERGEFORMAT </w:instrText>
      </w:r>
      <w:r>
        <w:fldChar w:fldCharType="separate"/>
      </w:r>
      <w:r>
        <w:t>UEENEEI102A Solve problems in pressure measurement components and systems</w:t>
      </w:r>
      <w:r>
        <w:fldChar w:fldCharType="end"/>
      </w:r>
    </w:p>
    <w:p w:rsidR="00FC710D" w:rsidP="00FC710D">
      <w:pPr>
        <w:pStyle w:val="Version"/>
        <w:sectPr w:rsidSect="00086F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6F19" w:rsidP="00086F19">
      <w:pPr>
        <w:pStyle w:val="SuperHeading"/>
      </w:pPr>
      <w:r w:rsidRPr="00086F19">
        <w:t>UEENEEI102A Solve problems in pressure measurement components and systems</w:t>
      </w:r>
    </w:p>
    <w:p w:rsidR="00000000" w:rsidRPr="00086F19" w:rsidP="00086F19">
      <w:pPr>
        <w:pStyle w:val="Heading1"/>
      </w:pPr>
      <w:bookmarkStart w:id="1" w:name="O_516377"/>
      <w:bookmarkEnd w:id="1"/>
      <w:r w:rsidRPr="00086F19">
        <w:t>Modification History</w:t>
      </w:r>
    </w:p>
    <w:tbl>
      <w:tblPr>
        <w:tblW w:w="0" w:type="auto"/>
        <w:tblCellMar>
          <w:left w:w="62" w:type="dxa"/>
          <w:right w:w="62" w:type="dxa"/>
        </w:tblCellMar>
        <w:tblLook w:val="0000"/>
      </w:tblPr>
      <w:tblGrid>
        <w:gridCol w:w="762"/>
        <w:gridCol w:w="762"/>
        <w:gridCol w:w="1360"/>
        <w:gridCol w:w="5257"/>
        <w:gridCol w:w="1055"/>
      </w:tblGrid>
      <w:tr w:rsidTr="00FC710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Points</w:t>
            </w:r>
          </w:p>
        </w:tc>
      </w:tr>
      <w:tr w:rsidTr="00FC710D">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19">
            <w:pPr>
              <w:pStyle w:val="BodyText"/>
              <w:rPr>
                <w:lang w:val="en-NZ"/>
              </w:rPr>
            </w:pPr>
            <w:r w:rsidRPr="00086F19">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F19" w:rsidP="00086F19">
            <w:pPr>
              <w:pStyle w:val="BodyText"/>
            </w:pP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2" w:name="O_516376"/>
      <w:bookmarkEnd w:id="2"/>
      <w:r w:rsidRPr="00086F19">
        <w:t>Unit Descriptor</w:t>
      </w:r>
    </w:p>
    <w:tbl>
      <w:tblPr>
        <w:tblW w:w="0" w:type="auto"/>
        <w:tblLayout w:type="fixed"/>
        <w:tblCellMar>
          <w:left w:w="62" w:type="dxa"/>
          <w:right w:w="62" w:type="dxa"/>
        </w:tblCellMar>
        <w:tblLook w:val="0000"/>
      </w:tblPr>
      <w:tblGrid>
        <w:gridCol w:w="2700"/>
        <w:gridCol w:w="5760"/>
      </w:tblGrid>
      <w:tr w:rsidTr="00FC71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1)</w:t>
            </w:r>
            <w:r w:rsidRPr="00086F19">
              <w:t xml:space="preserve"> </w:t>
            </w:r>
            <w:r w:rsidRPr="00086F19">
              <w:rPr>
                <w:rStyle w:val="SpecialBold"/>
              </w:rPr>
              <w:t>Scope:</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6F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1.1) Descriptor</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This unit covers setting up pressure measuring components and systems and providing solutions to pressure measurement problems as they apply to various process and control work functions. It encompasses working</w:t>
            </w:r>
            <w:r w:rsidRPr="00086F19">
              <w:t xml:space="preserve"> safely, setting up and calibrating pressure measuring components and systems, problem solving techniques, the use of a range of measuring devices, providing solutions derived from measurements and calculations to predictable problems in pressure measureme</w:t>
            </w:r>
            <w:r w:rsidRPr="00086F19">
              <w:t>nt components and systems.</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3" w:name="O_516375"/>
      <w:bookmarkEnd w:id="3"/>
      <w:r w:rsidRPr="00086F19">
        <w:t>Application of the Unit</w:t>
      </w:r>
    </w:p>
    <w:tbl>
      <w:tblPr>
        <w:tblW w:w="0" w:type="auto"/>
        <w:tblLayout w:type="fixed"/>
        <w:tblCellMar>
          <w:left w:w="62" w:type="dxa"/>
          <w:right w:w="62" w:type="dxa"/>
        </w:tblCellMar>
        <w:tblLook w:val="0000"/>
      </w:tblPr>
      <w:tblGrid>
        <w:gridCol w:w="2672"/>
        <w:gridCol w:w="5699"/>
      </w:tblGrid>
      <w:tr w:rsidTr="00FC710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2)</w:t>
            </w:r>
          </w:p>
        </w:tc>
      </w:tr>
      <w:tr w:rsidTr="00FC710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This unit is intended for competency development entry-level employment-based programs incorporated in approved contracts of training. The unit may als</w:t>
            </w:r>
            <w:r w:rsidRPr="00086F19">
              <w:t>o be used to augment previously acquired competencies.</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4" w:name="O_516374"/>
      <w:bookmarkEnd w:id="4"/>
      <w:r w:rsidRPr="00086F19">
        <w:t>Licensing/Regulatory Information</w:t>
      </w:r>
    </w:p>
    <w:tbl>
      <w:tblPr>
        <w:tblW w:w="0" w:type="auto"/>
        <w:tblLayout w:type="fixed"/>
        <w:tblCellMar>
          <w:left w:w="62" w:type="dxa"/>
          <w:right w:w="62" w:type="dxa"/>
        </w:tblCellMar>
        <w:tblLook w:val="0000"/>
      </w:tblPr>
      <w:tblGrid>
        <w:gridCol w:w="2700"/>
        <w:gridCol w:w="5760"/>
      </w:tblGrid>
      <w:tr w:rsidTr="00FC71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 xml:space="preserve">3) </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The skills and knowledge described in this unit do not require a license to practice in the work place. However they are su</w:t>
            </w:r>
            <w:r w:rsidRPr="00086F19">
              <w:t>bject to regulations directly related to occupational health and safe and contracts of training such as new apprenticeships.</w:t>
            </w:r>
          </w:p>
          <w:p w:rsidR="00000000" w:rsidRPr="00086F19" w:rsidP="00086F19">
            <w:pPr>
              <w:pStyle w:val="BodyText"/>
            </w:pPr>
            <w:r w:rsidRPr="00086F19">
              <w:t xml:space="preserve">Note: </w:t>
            </w:r>
          </w:p>
          <w:p w:rsidR="00000000" w:rsidRPr="00086F19" w:rsidP="00086F19">
            <w:pPr>
              <w:pStyle w:val="BodyText"/>
            </w:pPr>
            <w:r w:rsidRPr="00086F19">
              <w:t>1. Compliance with permits may be required in various jurisdictions and typically relates to the operation of plant, machine</w:t>
            </w:r>
            <w:r w:rsidRPr="00086F19">
              <w:t>ry and equipment such as elevating work platforms, powder operated fixing tools, power operated tools, vehicles, road signage and traffic control and lifting equipment. Permits may also be required for some work environments such as confined spaces, workin</w:t>
            </w:r>
            <w:r w:rsidRPr="00086F19">
              <w:t>g aloft, near live electrical apparatus and site rehabilitation.</w:t>
            </w:r>
          </w:p>
          <w:p w:rsidR="00000000" w:rsidRPr="00086F19" w:rsidP="00086F19">
            <w:pPr>
              <w:pStyle w:val="BodyText"/>
            </w:pPr>
            <w:r w:rsidRPr="00086F19">
              <w:t>2. Compliance may be required in various jurisdictions relating to currency in First Aid, confined space and lifting and risk safety measures.</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5" w:name="O_516373"/>
      <w:bookmarkEnd w:id="5"/>
      <w:r w:rsidRPr="00086F19">
        <w:t>Pre-Requisites</w:t>
      </w:r>
    </w:p>
    <w:tbl>
      <w:tblPr>
        <w:tblW w:w="0" w:type="auto"/>
        <w:tblLayout w:type="fixed"/>
        <w:tblCellMar>
          <w:left w:w="62" w:type="dxa"/>
          <w:right w:w="62" w:type="dxa"/>
        </w:tblCellMar>
        <w:tblLook w:val="0000"/>
      </w:tblPr>
      <w:tblGrid>
        <w:gridCol w:w="2700"/>
        <w:gridCol w:w="1440"/>
        <w:gridCol w:w="4320"/>
      </w:tblGrid>
      <w:tr w:rsidTr="00FC71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 xml:space="preserve">4) </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4.1)</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Granting competency in this unit shall be made only after competency in the following unit(s) has/have been confirmed.</w:t>
            </w:r>
          </w:p>
        </w:tc>
      </w:tr>
      <w:tr w:rsidTr="00FC710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 xml:space="preserve">Apply Occupational Health and Safety regulations, codes and practices in the workplace </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 xml:space="preserve">UEENEEE107A </w:t>
            </w:r>
          </w:p>
        </w:tc>
        <w:tc>
          <w:tcPr>
            <w:tcW w:w="432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 xml:space="preserve">Use drawings, diagrams, schedules, standards, codes and specifications </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UEENEEI101A</w:t>
            </w:r>
          </w:p>
        </w:tc>
        <w:tc>
          <w:tcPr>
            <w:tcW w:w="432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Use instrumentation drawings, specification, standards and equipment manuals</w:t>
            </w:r>
          </w:p>
        </w:tc>
      </w:tr>
    </w:tbl>
    <w:p w:rsidR="00000000" w:rsidRPr="00086F19" w:rsidP="00086F1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C710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 xml:space="preserve">4.2) </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Participants are best equipped to achieve competency in this unit if they have reading, writing and numeracy skills indicated by the fo</w:t>
            </w:r>
            <w:r w:rsidRPr="00086F19">
              <w:t>llowing scales. Description of each scale is given in Volume 2, Part 3 ‘Literacy and Numeracy’</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Reading</w:t>
            </w:r>
          </w:p>
        </w:tc>
        <w:tc>
          <w:tcPr>
            <w:tcW w:w="81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3</w:t>
            </w:r>
          </w:p>
        </w:tc>
        <w:tc>
          <w:tcPr>
            <w:tcW w:w="9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Writing</w:t>
            </w:r>
          </w:p>
        </w:tc>
        <w:tc>
          <w:tcPr>
            <w:tcW w:w="90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3</w:t>
            </w:r>
          </w:p>
        </w:tc>
        <w:tc>
          <w:tcPr>
            <w:tcW w:w="12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Numeracy</w:t>
            </w:r>
          </w:p>
        </w:tc>
        <w:tc>
          <w:tcPr>
            <w:tcW w:w="72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3</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6" w:name="O_516372"/>
      <w:bookmarkEnd w:id="6"/>
      <w:r w:rsidRPr="00086F19">
        <w:t>Employability Skills Information</w:t>
      </w:r>
    </w:p>
    <w:tbl>
      <w:tblPr>
        <w:tblW w:w="0" w:type="auto"/>
        <w:tblLayout w:type="fixed"/>
        <w:tblCellMar>
          <w:left w:w="62" w:type="dxa"/>
          <w:right w:w="62" w:type="dxa"/>
        </w:tblCellMar>
        <w:tblLook w:val="0000"/>
      </w:tblPr>
      <w:tblGrid>
        <w:gridCol w:w="2700"/>
        <w:gridCol w:w="5760"/>
      </w:tblGrid>
      <w:tr w:rsidTr="00FC71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 xml:space="preserve">5) </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This unit contains Employability Skills</w:t>
            </w:r>
          </w:p>
          <w:p w:rsidR="00000000" w:rsidRPr="00086F19" w:rsidP="00086F19">
            <w:pPr>
              <w:pStyle w:val="BodyText"/>
            </w:pPr>
            <w:r w:rsidRPr="00086F1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86F19">
              <w:t>requirements.</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7" w:name="O_516371"/>
      <w:bookmarkEnd w:id="7"/>
      <w:r w:rsidRPr="00086F19">
        <w:t>Elements and Performance Criteria Pre-Content</w:t>
      </w:r>
    </w:p>
    <w:tbl>
      <w:tblPr>
        <w:tblW w:w="0" w:type="auto"/>
        <w:tblLayout w:type="fixed"/>
        <w:tblCellMar>
          <w:left w:w="62" w:type="dxa"/>
          <w:right w:w="62" w:type="dxa"/>
        </w:tblCellMar>
        <w:tblLook w:val="0000"/>
      </w:tblPr>
      <w:tblGrid>
        <w:gridCol w:w="2700"/>
        <w:gridCol w:w="5760"/>
      </w:tblGrid>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6)</w:t>
            </w:r>
            <w:r w:rsidRPr="00086F1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Performance Criteria describe the required performance needed to demonstrate achievement of the element</w:t>
            </w:r>
            <w:r w:rsidRPr="00086F19">
              <w:t>. Assessment of performance is to be consistent with the Evidence Guide.</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8" w:name="O_516370"/>
      <w:bookmarkEnd w:id="8"/>
      <w:r w:rsidRPr="00086F19">
        <w:t>Elements and Performance Criteria</w:t>
      </w:r>
    </w:p>
    <w:tbl>
      <w:tblPr>
        <w:tblW w:w="0" w:type="auto"/>
        <w:tblLayout w:type="fixed"/>
        <w:tblCellMar>
          <w:left w:w="62" w:type="dxa"/>
          <w:right w:w="62" w:type="dxa"/>
        </w:tblCellMar>
        <w:tblLook w:val="0000"/>
      </w:tblPr>
      <w:tblGrid>
        <w:gridCol w:w="417"/>
        <w:gridCol w:w="2081"/>
        <w:gridCol w:w="202"/>
        <w:gridCol w:w="631"/>
        <w:gridCol w:w="4490"/>
        <w:gridCol w:w="639"/>
      </w:tblGrid>
      <w:tr w:rsidTr="00FC710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PERFORMANCE CRITERIA</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1</w:t>
            </w:r>
          </w:p>
        </w:tc>
        <w:tc>
          <w:tcPr>
            <w:tcW w:w="2081" w:type="dxa"/>
            <w:vMerge w:val="restart"/>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Prepare to work on pressure measurement components and systems</w:t>
            </w: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1.1</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OHS procedures for a given work area are identified, obtained and understood</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1.2</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OHS risk control work preparation measures and procedures are followed.</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1.3</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The nature of the pressure measurement problem is obtained from documentation or from an appropriate person to establish the scope of work to be undertaken.</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1.4</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Appropriate personnel are consulted to ensure the work is coordinated effectively with othe</w:t>
            </w:r>
            <w:r w:rsidRPr="00086F19">
              <w:t>rs involved or affected by the work.</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1.5</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Sources of materials that may be required for the work are established in accordance with established procedures.</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1.6</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Tools, equipment and testing devices needed to carry out the work are obtained and checke</w:t>
            </w:r>
            <w:r w:rsidRPr="00086F19">
              <w:t>d for correct operation and safety</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2</w:t>
            </w:r>
          </w:p>
        </w:tc>
        <w:tc>
          <w:tcPr>
            <w:tcW w:w="2081" w:type="dxa"/>
            <w:vMerge w:val="restart"/>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Solve pressure measurement problems</w:t>
            </w: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2.1</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OHS risk control work measures and procedures are followed.</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2.2</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The need to test or measure any electrical components live is determined in strict accordance with OHS requirements and when necessary conducted within established safety procedures</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2.3</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Pressure measurement apparatus are checked as being isolated where necessary in strict accordance OHS requirements and procedures</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2.4</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 xml:space="preserve">Established methods are used to solve measurement problems from tests and calculated values as they apply to pressure </w:t>
            </w:r>
            <w:r w:rsidRPr="00086F19">
              <w:t>measurement components and systems</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2.5</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Unexpected situations are dealt with safely and with the approval of an authorised person</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2.6</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Problems are solved using sustainable energy principles and without damage to apparatus, the surrounding environment or services</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3</w:t>
            </w:r>
          </w:p>
        </w:tc>
        <w:tc>
          <w:tcPr>
            <w:tcW w:w="2081" w:type="dxa"/>
            <w:vMerge w:val="restart"/>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Complete work and document work activities</w:t>
            </w: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3.1</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OHS work completion risk control measures and procedures are followed</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3.2</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Work site is cleaned and made safe in accordance with established procedures</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3.3</w:t>
            </w:r>
          </w:p>
        </w:tc>
        <w:tc>
          <w:tcPr>
            <w:tcW w:w="449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Written justification is made for solutions to pressure measurement problems</w:t>
            </w:r>
          </w:p>
        </w:tc>
      </w:tr>
      <w:tr w:rsidTr="00FC710D">
        <w:tblPrEx>
          <w:tblW w:w="0" w:type="auto"/>
          <w:tblLayout w:type="fixed"/>
          <w:tblCellMar>
            <w:left w:w="62" w:type="dxa"/>
            <w:right w:w="62" w:type="dxa"/>
          </w:tblCellMar>
          <w:tblLook w:val="0000"/>
        </w:tblPrEx>
        <w:trPr>
          <w:gridAfter w:val="1"/>
          <w:wAfter w:w="639" w:type="dxa"/>
        </w:trPr>
        <w:tc>
          <w:tcPr>
            <w:tcW w:w="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3"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3.4</w:t>
            </w:r>
          </w:p>
        </w:tc>
        <w:tc>
          <w:tcPr>
            <w:tcW w:w="449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Work completion is documented and appropriate person(s) notified in accordance with established procedures</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9" w:name="O_516369"/>
      <w:bookmarkEnd w:id="9"/>
      <w:r w:rsidRPr="00086F19">
        <w:t>Required Skills and Knowledge</w:t>
      </w:r>
    </w:p>
    <w:tbl>
      <w:tblPr>
        <w:tblW w:w="0" w:type="auto"/>
        <w:tblLayout w:type="fixed"/>
        <w:tblCellMar>
          <w:left w:w="62" w:type="dxa"/>
          <w:right w:w="62" w:type="dxa"/>
        </w:tblCellMar>
        <w:tblLook w:val="0000"/>
      </w:tblPr>
      <w:tblGrid>
        <w:gridCol w:w="8460"/>
      </w:tblGrid>
      <w:tr w:rsidTr="00FC71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REQUIRED SKILLS AND KNOWLEDGE</w:t>
            </w:r>
          </w:p>
        </w:tc>
      </w:tr>
      <w:tr w:rsidTr="00FC710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8)</w:t>
            </w:r>
            <w:r w:rsidRPr="00086F19">
              <w:t xml:space="preserve"> This describes the essential skills and knowledge and their level, required for this unit.</w:t>
            </w:r>
          </w:p>
          <w:p w:rsidR="00000000" w:rsidRPr="00086F19" w:rsidP="00086F19">
            <w:pPr>
              <w:pStyle w:val="BodyText"/>
            </w:pPr>
            <w:r w:rsidRPr="00086F19">
              <w:t>Evidence shall show that knowledge has been acquired of safe working practices and solving problems in pressure measurement components and systems.</w:t>
            </w:r>
          </w:p>
          <w:p w:rsidR="00000000" w:rsidRPr="00086F19" w:rsidP="00086F19">
            <w:pPr>
              <w:pStyle w:val="BodyText"/>
            </w:pPr>
            <w:r w:rsidRPr="00086F19">
              <w:t>All knowledge an</w:t>
            </w:r>
            <w:r w:rsidRPr="00086F19">
              <w:t>d skills detailed in this unit should be contextualised to current industry practices and technologies.</w:t>
            </w:r>
          </w:p>
          <w:p w:rsidR="00000000" w:rsidRPr="00086F19" w:rsidP="00086F19">
            <w:pPr>
              <w:pStyle w:val="BodyText"/>
            </w:pPr>
            <w:r w:rsidRPr="00086F19">
              <w:rPr>
                <w:rStyle w:val="SpecialBold"/>
              </w:rPr>
              <w:t>KS01-EI102A</w:t>
            </w:r>
            <w:r w:rsidRPr="00086F19">
              <w:rPr>
                <w:rStyle w:val="SpecialBold"/>
              </w:rPr>
              <w:tab/>
            </w:r>
            <w:r w:rsidRPr="00086F19">
              <w:rPr>
                <w:rStyle w:val="SpecialBold"/>
              </w:rPr>
              <w:tab/>
              <w:t>Pressure Measurement</w:t>
            </w:r>
          </w:p>
          <w:p w:rsidR="00000000" w:rsidRPr="00086F19" w:rsidP="00086F19">
            <w:pPr>
              <w:pStyle w:val="BodyText"/>
            </w:pPr>
            <w:r w:rsidRPr="00086F19">
              <w:t>Evidence shall show an understanding of pressure measurement used in industrial processes to an extent indicated by th</w:t>
            </w:r>
            <w:r w:rsidRPr="00086F19">
              <w:t>e following aspects:</w:t>
            </w:r>
          </w:p>
          <w:p w:rsidR="00000000" w:rsidRPr="00086F19" w:rsidP="00086F19">
            <w:pPr>
              <w:pStyle w:val="BodyText"/>
            </w:pPr>
            <w:r w:rsidRPr="00086F19">
              <w:t>T1</w:t>
            </w:r>
            <w:r w:rsidRPr="00086F19">
              <w:tab/>
              <w:t>Pressure measurement terms and transducers encompassing:</w:t>
            </w:r>
          </w:p>
          <w:p w:rsidR="00000000" w:rsidRPr="00086F19" w:rsidP="00086F19">
            <w:pPr>
              <w:pStyle w:val="ListBullet"/>
            </w:pPr>
            <w:r w:rsidRPr="00086F19">
              <w:t>Purpose of pressure measurement</w:t>
            </w:r>
          </w:p>
          <w:p w:rsidR="00000000" w:rsidRPr="00086F19" w:rsidP="00086F19">
            <w:pPr>
              <w:pStyle w:val="ListBullet"/>
            </w:pPr>
            <w:r w:rsidRPr="00086F19">
              <w:t>Applications of pressure measurement</w:t>
            </w:r>
          </w:p>
          <w:p w:rsidR="00000000" w:rsidRPr="00086F19" w:rsidP="00086F19">
            <w:pPr>
              <w:pStyle w:val="ListBullet"/>
            </w:pPr>
            <w:r w:rsidRPr="00086F19">
              <w:t>Common terms and relationships</w:t>
            </w:r>
          </w:p>
          <w:p w:rsidR="00000000" w:rsidRPr="00086F19" w:rsidP="00086F19">
            <w:pPr>
              <w:pStyle w:val="ListBullet"/>
            </w:pPr>
            <w:r w:rsidRPr="00086F19">
              <w:t>Pressure and the relationship between applied pressure, density, mass, for</w:t>
            </w:r>
            <w:r w:rsidRPr="00086F19">
              <w:t>ce, area and the height of liquid columns.</w:t>
            </w:r>
          </w:p>
          <w:p w:rsidR="00000000" w:rsidRPr="00086F19" w:rsidP="00086F19">
            <w:pPr>
              <w:pStyle w:val="ListBullet"/>
            </w:pPr>
            <w:r w:rsidRPr="00086F19">
              <w:t>Types and applications of pressure transducers</w:t>
            </w:r>
          </w:p>
          <w:p w:rsidR="00000000" w:rsidRPr="00086F19" w:rsidP="00086F19">
            <w:pPr>
              <w:pStyle w:val="ListBullet"/>
            </w:pPr>
            <w:r w:rsidRPr="00086F19">
              <w:t>Transducers input/outputs - Measurement and evaluation</w:t>
            </w:r>
          </w:p>
          <w:p w:rsidR="00000000" w:rsidRPr="00086F19" w:rsidP="00086F19">
            <w:pPr>
              <w:pStyle w:val="ListBullet"/>
            </w:pPr>
            <w:r w:rsidRPr="00086F19">
              <w:t>Transducer connections</w:t>
            </w:r>
          </w:p>
          <w:p w:rsidR="00000000" w:rsidRPr="00086F19" w:rsidP="00086F19">
            <w:pPr>
              <w:pStyle w:val="BodyText"/>
            </w:pPr>
            <w:r w:rsidRPr="00086F19">
              <w:t>T2</w:t>
            </w:r>
            <w:r w:rsidRPr="00086F19">
              <w:tab/>
              <w:t>Manometers encompassing:</w:t>
            </w:r>
          </w:p>
          <w:p w:rsidR="00000000" w:rsidRPr="00086F19" w:rsidP="00086F19">
            <w:pPr>
              <w:pStyle w:val="ListBullet"/>
            </w:pPr>
            <w:r w:rsidRPr="00086F19">
              <w:t>Types of manometers</w:t>
            </w:r>
          </w:p>
          <w:p w:rsidR="00000000" w:rsidRPr="00086F19" w:rsidP="00086F19">
            <w:pPr>
              <w:pStyle w:val="ListBullet"/>
            </w:pPr>
            <w:r w:rsidRPr="00086F19">
              <w:t>Operating principles of manometers</w:t>
            </w:r>
          </w:p>
          <w:p w:rsidR="00000000" w:rsidRPr="00086F19" w:rsidP="00086F19">
            <w:pPr>
              <w:pStyle w:val="ListBullet"/>
            </w:pPr>
            <w:r w:rsidRPr="00086F19">
              <w:t>Gauge pressure measurement</w:t>
            </w:r>
          </w:p>
          <w:p w:rsidR="00000000" w:rsidRPr="00086F19" w:rsidP="00086F19">
            <w:pPr>
              <w:pStyle w:val="ListBullet"/>
            </w:pPr>
            <w:r w:rsidRPr="00086F19">
              <w:t xml:space="preserve">Wet leg </w:t>
            </w:r>
          </w:p>
          <w:p w:rsidR="00000000" w:rsidRPr="00086F19" w:rsidP="00086F19">
            <w:pPr>
              <w:pStyle w:val="ListBullet"/>
            </w:pPr>
            <w:r w:rsidRPr="00086F19">
              <w:t>Manometers applications</w:t>
            </w:r>
          </w:p>
          <w:p w:rsidR="00000000" w:rsidRPr="00086F19" w:rsidP="00086F19">
            <w:pPr>
              <w:pStyle w:val="ListBullet"/>
            </w:pPr>
            <w:r w:rsidRPr="00086F19">
              <w:t>Manometer limitations</w:t>
            </w:r>
          </w:p>
          <w:p w:rsidR="00000000" w:rsidRPr="00086F19" w:rsidP="00086F19">
            <w:pPr>
              <w:pStyle w:val="BodyText"/>
            </w:pPr>
            <w:r w:rsidRPr="00086F19">
              <w:t>T3</w:t>
            </w:r>
            <w:r w:rsidRPr="00086F19">
              <w:tab/>
              <w:t>Absolute, gauge and atmospheric pressure measurement encompassing:</w:t>
            </w:r>
          </w:p>
          <w:p w:rsidR="00000000" w:rsidRPr="00086F19" w:rsidP="00086F19">
            <w:pPr>
              <w:pStyle w:val="ListBullet"/>
            </w:pPr>
            <w:r w:rsidRPr="00086F19">
              <w:t>Absolute and gauge pressure.</w:t>
            </w:r>
          </w:p>
          <w:p w:rsidR="00000000" w:rsidRPr="00086F19" w:rsidP="00086F19">
            <w:pPr>
              <w:pStyle w:val="ListBullet"/>
            </w:pPr>
            <w:r w:rsidRPr="00086F19">
              <w:t>Absolute zero pressure</w:t>
            </w:r>
          </w:p>
          <w:p w:rsidR="00000000" w:rsidRPr="00086F19" w:rsidP="00086F19">
            <w:pPr>
              <w:pStyle w:val="ListBullet"/>
            </w:pPr>
            <w:r w:rsidRPr="00086F19">
              <w:t>Atmospheric pressure</w:t>
            </w:r>
          </w:p>
          <w:p w:rsidR="00000000" w:rsidRPr="00086F19" w:rsidP="00086F19">
            <w:pPr>
              <w:pStyle w:val="ListBullet"/>
            </w:pPr>
            <w:r w:rsidRPr="00086F19">
              <w:t>Barometers</w:t>
            </w:r>
          </w:p>
          <w:p w:rsidR="00000000" w:rsidRPr="00086F19" w:rsidP="00086F19">
            <w:pPr>
              <w:pStyle w:val="ListBullet"/>
            </w:pPr>
            <w:r w:rsidRPr="00086F19">
              <w:t>Absolute pressure g</w:t>
            </w:r>
            <w:r w:rsidRPr="00086F19">
              <w:t>auges</w:t>
            </w:r>
          </w:p>
          <w:p w:rsidR="00000000" w:rsidRPr="00086F19" w:rsidP="00086F19">
            <w:pPr>
              <w:pStyle w:val="BodyText"/>
            </w:pPr>
            <w:r w:rsidRPr="00086F19">
              <w:t>T4</w:t>
            </w:r>
            <w:r w:rsidRPr="00086F19">
              <w:tab/>
              <w:t>Mechanical pressure measuring devices encompassing:</w:t>
            </w:r>
          </w:p>
          <w:p w:rsidR="00000000" w:rsidRPr="00086F19" w:rsidP="00086F19">
            <w:pPr>
              <w:pStyle w:val="ListBullet"/>
            </w:pPr>
            <w:r w:rsidRPr="00086F19">
              <w:t>Bourdon tube gauges</w:t>
            </w:r>
          </w:p>
          <w:p w:rsidR="00000000" w:rsidRPr="00086F19" w:rsidP="00086F19">
            <w:pPr>
              <w:pStyle w:val="ListBullet"/>
            </w:pPr>
            <w:r w:rsidRPr="00086F19">
              <w:t>Spiral and helical gauges</w:t>
            </w:r>
          </w:p>
          <w:p w:rsidR="00000000" w:rsidRPr="00086F19" w:rsidP="00086F19">
            <w:pPr>
              <w:pStyle w:val="ListBullet"/>
            </w:pPr>
            <w:r w:rsidRPr="00086F19">
              <w:t>Term: Flexibility spring rate</w:t>
            </w:r>
          </w:p>
          <w:p w:rsidR="00000000" w:rsidRPr="00086F19" w:rsidP="00086F19">
            <w:pPr>
              <w:pStyle w:val="ListBullet"/>
            </w:pPr>
            <w:r w:rsidRPr="00086F19">
              <w:t>Other mechanical pressure elements: bellows, capsule, slack/stiff diaphragms.</w:t>
            </w:r>
          </w:p>
          <w:p w:rsidR="00000000" w:rsidRPr="00086F19" w:rsidP="00086F19">
            <w:pPr>
              <w:pStyle w:val="ListBullet"/>
            </w:pPr>
            <w:r w:rsidRPr="00086F19">
              <w:t>Pressure measurement using elastic defor</w:t>
            </w:r>
            <w:r w:rsidRPr="00086F19">
              <w:t>mation gauges</w:t>
            </w:r>
          </w:p>
          <w:p w:rsidR="00000000" w:rsidRPr="00086F19" w:rsidP="00086F19">
            <w:pPr>
              <w:pStyle w:val="BodyText"/>
            </w:pPr>
            <w:r w:rsidRPr="00086F19">
              <w:t>T5</w:t>
            </w:r>
            <w:r w:rsidRPr="00086F19">
              <w:tab/>
              <w:t>Electrical pressure measuring devices encompassing:</w:t>
            </w:r>
          </w:p>
          <w:p w:rsidR="00000000" w:rsidRPr="00086F19" w:rsidP="00086F19">
            <w:pPr>
              <w:pStyle w:val="ListBullet"/>
            </w:pPr>
            <w:r w:rsidRPr="00086F19">
              <w:t>Electrical sensors for pressure measurements: (capacitive, piezo, inductive, strain gauge).</w:t>
            </w:r>
          </w:p>
          <w:p w:rsidR="00000000" w:rsidRPr="00086F19" w:rsidP="00086F19">
            <w:pPr>
              <w:pStyle w:val="ListBullet"/>
            </w:pPr>
            <w:r w:rsidRPr="00086F19">
              <w:t>Operating principles of electrical pressure elements</w:t>
            </w:r>
          </w:p>
          <w:p w:rsidR="00000000" w:rsidRPr="00086F19" w:rsidP="00086F19">
            <w:pPr>
              <w:pStyle w:val="ListBullet"/>
            </w:pPr>
            <w:r w:rsidRPr="00086F19">
              <w:t>Testing elements</w:t>
            </w:r>
          </w:p>
          <w:p w:rsidR="00000000" w:rsidRPr="00086F19" w:rsidP="00086F19">
            <w:pPr>
              <w:pStyle w:val="ListBullet"/>
            </w:pPr>
            <w:r w:rsidRPr="00086F19">
              <w:t>Electrical signal transmission devices.</w:t>
            </w:r>
          </w:p>
          <w:p w:rsidR="00000000" w:rsidRPr="00086F19" w:rsidP="00086F19">
            <w:pPr>
              <w:pStyle w:val="BodyText"/>
            </w:pPr>
            <w:r w:rsidRPr="00086F19">
              <w:t>T6</w:t>
            </w:r>
            <w:r w:rsidRPr="00086F19">
              <w:tab/>
              <w:t>Dead weight testers encompassing:</w:t>
            </w:r>
          </w:p>
          <w:p w:rsidR="00000000" w:rsidRPr="00086F19" w:rsidP="00086F19">
            <w:pPr>
              <w:pStyle w:val="ListBullet"/>
            </w:pPr>
            <w:r w:rsidRPr="00086F19">
              <w:t>Law of hydraulics</w:t>
            </w:r>
          </w:p>
          <w:p w:rsidR="00000000" w:rsidRPr="00086F19" w:rsidP="00086F19">
            <w:pPr>
              <w:pStyle w:val="ListBullet"/>
            </w:pPr>
            <w:r w:rsidRPr="00086F19">
              <w:t>Dead Weight Tester operating principles</w:t>
            </w:r>
          </w:p>
          <w:p w:rsidR="00000000" w:rsidRPr="00086F19" w:rsidP="00086F19">
            <w:pPr>
              <w:pStyle w:val="ListBullet"/>
            </w:pPr>
            <w:r w:rsidRPr="00086F19">
              <w:t>Dead Weight Tester operating procedures</w:t>
            </w:r>
          </w:p>
          <w:p w:rsidR="00000000" w:rsidRPr="00086F19" w:rsidP="00086F19">
            <w:pPr>
              <w:pStyle w:val="ListBullet"/>
            </w:pPr>
            <w:r w:rsidRPr="00086F19">
              <w:t>Terms: Backlash, hysterics, repeatability</w:t>
            </w:r>
          </w:p>
          <w:p w:rsidR="00000000" w:rsidRPr="00086F19" w:rsidP="00086F19">
            <w:pPr>
              <w:pStyle w:val="ListBullet"/>
            </w:pPr>
            <w:r w:rsidRPr="00086F19">
              <w:t>Calibration of gauges</w:t>
            </w:r>
          </w:p>
          <w:p w:rsidR="00000000" w:rsidRPr="00086F19" w:rsidP="00086F19">
            <w:pPr>
              <w:pStyle w:val="ListBullet"/>
            </w:pPr>
            <w:r w:rsidRPr="00086F19">
              <w:t>Precautions</w:t>
            </w:r>
          </w:p>
          <w:p w:rsidR="00000000" w:rsidRPr="00086F19" w:rsidP="00086F19">
            <w:pPr>
              <w:pStyle w:val="ListBullet"/>
            </w:pPr>
            <w:r w:rsidRPr="00086F19">
              <w:t>Bour</w:t>
            </w:r>
            <w:r w:rsidRPr="00086F19">
              <w:t>don tube gauges calibration</w:t>
            </w:r>
          </w:p>
          <w:p w:rsidR="00000000" w:rsidRPr="00086F19" w:rsidP="00086F19">
            <w:pPr>
              <w:pStyle w:val="BodyText"/>
            </w:pPr>
            <w:r w:rsidRPr="00086F19">
              <w:t>T7</w:t>
            </w:r>
            <w:r w:rsidRPr="00086F19">
              <w:tab/>
              <w:t>Testing and installation of pressure measurement devices encompassing:</w:t>
            </w:r>
          </w:p>
          <w:p w:rsidR="00000000" w:rsidRPr="00086F19" w:rsidP="00086F19">
            <w:pPr>
              <w:pStyle w:val="ListBullet"/>
            </w:pPr>
            <w:r w:rsidRPr="00086F19">
              <w:t xml:space="preserve">Testing </w:t>
            </w:r>
          </w:p>
          <w:p w:rsidR="00000000" w:rsidRPr="00086F19" w:rsidP="00086F19">
            <w:pPr>
              <w:pStyle w:val="ListBullet"/>
            </w:pPr>
            <w:r w:rsidRPr="00086F19">
              <w:t>Calibration</w:t>
            </w:r>
          </w:p>
          <w:p w:rsidR="00000000" w:rsidRPr="00086F19" w:rsidP="00086F19">
            <w:pPr>
              <w:pStyle w:val="ListBullet"/>
            </w:pPr>
            <w:r w:rsidRPr="00086F19">
              <w:t>Installation of pressure measurement devices within pressure vessel systems.</w:t>
            </w:r>
          </w:p>
          <w:p w:rsidR="00000000" w:rsidRPr="00086F19" w:rsidP="00086F19">
            <w:pPr>
              <w:pStyle w:val="ListBullet"/>
            </w:pPr>
            <w:r w:rsidRPr="00086F19">
              <w:t>Isolation, seal, vent, drain and bypass valves location</w:t>
            </w:r>
            <w:r w:rsidRPr="00086F19">
              <w:t xml:space="preserve"> and operation sequence.</w:t>
            </w:r>
          </w:p>
          <w:p w:rsidR="00000000" w:rsidRPr="00086F19" w:rsidP="00086F19">
            <w:pPr>
              <w:pStyle w:val="BodyText"/>
            </w:pPr>
            <w:r w:rsidRPr="00086F19">
              <w:t>T8</w:t>
            </w:r>
            <w:r w:rsidRPr="00086F19">
              <w:tab/>
              <w:t>Pressure transmitters and converters encompassing:</w:t>
            </w:r>
          </w:p>
          <w:p w:rsidR="00000000" w:rsidRPr="00086F19" w:rsidP="00086F19">
            <w:pPr>
              <w:pStyle w:val="ListBullet"/>
            </w:pPr>
            <w:r w:rsidRPr="00086F19">
              <w:t>Principle of operation of moment, motion and forced balanced transmitters for pneumatic, electrical, and electronic transmitters.</w:t>
            </w:r>
          </w:p>
          <w:p w:rsidR="00000000" w:rsidRPr="00086F19" w:rsidP="00086F19">
            <w:pPr>
              <w:pStyle w:val="ListBullet"/>
            </w:pPr>
            <w:r w:rsidRPr="00086F19">
              <w:t>Applications of transmitters</w:t>
            </w:r>
          </w:p>
          <w:p w:rsidR="00000000" w:rsidRPr="00086F19" w:rsidP="00086F19">
            <w:pPr>
              <w:pStyle w:val="ListBullet"/>
            </w:pPr>
            <w:r w:rsidRPr="00086F19">
              <w:t>Transmitter conne</w:t>
            </w:r>
            <w:r w:rsidRPr="00086F19">
              <w:t xml:space="preserve">ctions </w:t>
            </w:r>
          </w:p>
          <w:p w:rsidR="00000000" w:rsidRPr="00086F19" w:rsidP="00086F19">
            <w:pPr>
              <w:pStyle w:val="ListBullet"/>
            </w:pPr>
            <w:r w:rsidRPr="00086F19">
              <w:t xml:space="preserve">Manufacturer’s manuals </w:t>
            </w:r>
          </w:p>
          <w:p w:rsidR="00000000" w:rsidRPr="00086F19" w:rsidP="00086F19">
            <w:pPr>
              <w:pStyle w:val="ListBullet"/>
            </w:pPr>
            <w:r w:rsidRPr="00086F19">
              <w:t>Calibration of transmitters</w:t>
            </w:r>
          </w:p>
          <w:p w:rsidR="00000000" w:rsidRPr="00086F19" w:rsidP="00086F19">
            <w:pPr>
              <w:pStyle w:val="ListBullet"/>
            </w:pPr>
            <w:r w:rsidRPr="00086F19">
              <w:t>Principle of operation of signal convertors</w:t>
            </w:r>
          </w:p>
          <w:p w:rsidR="00000000" w:rsidRPr="00086F19" w:rsidP="00086F19">
            <w:pPr>
              <w:pStyle w:val="ListBullet"/>
            </w:pPr>
            <w:r w:rsidRPr="00086F19">
              <w:t>Applications of pressure converters</w:t>
            </w:r>
          </w:p>
          <w:p w:rsidR="00000000" w:rsidRPr="00086F19" w:rsidP="00086F19">
            <w:pPr>
              <w:pStyle w:val="ListBullet"/>
            </w:pPr>
            <w:r w:rsidRPr="00086F19">
              <w:t xml:space="preserve">Calibration of pressure converters </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10" w:name="O_516368"/>
      <w:bookmarkEnd w:id="10"/>
      <w:r w:rsidRPr="00086F19">
        <w:t>Evidence Guide</w:t>
      </w:r>
    </w:p>
    <w:tbl>
      <w:tblPr>
        <w:tblW w:w="0" w:type="auto"/>
        <w:tblLayout w:type="fixed"/>
        <w:tblCellMar>
          <w:left w:w="62" w:type="dxa"/>
          <w:right w:w="62" w:type="dxa"/>
        </w:tblCellMar>
        <w:tblLook w:val="0000"/>
      </w:tblPr>
      <w:tblGrid>
        <w:gridCol w:w="8460"/>
      </w:tblGrid>
      <w:tr w:rsidTr="00FC71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EVIDENCE GUIDE</w:t>
            </w:r>
          </w:p>
        </w:tc>
      </w:tr>
      <w:tr w:rsidTr="00FC71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9)</w:t>
            </w:r>
            <w:r w:rsidRPr="00086F19">
              <w:t xml:space="preserve"> The evidence guide provides advice on assessment and must be read in conjunction with the Performance Criteria, Required Skills and Knowledge, the Range Statement and the Assessment Guidelines for this Training Package.</w:t>
            </w:r>
          </w:p>
          <w:p w:rsidR="00000000" w:rsidRPr="00086F19" w:rsidP="00086F19">
            <w:pPr>
              <w:pStyle w:val="BodyText"/>
            </w:pPr>
            <w:r w:rsidRPr="00086F19">
              <w:t>The Evidence Guide forms an integra</w:t>
            </w:r>
            <w:r w:rsidRPr="00086F19">
              <w:t>l part of this unit. It must be used in conjunction with all parts of the unit and performed in accordance with the Assessment Guidelines of this Training Package.</w:t>
            </w:r>
          </w:p>
        </w:tc>
      </w:tr>
    </w:tbl>
    <w:p w:rsidR="00000000" w:rsidRPr="00086F19" w:rsidP="00086F19">
      <w:pPr>
        <w:pStyle w:val="BodyText"/>
      </w:pPr>
    </w:p>
    <w:tbl>
      <w:tblPr>
        <w:tblW w:w="0" w:type="auto"/>
        <w:tblLayout w:type="fixed"/>
        <w:tblCellMar>
          <w:left w:w="62" w:type="dxa"/>
          <w:right w:w="62" w:type="dxa"/>
        </w:tblCellMar>
        <w:tblLook w:val="0000"/>
      </w:tblPr>
      <w:tblGrid>
        <w:gridCol w:w="1890"/>
        <w:gridCol w:w="6570"/>
      </w:tblGrid>
      <w:tr w:rsidTr="00FC71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9.1)</w:t>
            </w:r>
          </w:p>
        </w:tc>
      </w:tr>
      <w:tr w:rsidTr="00FC71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Longitudinal competency development approaches to assessment</w:t>
            </w:r>
            <w:r w:rsidRPr="00086F19">
              <w:t>, such as Profiling, require data to be reliably gathered in a form that can be consistently interpreted over time. This approach is best utilised in Apprenticeship programs and reduces assessment intervention. It is the industry-preferred model for appren</w:t>
            </w:r>
            <w:r w:rsidRPr="00086F19">
              <w:t>ticeships. However, where summative (or final) assessment is used it is to include the application of the competency in the normal work environment or, at a minimum, the application of the competency in a realistically simulated work environment. In some c</w:t>
            </w:r>
            <w:r w:rsidRPr="00086F19">
              <w:t>ircumstances, assessment in part or full can occur outside the workplace. However, it must be in accordance with industry and regulatory policy.</w:t>
            </w:r>
          </w:p>
          <w:p w:rsidR="00000000" w:rsidRPr="00086F19" w:rsidP="00086F19">
            <w:pPr>
              <w:pStyle w:val="BodyText"/>
            </w:pPr>
            <w:r w:rsidRPr="00086F19">
              <w:t>Methods chosen for a particular assessment will be influenced by various factors. These include the extent of t</w:t>
            </w:r>
            <w:r w:rsidRPr="00086F19">
              <w:t>he assessment, the most effective locations for the assessment activities to take place, access to physical resources, additional safety measures that may be required and the critical nature of the competencies being assessed.</w:t>
            </w:r>
          </w:p>
          <w:p w:rsidR="00000000" w:rsidRPr="00086F19" w:rsidP="00086F19">
            <w:pPr>
              <w:pStyle w:val="BodyText"/>
            </w:pPr>
            <w:r w:rsidRPr="00086F19">
              <w:t>The critical safety nature of</w:t>
            </w:r>
            <w:r w:rsidRPr="00086F19">
              <w:t xml:space="preserve"> working with electricity, electrical equipment, gas or any other hazardous substance/material carries risk in deeming a person competent. Sources of evidence need to be ‘rich’ in nature to minimise error in judgment.</w:t>
            </w:r>
          </w:p>
          <w:p w:rsidR="00000000" w:rsidRPr="00086F19" w:rsidP="00086F19">
            <w:pPr>
              <w:pStyle w:val="BodyText"/>
            </w:pPr>
            <w:r w:rsidRPr="00086F19">
              <w:t>Activities associated with normal everyday work influence how/how much the data gathered will contribute to its ‘richness’. Some skills are more critical to safety and operational requirements while the same skills may be more or less frequently practised.</w:t>
            </w:r>
            <w:r w:rsidRPr="00086F19">
              <w:t xml:space="preserve">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086F19" w:rsidP="00086F19">
      <w:pPr>
        <w:pStyle w:val="BodyText"/>
      </w:pPr>
    </w:p>
    <w:tbl>
      <w:tblPr>
        <w:tblW w:w="9831" w:type="dxa"/>
        <w:tblLayout w:type="fixed"/>
        <w:tblCellMar>
          <w:left w:w="62" w:type="dxa"/>
          <w:right w:w="62" w:type="dxa"/>
        </w:tblCellMar>
        <w:tblLook w:val="0000"/>
      </w:tblPr>
      <w:tblGrid>
        <w:gridCol w:w="1849"/>
        <w:gridCol w:w="41"/>
        <w:gridCol w:w="6051"/>
        <w:gridCol w:w="519"/>
        <w:gridCol w:w="1371"/>
      </w:tblGrid>
      <w:tr w:rsidTr="00FC710D">
        <w:tblPrEx>
          <w:tblW w:w="9831" w:type="dxa"/>
          <w:tblLayout w:type="fixed"/>
          <w:tblCellMar>
            <w:left w:w="62" w:type="dxa"/>
            <w:right w:w="62" w:type="dxa"/>
          </w:tblCellMar>
          <w:tblLook w:val="0000"/>
        </w:tblPrEx>
        <w:trPr>
          <w:gridAfter w:val="1"/>
          <w:wAfter w:w="1371" w:type="dxa"/>
        </w:trPr>
        <w:tc>
          <w:tcPr>
            <w:tcW w:w="1890" w:type="dxa"/>
            <w:gridSpan w:val="2"/>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Critical aspe</w:t>
            </w:r>
            <w:r w:rsidRPr="00086F19">
              <w:rPr>
                <w:rStyle w:val="SpecialBold"/>
              </w:rPr>
              <w:t>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9.2)</w:t>
            </w:r>
          </w:p>
        </w:tc>
      </w:tr>
      <w:tr w:rsidTr="00FC710D">
        <w:tblPrEx>
          <w:tblW w:w="9831" w:type="dxa"/>
          <w:tblLayout w:type="fixed"/>
          <w:tblCellMar>
            <w:left w:w="62" w:type="dxa"/>
            <w:right w:w="62" w:type="dxa"/>
          </w:tblCellMar>
          <w:tblLook w:val="0000"/>
        </w:tblPrEx>
        <w:trPr>
          <w:gridAfter w:val="1"/>
          <w:wAfter w:w="1371"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Before the critical aspects of evidence are considered all prerequisites must be met.</w:t>
            </w:r>
          </w:p>
          <w:p w:rsidR="00000000" w:rsidRPr="00086F19" w:rsidP="00086F19">
            <w:pPr>
              <w:pStyle w:val="BodyText"/>
            </w:pPr>
            <w:r w:rsidRPr="00086F19">
              <w:t>Evidence for competence in this unit shall be considered holistically.  Each Element and associate</w:t>
            </w:r>
            <w:r w:rsidRPr="00086F19">
              <w:t>d performance criteria must be demonstrated on at least two occasions in accordance with the ‘Assessment Guidelines – UEE11’.  Evidence shall also comprise:</w:t>
            </w:r>
          </w:p>
          <w:p w:rsidR="00000000" w:rsidRPr="00086F19" w:rsidP="00086F19">
            <w:pPr>
              <w:pStyle w:val="ListBullet"/>
            </w:pPr>
            <w:r w:rsidRPr="00086F19">
              <w:t>A representative body of work performance demonstrated within the timeframes typically expected of</w:t>
            </w:r>
            <w:r w:rsidRPr="00086F19">
              <w:t xml:space="preserve"> the discipline, work function and industrial environment. In particular this shall incorporate evidence that shows a candidate is able to:</w:t>
            </w:r>
          </w:p>
          <w:p w:rsidR="00000000" w:rsidRPr="00086F19" w:rsidP="00086F19">
            <w:pPr>
              <w:pStyle w:val="ListBullet2"/>
            </w:pPr>
            <w:r w:rsidRPr="00086F19">
              <w:t xml:space="preserve">Implement Occupational Health and Safety workplace procedures and practices, including </w:t>
            </w:r>
            <w:r w:rsidRPr="00086F19">
              <w:t>the use of risk control measures as specified in the performance criteria and range statement</w:t>
            </w:r>
          </w:p>
          <w:p w:rsidR="00000000" w:rsidRPr="00086F19" w:rsidP="00086F19">
            <w:pPr>
              <w:pStyle w:val="ListBullet2"/>
            </w:pPr>
            <w:r w:rsidRPr="00086F19">
              <w:t>Apply sustainable energy principles and practices as specified in the performance criteria and range statement</w:t>
            </w:r>
          </w:p>
          <w:p w:rsidR="00000000" w:rsidRPr="00086F19" w:rsidP="00086F19">
            <w:pPr>
              <w:pStyle w:val="ListBullet2"/>
            </w:pPr>
            <w:r w:rsidRPr="00086F19">
              <w:t>Demonstrate an understanding of the essential knowl</w:t>
            </w:r>
            <w:r w:rsidRPr="00086F19">
              <w:t>edge and associated skills as described in this unit.  It may be required by some jurisdictions that RTOs provide a percentile graded result for the purpose of regulatory or licensing requirements.</w:t>
            </w:r>
          </w:p>
          <w:p w:rsidR="00000000" w:rsidRPr="00086F19" w:rsidP="00086F19">
            <w:pPr>
              <w:pStyle w:val="ListBullet2"/>
            </w:pPr>
            <w:r w:rsidRPr="00086F19">
              <w:t>Demonstrate an appropriate level of skills enabling employ</w:t>
            </w:r>
            <w:r w:rsidRPr="00086F19">
              <w:t>ment</w:t>
            </w:r>
          </w:p>
          <w:p w:rsidR="00000000" w:rsidRPr="00086F19" w:rsidP="00086F19">
            <w:pPr>
              <w:pStyle w:val="ListBullet2"/>
            </w:pPr>
            <w:r w:rsidRPr="00086F19">
              <w:t>Conduct work observing the relevant Anti Discrimination legislation, regulations, polices and workplace procedures</w:t>
            </w:r>
          </w:p>
          <w:p w:rsidR="00000000" w:rsidRPr="00086F19" w:rsidP="00086F19">
            <w:pPr>
              <w:pStyle w:val="ListBullet"/>
            </w:pPr>
            <w:r w:rsidRPr="00086F19">
              <w:t>Demonstrated consistent performance across a representative range of contexts from the prescribed items below:</w:t>
            </w:r>
          </w:p>
          <w:p w:rsidR="00000000" w:rsidP="00086F19">
            <w:pPr>
              <w:pStyle w:val="ListBullet2"/>
              <w:rPr>
                <w:lang w:val="en-NZ"/>
              </w:rPr>
            </w:pPr>
            <w:r w:rsidRPr="00086F19">
              <w:t>Solve problems in press</w:t>
            </w:r>
            <w:r w:rsidRPr="00086F19">
              <w:t>ure measurement systems as described in 8) and including:</w:t>
            </w:r>
          </w:p>
        </w:tc>
      </w:tr>
      <w:tr w:rsidTr="00FC710D">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A</w:t>
            </w:r>
          </w:p>
        </w:tc>
        <w:tc>
          <w:tcPr>
            <w:tcW w:w="6092"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Determining the operating parameters of a pressure measuring system</w:t>
            </w:r>
          </w:p>
        </w:tc>
      </w:tr>
      <w:tr w:rsidTr="00FC710D">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B</w:t>
            </w:r>
          </w:p>
        </w:tc>
        <w:tc>
          <w:tcPr>
            <w:tcW w:w="6092"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Setting up and calibrating a pressure measuring system</w:t>
            </w:r>
          </w:p>
        </w:tc>
      </w:tr>
      <w:tr w:rsidTr="00FC710D">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C</w:t>
            </w:r>
          </w:p>
        </w:tc>
        <w:tc>
          <w:tcPr>
            <w:tcW w:w="6092"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Altering an existing pressure measuring system to comply with specified operating parameters</w:t>
            </w:r>
          </w:p>
        </w:tc>
      </w:tr>
      <w:tr w:rsidTr="00FC710D">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D</w:t>
            </w:r>
          </w:p>
        </w:tc>
        <w:tc>
          <w:tcPr>
            <w:tcW w:w="6092"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Developing a pressure measuring system to comply with a specified function and operating parameters</w:t>
            </w:r>
          </w:p>
        </w:tc>
      </w:tr>
      <w:tr w:rsidTr="00FC710D">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E</w:t>
            </w:r>
          </w:p>
        </w:tc>
        <w:tc>
          <w:tcPr>
            <w:tcW w:w="6092"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Dealing with unplanned events by drawing on essential kno</w:t>
            </w:r>
            <w:r w:rsidRPr="00086F19">
              <w:t>wledge and skills to provide appropriate solutions incorporated in a holistic assessment with the above listed items</w:t>
            </w:r>
          </w:p>
        </w:tc>
      </w:tr>
      <w:tr w:rsidTr="00FC710D">
        <w:tblPrEx>
          <w:tblW w:w="9831" w:type="dxa"/>
          <w:tblLayout w:type="fixed"/>
          <w:tblCellMar>
            <w:left w:w="62" w:type="dxa"/>
            <w:right w:w="62" w:type="dxa"/>
          </w:tblCellMar>
          <w:tblLook w:val="0000"/>
        </w:tblPrEx>
        <w:tc>
          <w:tcPr>
            <w:tcW w:w="9831" w:type="dxa"/>
            <w:gridSpan w:val="5"/>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 xml:space="preserve">Note: </w:t>
            </w:r>
            <w:r w:rsidRPr="00086F19">
              <w:br/>
              <w:t>Successful completion of relevant vendor training may be used to contribute to evidence on which competency is deemed. In these cas</w:t>
            </w:r>
            <w:r w:rsidRPr="00086F19">
              <w:t>es the alignment of outcomes of vendor training with performance criteria and critical aspects of evidence shall be clearly identified</w:t>
            </w:r>
          </w:p>
        </w:tc>
      </w:tr>
    </w:tbl>
    <w:p w:rsidR="00000000" w:rsidRPr="00086F19" w:rsidP="00086F19">
      <w:pPr>
        <w:pStyle w:val="BodyText"/>
      </w:pPr>
    </w:p>
    <w:tbl>
      <w:tblPr>
        <w:tblW w:w="0" w:type="auto"/>
        <w:tblLayout w:type="fixed"/>
        <w:tblCellMar>
          <w:left w:w="62" w:type="dxa"/>
          <w:right w:w="62" w:type="dxa"/>
        </w:tblCellMar>
        <w:tblLook w:val="0000"/>
      </w:tblPr>
      <w:tblGrid>
        <w:gridCol w:w="1890"/>
        <w:gridCol w:w="6570"/>
      </w:tblGrid>
      <w:tr w:rsidTr="00FC710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9.3)</w:t>
            </w:r>
          </w:p>
        </w:tc>
      </w:tr>
      <w:tr w:rsidTr="00FC710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This unit must be assessed as it relates to normal work practice using procedures, information and resources typical of a workplace. This should include:</w:t>
            </w:r>
          </w:p>
          <w:p w:rsidR="00000000" w:rsidRPr="00086F19" w:rsidP="00086F19">
            <w:pPr>
              <w:pStyle w:val="ListBullet"/>
            </w:pPr>
            <w:r w:rsidRPr="00086F19">
              <w:t>OHS policy and work procedures and instructions.</w:t>
            </w:r>
          </w:p>
          <w:p w:rsidR="00000000" w:rsidRPr="00086F19" w:rsidP="00086F19">
            <w:pPr>
              <w:pStyle w:val="ListBullet"/>
            </w:pPr>
            <w:r w:rsidRPr="00086F19">
              <w:t>Suitable work environment, facilities, equipment and materials to undertake actual work as prescribed by this unit.</w:t>
            </w:r>
          </w:p>
          <w:p w:rsidR="00000000" w:rsidRPr="00086F19" w:rsidP="00086F19">
            <w:pPr>
              <w:pStyle w:val="BodyText"/>
            </w:pPr>
            <w:r w:rsidRPr="00086F19">
              <w:t>These should be part of the formal learning/assessment environment.</w:t>
            </w:r>
          </w:p>
          <w:p w:rsidR="00000000" w:rsidRPr="00086F19" w:rsidP="00086F19">
            <w:pPr>
              <w:pStyle w:val="BodyText"/>
            </w:pPr>
            <w:r w:rsidRPr="00086F19">
              <w:t>Note:</w:t>
            </w:r>
          </w:p>
          <w:p w:rsidR="00000000" w:rsidRPr="00086F19" w:rsidP="00086F19">
            <w:pPr>
              <w:pStyle w:val="BodyText"/>
            </w:pPr>
            <w:r w:rsidRPr="00086F19">
              <w:t>Where simulation is considered a suitable strategy for assessment,</w:t>
            </w:r>
            <w:r w:rsidRPr="00086F19">
              <w:t xml:space="preserve"> the conditions must be authentic and as far as possible reproduce and replicate the workplace and be consistent with the approved industry simulation policy.</w:t>
            </w:r>
          </w:p>
          <w:p w:rsidR="00000000" w:rsidRPr="00086F19" w:rsidP="00086F19">
            <w:pPr>
              <w:pStyle w:val="BodyText"/>
            </w:pPr>
            <w:r w:rsidRPr="00086F19">
              <w:t>The resources used for assessment should reflect current industry practices in relation to solvin</w:t>
            </w:r>
            <w:r w:rsidRPr="00086F19">
              <w:t>g problems in pressure measurement systems.</w:t>
            </w:r>
          </w:p>
        </w:tc>
      </w:tr>
    </w:tbl>
    <w:p w:rsidR="00000000" w:rsidRPr="00086F19" w:rsidP="00086F19">
      <w:pPr>
        <w:pStyle w:val="BodyText"/>
      </w:pPr>
    </w:p>
    <w:tbl>
      <w:tblPr>
        <w:tblW w:w="0" w:type="auto"/>
        <w:tblLayout w:type="fixed"/>
        <w:tblCellMar>
          <w:left w:w="62" w:type="dxa"/>
          <w:right w:w="62" w:type="dxa"/>
        </w:tblCellMar>
        <w:tblLook w:val="0000"/>
      </w:tblPr>
      <w:tblGrid>
        <w:gridCol w:w="1890"/>
        <w:gridCol w:w="6570"/>
      </w:tblGrid>
      <w:tr w:rsidTr="00FC71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9.4)</w:t>
            </w:r>
          </w:p>
        </w:tc>
      </w:tr>
      <w:tr w:rsidTr="00FC71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This unit shall be assessed by methods given in Volume 1, Part 3 ‘Assessment Guidelines’.</w:t>
            </w:r>
          </w:p>
          <w:p w:rsidR="00000000" w:rsidRPr="00086F19" w:rsidP="00086F19">
            <w:pPr>
              <w:pStyle w:val="BodyText"/>
            </w:pPr>
            <w:r w:rsidRPr="00086F19">
              <w:t xml:space="preserve">Note: </w:t>
            </w:r>
          </w:p>
          <w:p w:rsidR="00000000" w:rsidRPr="00086F19" w:rsidP="00086F19">
            <w:pPr>
              <w:pStyle w:val="BodyText"/>
            </w:pPr>
            <w:r w:rsidRPr="00086F19">
              <w:t>Competent performance with inherent safe workin</w:t>
            </w:r>
            <w:r w:rsidRPr="00086F19">
              <w:t>g practices is expected in the Industry to which this unit applies. This requires assessment in a structured environment which is intended primarily for learning/assessment and incorporates all necessary equipment and facilities for learners to develop and</w:t>
            </w:r>
            <w:r w:rsidRPr="00086F19">
              <w:t xml:space="preserve"> demonstrate the essential knowledge and skills described in this unit.</w:t>
            </w:r>
          </w:p>
        </w:tc>
      </w:tr>
    </w:tbl>
    <w:p w:rsidR="00000000" w:rsidRPr="00086F19" w:rsidP="00086F19">
      <w:pPr>
        <w:pStyle w:val="BodyText"/>
      </w:pPr>
    </w:p>
    <w:tbl>
      <w:tblPr>
        <w:tblW w:w="0" w:type="auto"/>
        <w:tblLayout w:type="fixed"/>
        <w:tblCellMar>
          <w:left w:w="62" w:type="dxa"/>
          <w:right w:w="62" w:type="dxa"/>
        </w:tblCellMar>
        <w:tblLook w:val="0000"/>
      </w:tblPr>
      <w:tblGrid>
        <w:gridCol w:w="1890"/>
        <w:gridCol w:w="1530"/>
        <w:gridCol w:w="5040"/>
      </w:tblGrid>
      <w:tr w:rsidTr="00FC71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9.5)</w:t>
            </w:r>
          </w:p>
        </w:tc>
      </w:tr>
      <w:tr w:rsidTr="00FC71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For optimisation of training and assessment effort, competency development in this unit may be arranged concurrently w</w:t>
            </w:r>
            <w:r w:rsidRPr="00086F19">
              <w:t>ith unit:</w:t>
            </w:r>
          </w:p>
        </w:tc>
      </w:tr>
      <w:tr w:rsidTr="00FC71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UEENEEE107A</w:t>
            </w:r>
          </w:p>
        </w:tc>
        <w:tc>
          <w:tcPr>
            <w:tcW w:w="504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Use drawings, diagrams, schedules, standards, codes and specifications</w:t>
            </w:r>
          </w:p>
        </w:tc>
      </w:tr>
      <w:tr w:rsidTr="00FC71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t>UEENEEI107A</w:t>
            </w:r>
          </w:p>
        </w:tc>
        <w:tc>
          <w:tcPr>
            <w:tcW w:w="504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Install instrumentation and control cabling and tubing</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11" w:name="O_516367"/>
      <w:bookmarkEnd w:id="11"/>
      <w:r w:rsidRPr="00086F19">
        <w:t>Range Statement</w:t>
      </w:r>
    </w:p>
    <w:tbl>
      <w:tblPr>
        <w:tblW w:w="0" w:type="auto"/>
        <w:tblLayout w:type="fixed"/>
        <w:tblCellMar>
          <w:left w:w="62" w:type="dxa"/>
          <w:right w:w="62" w:type="dxa"/>
        </w:tblCellMar>
        <w:tblLook w:val="0000"/>
      </w:tblPr>
      <w:tblGrid>
        <w:gridCol w:w="8460"/>
      </w:tblGrid>
      <w:tr w:rsidTr="00FC71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RANGE STATEMENT</w:t>
            </w:r>
          </w:p>
        </w:tc>
      </w:tr>
      <w:tr w:rsidTr="00FC71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10)</w:t>
            </w:r>
            <w:r w:rsidRPr="00086F19">
              <w:t xml:space="preserve"> This relates to the unit as a whole providing the range of contexts and conditions to which the performance criteria apply. It allows for different work environments and situations that will affect performance.</w:t>
            </w:r>
          </w:p>
          <w:p w:rsidR="00000000" w:rsidRPr="00086F19" w:rsidP="00086F19">
            <w:pPr>
              <w:pStyle w:val="BodyText"/>
            </w:pPr>
            <w:r w:rsidRPr="00086F19">
              <w:t>This unit must be demonstrated in relation t</w:t>
            </w:r>
            <w:r w:rsidRPr="00086F19">
              <w:t>o pressure measurement apparatus and systems as they apply to chemical, industrial or medical processes associated with installation, fault finding, maintenance or development work functions, and at least three of the following types of pressure measuremen</w:t>
            </w:r>
            <w:r w:rsidRPr="00086F19">
              <w:t>t problems on at least two occasions:</w:t>
            </w:r>
          </w:p>
          <w:p w:rsidR="00000000" w:rsidRPr="00086F19" w:rsidP="00086F19">
            <w:pPr>
              <w:pStyle w:val="ListBullet3"/>
            </w:pPr>
            <w:r w:rsidRPr="00086F19">
              <w:t>Determining the operating parameters of a pressure measuring system•</w:t>
            </w:r>
          </w:p>
          <w:p w:rsidR="00000000" w:rsidRPr="00086F19" w:rsidP="00086F19">
            <w:pPr>
              <w:pStyle w:val="ListBullet3"/>
            </w:pPr>
            <w:r w:rsidRPr="00086F19">
              <w:t>Setting up and calibrating a pressure measuring system</w:t>
            </w:r>
          </w:p>
          <w:p w:rsidR="00000000" w:rsidRPr="00086F19" w:rsidP="00086F19">
            <w:pPr>
              <w:pStyle w:val="ListBullet3"/>
            </w:pPr>
            <w:r w:rsidRPr="00086F19">
              <w:t>Altering an existing pressure measuring system to comply with specified operating parameters</w:t>
            </w:r>
          </w:p>
          <w:p w:rsidR="00000000" w:rsidRPr="00086F19" w:rsidP="00086F19">
            <w:pPr>
              <w:pStyle w:val="ListBullet3"/>
            </w:pPr>
            <w:r w:rsidRPr="00086F19">
              <w:t>Developing a pressure measuring system to comply with a specified function and operating parameters</w:t>
            </w:r>
          </w:p>
          <w:p w:rsidR="00000000" w:rsidRPr="00086F19" w:rsidP="00086F19">
            <w:pPr>
              <w:pStyle w:val="BodyText"/>
            </w:pPr>
            <w:r w:rsidRPr="00086F19">
              <w:t xml:space="preserve">Generic terms used throughout this Vocational Standard shall be regarded as part of the Range Statement in which competency is demonstrated. The definition </w:t>
            </w:r>
            <w:r w:rsidRPr="00086F19">
              <w:t>of these and other terms that apply are given in Volume 2, Part 2.1.</w:t>
            </w:r>
          </w:p>
        </w:tc>
      </w:tr>
    </w:tbl>
    <w:p w:rsidR="00000000" w:rsidRPr="00086F19" w:rsidP="00086F19">
      <w:pPr>
        <w:pStyle w:val="BodyText"/>
      </w:pPr>
    </w:p>
    <w:p w:rsidR="00000000" w:rsidRPr="00086F19" w:rsidP="00086F19">
      <w:pPr>
        <w:pStyle w:val="AllowPageBreak"/>
      </w:pPr>
    </w:p>
    <w:p w:rsidR="00000000" w:rsidRPr="00086F19" w:rsidP="00086F19">
      <w:pPr>
        <w:pStyle w:val="Heading1"/>
      </w:pPr>
      <w:bookmarkStart w:id="12" w:name="O_516366"/>
      <w:bookmarkEnd w:id="12"/>
      <w:r w:rsidRPr="00086F19">
        <w:t>Unit Sector(s)</w:t>
      </w:r>
    </w:p>
    <w:p w:rsidR="00000000" w:rsidRPr="00086F19" w:rsidP="00086F19">
      <w:pPr>
        <w:pStyle w:val="BodyText"/>
      </w:pPr>
      <w:r w:rsidRPr="00086F19">
        <w:t>Not applicable.</w:t>
      </w:r>
    </w:p>
    <w:p w:rsidR="00000000" w:rsidRPr="00086F19" w:rsidP="00086F19">
      <w:pPr>
        <w:pStyle w:val="AllowPageBreak"/>
      </w:pPr>
    </w:p>
    <w:p w:rsidR="00000000" w:rsidRPr="00086F19" w:rsidP="00086F19">
      <w:pPr>
        <w:pStyle w:val="Heading1"/>
      </w:pPr>
      <w:bookmarkStart w:id="13" w:name="O_516365"/>
      <w:bookmarkEnd w:id="13"/>
      <w:r w:rsidRPr="00086F19">
        <w:t>Competency Field</w:t>
      </w:r>
    </w:p>
    <w:tbl>
      <w:tblPr>
        <w:tblW w:w="0" w:type="auto"/>
        <w:tblLayout w:type="fixed"/>
        <w:tblCellMar>
          <w:left w:w="62" w:type="dxa"/>
          <w:right w:w="62" w:type="dxa"/>
        </w:tblCellMar>
        <w:tblLook w:val="0000"/>
      </w:tblPr>
      <w:tblGrid>
        <w:gridCol w:w="2700"/>
        <w:gridCol w:w="5760"/>
      </w:tblGrid>
      <w:tr w:rsidTr="00FC71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6F19">
            <w:pPr>
              <w:pStyle w:val="BodyText"/>
              <w:rPr>
                <w:lang w:val="en-NZ"/>
              </w:rPr>
            </w:pPr>
            <w:r w:rsidRPr="00086F19">
              <w:rPr>
                <w:rStyle w:val="SpecialBold"/>
              </w:rPr>
              <w:t xml:space="preserve">11) </w:t>
            </w:r>
          </w:p>
        </w:tc>
      </w:tr>
      <w:tr w:rsidTr="00FC71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6F19" w:rsidP="00086F19">
            <w:pPr>
              <w:pStyle w:val="BodyText"/>
            </w:pPr>
            <w:r w:rsidRPr="00086F19">
              <w:t>Instrumentation and Control</w:t>
            </w:r>
          </w:p>
        </w:tc>
      </w:tr>
    </w:tbl>
    <w:p w:rsidR="00000000" w:rsidRPr="00086F19" w:rsidP="00086F19">
      <w:pPr>
        <w:pStyle w:val="BodyText"/>
      </w:pPr>
    </w:p>
    <w:p w:rsidR="00000000" w:rsidRPr="00086F19" w:rsidP="00086F19"/>
    <w:sectPr w:rsidSect="00086F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19" w:rsidRPr="00FC710D" w:rsidP="00FC7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0D" w:rsidP="00086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C710D" w:rsidP="00086F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C710D" w:rsidP="00086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19" w:rsidRPr="00FC710D" w:rsidP="00FC71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0D" w:rsidRPr="002D2AF8" w:rsidP="00086F19">
    <w:pPr>
      <w:pStyle w:val="Header"/>
      <w:framePr w:wrap="around"/>
    </w:pPr>
    <w:r>
      <w:fldChar w:fldCharType="begin"/>
    </w:r>
    <w:r>
      <w:instrText xml:space="preserve"> TITLE   \* MERGEFORMAT </w:instrText>
    </w:r>
    <w:r>
      <w:fldChar w:fldCharType="separate"/>
    </w:r>
    <w:r>
      <w:t>UEENEEI102A Solve problems in pressure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C710D" w:rsidP="00086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8F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69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E7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F19"/>
    <w:pPr>
      <w:spacing w:before="360" w:after="60"/>
      <w:outlineLvl w:val="0"/>
    </w:pPr>
    <w:rPr>
      <w:sz w:val="32"/>
    </w:rPr>
  </w:style>
  <w:style w:type="paragraph" w:styleId="Heading2">
    <w:name w:val="heading 2"/>
    <w:basedOn w:val="HeadingBase"/>
    <w:next w:val="BodyText"/>
    <w:link w:val="Heading2Char"/>
    <w:qFormat/>
    <w:rsid w:val="00086F19"/>
    <w:pPr>
      <w:keepLines/>
      <w:spacing w:before="240" w:after="120"/>
      <w:outlineLvl w:val="1"/>
    </w:pPr>
    <w:rPr>
      <w:sz w:val="28"/>
      <w:szCs w:val="40"/>
    </w:rPr>
  </w:style>
  <w:style w:type="paragraph" w:styleId="Heading3">
    <w:name w:val="heading 3"/>
    <w:basedOn w:val="HeadingBase"/>
    <w:next w:val="BodyText"/>
    <w:link w:val="Heading3Char"/>
    <w:qFormat/>
    <w:rsid w:val="00086F19"/>
    <w:pPr>
      <w:spacing w:before="180" w:after="120"/>
      <w:outlineLvl w:val="2"/>
    </w:pPr>
    <w:rPr>
      <w:spacing w:val="-10"/>
      <w:kern w:val="32"/>
    </w:rPr>
  </w:style>
  <w:style w:type="paragraph" w:styleId="Heading4">
    <w:name w:val="heading 4"/>
    <w:basedOn w:val="HeadingBase"/>
    <w:next w:val="BodyText"/>
    <w:link w:val="Heading4Char"/>
    <w:qFormat/>
    <w:rsid w:val="00086F19"/>
    <w:pPr>
      <w:spacing w:before="160" w:after="120"/>
      <w:outlineLvl w:val="3"/>
    </w:pPr>
    <w:rPr>
      <w:sz w:val="22"/>
    </w:rPr>
  </w:style>
  <w:style w:type="paragraph" w:styleId="Heading5">
    <w:name w:val="heading 5"/>
    <w:basedOn w:val="HeadingBase"/>
    <w:next w:val="Normal"/>
    <w:link w:val="Heading5Char"/>
    <w:qFormat/>
    <w:rsid w:val="00086F19"/>
    <w:pPr>
      <w:spacing w:before="80"/>
      <w:outlineLvl w:val="4"/>
    </w:pPr>
    <w:rPr>
      <w:color w:val="918585"/>
      <w:sz w:val="20"/>
    </w:rPr>
  </w:style>
  <w:style w:type="paragraph" w:styleId="Heading6">
    <w:name w:val="heading 6"/>
    <w:basedOn w:val="HeadingBase"/>
    <w:next w:val="Normal"/>
    <w:link w:val="Heading6Char"/>
    <w:qFormat/>
    <w:rsid w:val="00086F19"/>
    <w:pPr>
      <w:spacing w:before="60"/>
      <w:outlineLvl w:val="5"/>
    </w:pPr>
    <w:rPr>
      <w:color w:val="918585"/>
      <w:sz w:val="20"/>
    </w:rPr>
  </w:style>
  <w:style w:type="paragraph" w:styleId="Heading7">
    <w:name w:val="heading 7"/>
    <w:basedOn w:val="Normal"/>
    <w:next w:val="Normal"/>
    <w:link w:val="Heading7Char"/>
    <w:qFormat/>
    <w:rsid w:val="00086F19"/>
    <w:pPr>
      <w:ind w:left="720"/>
      <w:outlineLvl w:val="6"/>
    </w:pPr>
    <w:rPr>
      <w:i/>
    </w:rPr>
  </w:style>
  <w:style w:type="paragraph" w:styleId="Heading8">
    <w:name w:val="heading 8"/>
    <w:basedOn w:val="Normal"/>
    <w:next w:val="Normal"/>
    <w:link w:val="Heading8Char"/>
    <w:qFormat/>
    <w:rsid w:val="00086F19"/>
    <w:pPr>
      <w:ind w:left="720"/>
      <w:outlineLvl w:val="7"/>
    </w:pPr>
    <w:rPr>
      <w:i/>
    </w:rPr>
  </w:style>
  <w:style w:type="paragraph" w:styleId="Heading9">
    <w:name w:val="heading 9"/>
    <w:basedOn w:val="Normal"/>
    <w:next w:val="Normal"/>
    <w:link w:val="Heading9Char"/>
    <w:qFormat/>
    <w:rsid w:val="00086F19"/>
    <w:pPr>
      <w:ind w:left="720"/>
      <w:outlineLvl w:val="8"/>
    </w:pPr>
    <w:rPr>
      <w:i/>
    </w:rPr>
  </w:style>
  <w:style w:type="character" w:default="1" w:styleId="DefaultParagraphFont">
    <w:name w:val="Default Paragraph Font"/>
    <w:uiPriority w:val="1"/>
    <w:unhideWhenUsed/>
    <w:rsid w:val="00086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F19"/>
  </w:style>
  <w:style w:type="character" w:customStyle="1" w:styleId="Heading1Char">
    <w:name w:val="Heading 1 Char"/>
    <w:basedOn w:val="DefaultParagraphFont"/>
    <w:link w:val="Heading1"/>
    <w:rsid w:val="00086F19"/>
    <w:rPr>
      <w:rFonts w:ascii="Times New Roman" w:eastAsia="Times New Roman" w:hAnsi="Times New Roman" w:cs="Times New Roman"/>
      <w:b/>
      <w:sz w:val="32"/>
      <w:szCs w:val="20"/>
      <w:lang w:eastAsia="en-US"/>
    </w:rPr>
  </w:style>
  <w:style w:type="paragraph" w:styleId="BodyText">
    <w:name w:val="Body Text"/>
    <w:basedOn w:val="Normal"/>
    <w:link w:val="BodyTextChar"/>
    <w:rsid w:val="00086F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F19"/>
    <w:rPr>
      <w:rFonts w:ascii="Times New Roman" w:eastAsia="Times New Roman" w:hAnsi="Times New Roman" w:cs="Times New Roman"/>
      <w:sz w:val="24"/>
      <w:lang w:eastAsia="en-US"/>
    </w:rPr>
  </w:style>
  <w:style w:type="paragraph" w:styleId="ListBullet">
    <w:name w:val="List Bullet"/>
    <w:basedOn w:val="List"/>
    <w:rsid w:val="00086F19"/>
    <w:pPr>
      <w:numPr>
        <w:numId w:val="14"/>
      </w:numPr>
      <w:tabs>
        <w:tab w:val="clear" w:pos="340"/>
      </w:tabs>
      <w:spacing w:before="40" w:after="40"/>
    </w:pPr>
  </w:style>
  <w:style w:type="character" w:customStyle="1" w:styleId="SpecialBold">
    <w:name w:val="Special Bold"/>
    <w:basedOn w:val="DefaultParagraphFont"/>
    <w:rsid w:val="00086F19"/>
    <w:rPr>
      <w:b/>
      <w:spacing w:val="0"/>
    </w:rPr>
  </w:style>
  <w:style w:type="paragraph" w:styleId="ListBullet2">
    <w:name w:val="List Bullet 2"/>
    <w:basedOn w:val="List2"/>
    <w:rsid w:val="00086F19"/>
    <w:pPr>
      <w:numPr>
        <w:numId w:val="15"/>
      </w:numPr>
      <w:tabs>
        <w:tab w:val="clear" w:pos="680"/>
      </w:tabs>
    </w:pPr>
  </w:style>
  <w:style w:type="paragraph" w:customStyle="1" w:styleId="SuperHeading">
    <w:name w:val="SuperHeading"/>
    <w:basedOn w:val="Normal"/>
    <w:rsid w:val="00086F19"/>
    <w:pPr>
      <w:spacing w:before="240" w:after="120"/>
      <w:outlineLvl w:val="0"/>
    </w:pPr>
    <w:rPr>
      <w:rFonts w:ascii="Times New Roman" w:hAnsi="Times New Roman"/>
      <w:b/>
      <w:sz w:val="32"/>
    </w:rPr>
  </w:style>
  <w:style w:type="paragraph" w:customStyle="1" w:styleId="AllowPageBreak">
    <w:name w:val="AllowPageBreak"/>
    <w:rsid w:val="00086F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6F19"/>
    <w:pPr>
      <w:numPr>
        <w:numId w:val="3"/>
      </w:numPr>
      <w:tabs>
        <w:tab w:val="clear" w:pos="1021"/>
      </w:tabs>
      <w:ind w:left="1037" w:hanging="357"/>
    </w:pPr>
  </w:style>
  <w:style w:type="character" w:customStyle="1" w:styleId="Heading2Char">
    <w:name w:val="Heading 2 Char"/>
    <w:basedOn w:val="DefaultParagraphFont"/>
    <w:link w:val="Heading2"/>
    <w:rsid w:val="00086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F19"/>
    <w:rPr>
      <w:rFonts w:ascii="Courier New" w:eastAsia="Times New Roman" w:hAnsi="Courier New" w:cs="Times New Roman"/>
      <w:i/>
      <w:szCs w:val="20"/>
      <w:lang w:eastAsia="en-US"/>
    </w:rPr>
  </w:style>
  <w:style w:type="paragraph" w:customStyle="1" w:styleId="HeadingBase">
    <w:name w:val="Heading Base"/>
    <w:rsid w:val="00086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F19"/>
    <w:pPr>
      <w:tabs>
        <w:tab w:val="right" w:leader="dot" w:pos="9072"/>
      </w:tabs>
      <w:ind w:left="567"/>
    </w:pPr>
    <w:rPr>
      <w:szCs w:val="22"/>
    </w:rPr>
  </w:style>
  <w:style w:type="paragraph" w:customStyle="1" w:styleId="TOCBase">
    <w:name w:val="TOC Base"/>
    <w:rsid w:val="00086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F19"/>
    <w:pPr>
      <w:tabs>
        <w:tab w:val="right" w:leader="dot" w:pos="9072"/>
      </w:tabs>
      <w:spacing w:before="40" w:after="40"/>
      <w:ind w:left="284"/>
    </w:pPr>
    <w:rPr>
      <w:rFonts w:ascii="Times New Roman" w:hAnsi="Times New Roman"/>
    </w:rPr>
  </w:style>
  <w:style w:type="paragraph" w:styleId="TOC1">
    <w:name w:val="toc 1"/>
    <w:basedOn w:val="TOCBase"/>
    <w:next w:val="Normal"/>
    <w:rsid w:val="00086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F19"/>
    <w:rPr>
      <w:rFonts w:ascii="Times New Roman" w:eastAsia="Times New Roman" w:hAnsi="Times New Roman" w:cs="Times New Roman"/>
      <w:sz w:val="16"/>
      <w:lang w:eastAsia="en-US"/>
    </w:rPr>
  </w:style>
  <w:style w:type="paragraph" w:styleId="Title">
    <w:name w:val="Title"/>
    <w:basedOn w:val="HeadingBase"/>
    <w:link w:val="TitleChar"/>
    <w:qFormat/>
    <w:rsid w:val="00086F19"/>
    <w:pPr>
      <w:spacing w:before="5040"/>
      <w:jc w:val="center"/>
    </w:pPr>
    <w:rPr>
      <w:sz w:val="48"/>
      <w:szCs w:val="72"/>
      <w:lang w:val="en-US"/>
    </w:rPr>
  </w:style>
  <w:style w:type="character" w:customStyle="1" w:styleId="TitleChar">
    <w:name w:val="Title Char"/>
    <w:basedOn w:val="DefaultParagraphFont"/>
    <w:link w:val="Title"/>
    <w:rsid w:val="00086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F19"/>
    <w:pPr>
      <w:tabs>
        <w:tab w:val="left" w:pos="3600"/>
        <w:tab w:val="left" w:pos="3958"/>
      </w:tabs>
    </w:pPr>
  </w:style>
  <w:style w:type="paragraph" w:styleId="List">
    <w:name w:val="List"/>
    <w:basedOn w:val="BodyText"/>
    <w:next w:val="BodyText"/>
    <w:rsid w:val="00086F19"/>
    <w:pPr>
      <w:tabs>
        <w:tab w:val="left" w:pos="340"/>
      </w:tabs>
      <w:spacing w:before="60" w:after="60"/>
      <w:ind w:left="340" w:hanging="340"/>
    </w:pPr>
  </w:style>
  <w:style w:type="paragraph" w:customStyle="1" w:styleId="Note">
    <w:name w:val="Note"/>
    <w:basedOn w:val="BodyText"/>
    <w:rsid w:val="00086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F19"/>
    <w:pPr>
      <w:framePr w:wrap="auto" w:hAnchor="text" w:y="6049"/>
    </w:pPr>
    <w:rPr>
      <w:color w:val="000000"/>
      <w:sz w:val="40"/>
    </w:rPr>
  </w:style>
  <w:style w:type="paragraph" w:customStyle="1" w:styleId="TOCTitle">
    <w:name w:val="TOCTitle"/>
    <w:basedOn w:val="Heading1"/>
    <w:rsid w:val="00086F19"/>
    <w:pPr>
      <w:spacing w:after="240"/>
      <w:jc w:val="center"/>
      <w:outlineLvl w:val="9"/>
    </w:pPr>
    <w:rPr>
      <w:caps/>
    </w:rPr>
  </w:style>
  <w:style w:type="paragraph" w:customStyle="1" w:styleId="Version">
    <w:name w:val="Version"/>
    <w:rsid w:val="00086F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F19"/>
    <w:pPr>
      <w:keepNext w:val="0"/>
      <w:tabs>
        <w:tab w:val="right" w:pos="4176"/>
      </w:tabs>
      <w:ind w:left="198" w:hanging="198"/>
    </w:pPr>
    <w:rPr>
      <w:rFonts w:ascii="Garamond" w:hAnsi="Garamond"/>
    </w:rPr>
  </w:style>
  <w:style w:type="paragraph" w:styleId="IndexHeading">
    <w:name w:val="index heading"/>
    <w:basedOn w:val="Normal"/>
    <w:next w:val="Index1"/>
    <w:semiHidden/>
    <w:rsid w:val="00086F19"/>
    <w:pPr>
      <w:spacing w:before="120" w:after="120"/>
    </w:pPr>
    <w:rPr>
      <w:rFonts w:ascii="Arial" w:hAnsi="Arial"/>
      <w:b/>
      <w:color w:val="918585"/>
      <w:sz w:val="24"/>
    </w:rPr>
  </w:style>
  <w:style w:type="paragraph" w:styleId="Header">
    <w:name w:val="header"/>
    <w:basedOn w:val="Normal"/>
    <w:link w:val="HeaderChar"/>
    <w:rsid w:val="00086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F19"/>
    <w:rPr>
      <w:rFonts w:ascii="Times New Roman" w:eastAsia="Times New Roman" w:hAnsi="Times New Roman" w:cs="Times New Roman"/>
      <w:sz w:val="16"/>
      <w:szCs w:val="20"/>
      <w:lang w:val="en-GB" w:eastAsia="en-US"/>
    </w:rPr>
  </w:style>
  <w:style w:type="paragraph" w:customStyle="1" w:styleId="Chapter">
    <w:name w:val="Chapter"/>
    <w:basedOn w:val="Normal"/>
    <w:rsid w:val="00086F19"/>
    <w:pPr>
      <w:spacing w:before="240"/>
    </w:pPr>
    <w:rPr>
      <w:rFonts w:ascii="Times New Roman" w:hAnsi="Times New Roman"/>
      <w:smallCaps/>
      <w:spacing w:val="80"/>
      <w:sz w:val="28"/>
    </w:rPr>
  </w:style>
  <w:style w:type="paragraph" w:customStyle="1" w:styleId="InChapter">
    <w:name w:val="InChapter"/>
    <w:basedOn w:val="Heading3"/>
    <w:rsid w:val="00086F19"/>
    <w:pPr>
      <w:spacing w:after="240"/>
      <w:outlineLvl w:val="9"/>
    </w:pPr>
    <w:rPr>
      <w:noProof/>
    </w:rPr>
  </w:style>
  <w:style w:type="paragraph" w:styleId="Index2">
    <w:name w:val="index 2"/>
    <w:basedOn w:val="Normal"/>
    <w:next w:val="Normal"/>
    <w:semiHidden/>
    <w:rsid w:val="00086F19"/>
    <w:pPr>
      <w:tabs>
        <w:tab w:val="right" w:pos="4176"/>
      </w:tabs>
      <w:ind w:left="568" w:hanging="284"/>
    </w:pPr>
    <w:rPr>
      <w:rFonts w:ascii="Garamond" w:hAnsi="Garamond"/>
    </w:rPr>
  </w:style>
  <w:style w:type="paragraph" w:customStyle="1" w:styleId="Byline">
    <w:name w:val="Byline"/>
    <w:rsid w:val="00086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F19"/>
    <w:pPr>
      <w:tabs>
        <w:tab w:val="clear" w:pos="3600"/>
        <w:tab w:val="clear" w:pos="3958"/>
      </w:tabs>
      <w:jc w:val="right"/>
    </w:pPr>
  </w:style>
  <w:style w:type="character" w:styleId="Emphasis">
    <w:name w:val="Emphasis"/>
    <w:basedOn w:val="DefaultParagraphFont"/>
    <w:qFormat/>
    <w:rsid w:val="00086F19"/>
    <w:rPr>
      <w:i/>
    </w:rPr>
  </w:style>
  <w:style w:type="paragraph" w:styleId="Caption">
    <w:name w:val="caption"/>
    <w:basedOn w:val="BodyText"/>
    <w:next w:val="Normal"/>
    <w:qFormat/>
    <w:rsid w:val="00086F19"/>
    <w:pPr>
      <w:framePr w:w="2268" w:hSpace="181" w:vSpace="181" w:wrap="around" w:vAnchor="text" w:hAnchor="page" w:x="1135" w:y="285" w:anchorLock="1"/>
    </w:pPr>
    <w:rPr>
      <w:i/>
    </w:rPr>
  </w:style>
  <w:style w:type="paragraph" w:customStyle="1" w:styleId="MiniTOCTitle">
    <w:name w:val="MiniTOCTitle"/>
    <w:basedOn w:val="Heading4"/>
    <w:rsid w:val="00086F19"/>
    <w:pPr>
      <w:spacing w:before="240"/>
      <w:outlineLvl w:val="9"/>
    </w:pPr>
    <w:rPr>
      <w:noProof/>
      <w:sz w:val="24"/>
    </w:rPr>
  </w:style>
  <w:style w:type="paragraph" w:customStyle="1" w:styleId="MiniTOCItem">
    <w:name w:val="MiniTOCItem"/>
    <w:basedOn w:val="ListBullet"/>
    <w:rsid w:val="00086F19"/>
    <w:pPr>
      <w:numPr>
        <w:numId w:val="0"/>
      </w:numPr>
      <w:tabs>
        <w:tab w:val="right" w:leader="dot" w:pos="6521"/>
      </w:tabs>
      <w:spacing w:before="0" w:after="0"/>
    </w:pPr>
  </w:style>
  <w:style w:type="paragraph" w:customStyle="1" w:styleId="TOFTitle">
    <w:name w:val="TOFTitle"/>
    <w:basedOn w:val="TOCTitle"/>
    <w:rsid w:val="00086F19"/>
  </w:style>
  <w:style w:type="paragraph" w:styleId="TableofFigures">
    <w:name w:val="table of figures"/>
    <w:basedOn w:val="Normal"/>
    <w:next w:val="Normal"/>
    <w:semiHidden/>
    <w:rsid w:val="00086F19"/>
    <w:pPr>
      <w:tabs>
        <w:tab w:val="right" w:leader="dot" w:pos="9072"/>
      </w:tabs>
      <w:ind w:left="970" w:hanging="403"/>
    </w:pPr>
    <w:rPr>
      <w:rFonts w:ascii="Times New Roman" w:hAnsi="Times New Roman"/>
      <w:b/>
    </w:rPr>
  </w:style>
  <w:style w:type="paragraph" w:styleId="ListNumber">
    <w:name w:val="List Number"/>
    <w:basedOn w:val="List"/>
    <w:rsid w:val="00086F19"/>
    <w:pPr>
      <w:numPr>
        <w:numId w:val="12"/>
      </w:numPr>
    </w:pPr>
  </w:style>
  <w:style w:type="character" w:customStyle="1" w:styleId="WingdingSymbols">
    <w:name w:val="Wingding Symbols"/>
    <w:rsid w:val="00086F19"/>
    <w:rPr>
      <w:rFonts w:ascii="Wingdings" w:hAnsi="Wingdings"/>
    </w:rPr>
  </w:style>
  <w:style w:type="paragraph" w:customStyle="1" w:styleId="TableHeading">
    <w:name w:val="Table Heading"/>
    <w:basedOn w:val="HeadingBase"/>
    <w:rsid w:val="00086F19"/>
    <w:pPr>
      <w:keepLines/>
      <w:pBdr>
        <w:bottom w:val="single" w:sz="6" w:space="1" w:color="918585"/>
      </w:pBdr>
      <w:spacing w:before="240"/>
    </w:pPr>
  </w:style>
  <w:style w:type="character" w:customStyle="1" w:styleId="HotSpot">
    <w:name w:val="HotSpot"/>
    <w:rsid w:val="00086F19"/>
    <w:rPr>
      <w:color w:val="0033CC"/>
      <w:u w:val="none"/>
    </w:rPr>
  </w:style>
  <w:style w:type="paragraph" w:customStyle="1" w:styleId="BodyTextRight">
    <w:name w:val="Body Text Right"/>
    <w:basedOn w:val="BodyText"/>
    <w:rsid w:val="00086F19"/>
    <w:pPr>
      <w:spacing w:before="0" w:after="0"/>
      <w:jc w:val="right"/>
    </w:pPr>
  </w:style>
  <w:style w:type="paragraph" w:styleId="Index3">
    <w:name w:val="index 3"/>
    <w:basedOn w:val="ListNumber2"/>
    <w:next w:val="Normal"/>
    <w:semiHidden/>
    <w:rsid w:val="00086F19"/>
    <w:pPr>
      <w:numPr>
        <w:numId w:val="0"/>
      </w:numPr>
      <w:tabs>
        <w:tab w:val="right" w:leader="dot" w:pos="4176"/>
      </w:tabs>
    </w:pPr>
  </w:style>
  <w:style w:type="paragraph" w:styleId="ListNumber2">
    <w:name w:val="List Number 2"/>
    <w:basedOn w:val="List2"/>
    <w:rsid w:val="00086F19"/>
    <w:pPr>
      <w:numPr>
        <w:numId w:val="11"/>
      </w:numPr>
      <w:tabs>
        <w:tab w:val="clear" w:pos="1060"/>
      </w:tabs>
    </w:pPr>
  </w:style>
  <w:style w:type="paragraph" w:customStyle="1" w:styleId="MarginNote">
    <w:name w:val="Margin Note"/>
    <w:basedOn w:val="BodyText"/>
    <w:rsid w:val="00086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F19"/>
    <w:rPr>
      <w:sz w:val="32"/>
    </w:rPr>
  </w:style>
  <w:style w:type="paragraph" w:customStyle="1" w:styleId="HeadingProcedure">
    <w:name w:val="Heading Procedure"/>
    <w:basedOn w:val="HeadingBase"/>
    <w:next w:val="Normal"/>
    <w:rsid w:val="00086F19"/>
    <w:pPr>
      <w:tabs>
        <w:tab w:val="left" w:pos="0"/>
      </w:tabs>
      <w:spacing w:before="120" w:after="60"/>
    </w:pPr>
    <w:rPr>
      <w:i/>
      <w:color w:val="918585"/>
      <w:sz w:val="22"/>
    </w:rPr>
  </w:style>
  <w:style w:type="paragraph" w:customStyle="1" w:styleId="TableBodyText">
    <w:name w:val="Table Body Text"/>
    <w:basedOn w:val="BodyText"/>
    <w:rsid w:val="00086F19"/>
    <w:pPr>
      <w:spacing w:before="60" w:after="60"/>
    </w:pPr>
  </w:style>
  <w:style w:type="paragraph" w:styleId="ListContinue">
    <w:name w:val="List Continue"/>
    <w:basedOn w:val="List"/>
    <w:rsid w:val="00086F19"/>
    <w:pPr>
      <w:ind w:firstLine="0"/>
    </w:pPr>
  </w:style>
  <w:style w:type="paragraph" w:customStyle="1" w:styleId="ListNote">
    <w:name w:val="List Note"/>
    <w:basedOn w:val="List"/>
    <w:rsid w:val="00086F19"/>
    <w:pPr>
      <w:pBdr>
        <w:top w:val="single" w:sz="6" w:space="2" w:color="918585"/>
        <w:bottom w:val="single" w:sz="6" w:space="2" w:color="918585"/>
      </w:pBdr>
      <w:tabs>
        <w:tab w:val="left" w:pos="1021"/>
      </w:tabs>
      <w:ind w:firstLine="0"/>
    </w:pPr>
  </w:style>
  <w:style w:type="paragraph" w:customStyle="1" w:styleId="Warning">
    <w:name w:val="Warning"/>
    <w:basedOn w:val="BodyText"/>
    <w:rsid w:val="00086F19"/>
    <w:pPr>
      <w:shd w:val="clear" w:color="auto" w:fill="D9D9D9"/>
      <w:tabs>
        <w:tab w:val="left" w:pos="992"/>
      </w:tabs>
      <w:ind w:left="119" w:right="119"/>
    </w:pPr>
    <w:rPr>
      <w:sz w:val="20"/>
    </w:rPr>
  </w:style>
  <w:style w:type="paragraph" w:customStyle="1" w:styleId="MarginIcons">
    <w:name w:val="Margin Icons"/>
    <w:basedOn w:val="BodyText"/>
    <w:rsid w:val="00086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F19"/>
    <w:rPr>
      <w:rFonts w:ascii="Courier New" w:hAnsi="Courier New"/>
    </w:rPr>
  </w:style>
  <w:style w:type="paragraph" w:customStyle="1" w:styleId="NoteBullet">
    <w:name w:val="Note Bullet"/>
    <w:basedOn w:val="Note"/>
    <w:rsid w:val="00086F19"/>
    <w:pPr>
      <w:tabs>
        <w:tab w:val="clear" w:pos="680"/>
      </w:tabs>
      <w:spacing w:before="60" w:after="60"/>
    </w:pPr>
  </w:style>
  <w:style w:type="paragraph" w:customStyle="1" w:styleId="SubHeading2">
    <w:name w:val="SubHeading2"/>
    <w:basedOn w:val="HeadingBase"/>
    <w:rsid w:val="00086F19"/>
    <w:pPr>
      <w:spacing w:before="240" w:after="60"/>
    </w:pPr>
    <w:rPr>
      <w:sz w:val="20"/>
    </w:rPr>
  </w:style>
  <w:style w:type="paragraph" w:customStyle="1" w:styleId="SubHeading1">
    <w:name w:val="SubHeading1"/>
    <w:basedOn w:val="HeadingBase"/>
    <w:rsid w:val="00086F19"/>
    <w:pPr>
      <w:spacing w:before="240" w:after="60"/>
    </w:pPr>
    <w:rPr>
      <w:color w:val="918585"/>
      <w:sz w:val="22"/>
    </w:rPr>
  </w:style>
  <w:style w:type="paragraph" w:customStyle="1" w:styleId="SideHeading">
    <w:name w:val="Side Heading"/>
    <w:basedOn w:val="HeadingBase"/>
    <w:rsid w:val="00086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F19"/>
    <w:pPr>
      <w:numPr>
        <w:numId w:val="13"/>
      </w:numPr>
    </w:pPr>
  </w:style>
  <w:style w:type="paragraph" w:styleId="PlainText">
    <w:name w:val="Plain Text"/>
    <w:basedOn w:val="Normal"/>
    <w:link w:val="PlainTextChar"/>
    <w:rsid w:val="00086F19"/>
    <w:rPr>
      <w:sz w:val="20"/>
    </w:rPr>
  </w:style>
  <w:style w:type="character" w:customStyle="1" w:styleId="PlainTextChar">
    <w:name w:val="Plain Text Char"/>
    <w:basedOn w:val="DefaultParagraphFont"/>
    <w:link w:val="PlainText"/>
    <w:rsid w:val="00086F19"/>
    <w:rPr>
      <w:rFonts w:ascii="Courier New" w:eastAsia="Times New Roman" w:hAnsi="Courier New" w:cs="Times New Roman"/>
      <w:sz w:val="20"/>
      <w:szCs w:val="20"/>
      <w:lang w:eastAsia="en-US"/>
    </w:rPr>
  </w:style>
  <w:style w:type="character" w:customStyle="1" w:styleId="MenuOption">
    <w:name w:val="Menu Option"/>
    <w:basedOn w:val="DefaultParagraphFont"/>
    <w:rsid w:val="00086F19"/>
    <w:rPr>
      <w:b/>
      <w:smallCaps/>
    </w:rPr>
  </w:style>
  <w:style w:type="paragraph" w:customStyle="1" w:styleId="TableListNumber">
    <w:name w:val="Table List Number"/>
    <w:basedOn w:val="ListNumber"/>
    <w:rsid w:val="00086F19"/>
    <w:pPr>
      <w:numPr>
        <w:numId w:val="0"/>
      </w:numPr>
    </w:pPr>
  </w:style>
  <w:style w:type="paragraph" w:styleId="TOC4">
    <w:name w:val="toc 4"/>
    <w:basedOn w:val="TOCBase"/>
    <w:next w:val="Normal"/>
    <w:semiHidden/>
    <w:rsid w:val="00086F19"/>
    <w:pPr>
      <w:tabs>
        <w:tab w:val="right" w:leader="dot" w:pos="9071"/>
      </w:tabs>
      <w:ind w:left="1701"/>
    </w:pPr>
  </w:style>
  <w:style w:type="paragraph" w:customStyle="1" w:styleId="ListAlpha">
    <w:name w:val="List Alpha"/>
    <w:basedOn w:val="List"/>
    <w:rsid w:val="00086F19"/>
    <w:pPr>
      <w:numPr>
        <w:numId w:val="10"/>
      </w:numPr>
    </w:pPr>
  </w:style>
  <w:style w:type="paragraph" w:customStyle="1" w:styleId="ListAlpha2">
    <w:name w:val="List Alpha 2"/>
    <w:basedOn w:val="List2"/>
    <w:rsid w:val="00086F19"/>
    <w:pPr>
      <w:numPr>
        <w:numId w:val="9"/>
      </w:numPr>
    </w:pPr>
  </w:style>
  <w:style w:type="paragraph" w:styleId="List2">
    <w:name w:val="List 2"/>
    <w:basedOn w:val="BodyText"/>
    <w:rsid w:val="00086F19"/>
    <w:pPr>
      <w:tabs>
        <w:tab w:val="left" w:pos="680"/>
      </w:tabs>
      <w:spacing w:before="60" w:after="60"/>
      <w:ind w:left="680" w:hanging="340"/>
    </w:pPr>
  </w:style>
  <w:style w:type="paragraph" w:styleId="List3">
    <w:name w:val="List 3"/>
    <w:basedOn w:val="BodyText"/>
    <w:rsid w:val="00086F19"/>
    <w:pPr>
      <w:tabs>
        <w:tab w:val="left" w:pos="1021"/>
      </w:tabs>
      <w:spacing w:before="60" w:after="60"/>
      <w:ind w:left="1020" w:hanging="340"/>
    </w:pPr>
  </w:style>
  <w:style w:type="paragraph" w:styleId="List4">
    <w:name w:val="List 4"/>
    <w:basedOn w:val="BodyText"/>
    <w:rsid w:val="00086F19"/>
    <w:pPr>
      <w:tabs>
        <w:tab w:val="left" w:pos="1361"/>
      </w:tabs>
      <w:spacing w:before="60" w:after="60"/>
      <w:ind w:left="1361" w:hanging="340"/>
    </w:pPr>
  </w:style>
  <w:style w:type="paragraph" w:styleId="List5">
    <w:name w:val="List 5"/>
    <w:basedOn w:val="BodyText"/>
    <w:rsid w:val="00086F19"/>
    <w:pPr>
      <w:tabs>
        <w:tab w:val="left" w:pos="1701"/>
      </w:tabs>
      <w:spacing w:before="60" w:after="60"/>
      <w:ind w:left="1701" w:hanging="340"/>
    </w:pPr>
  </w:style>
  <w:style w:type="paragraph" w:styleId="ListBullet4">
    <w:name w:val="List Bullet 4"/>
    <w:basedOn w:val="List4"/>
    <w:rsid w:val="00086F19"/>
    <w:pPr>
      <w:numPr>
        <w:numId w:val="4"/>
      </w:numPr>
    </w:pPr>
  </w:style>
  <w:style w:type="paragraph" w:styleId="ListBullet5">
    <w:name w:val="List Bullet 5"/>
    <w:basedOn w:val="List5"/>
    <w:rsid w:val="00086F19"/>
    <w:pPr>
      <w:numPr>
        <w:numId w:val="5"/>
      </w:numPr>
    </w:pPr>
  </w:style>
  <w:style w:type="paragraph" w:styleId="ListContinue2">
    <w:name w:val="List Continue 2"/>
    <w:basedOn w:val="List2"/>
    <w:rsid w:val="00086F19"/>
    <w:pPr>
      <w:ind w:firstLine="0"/>
    </w:pPr>
  </w:style>
  <w:style w:type="paragraph" w:styleId="ListContinue3">
    <w:name w:val="List Continue 3"/>
    <w:basedOn w:val="List3"/>
    <w:rsid w:val="00086F19"/>
    <w:pPr>
      <w:ind w:left="1021" w:firstLine="0"/>
    </w:pPr>
  </w:style>
  <w:style w:type="paragraph" w:styleId="ListContinue4">
    <w:name w:val="List Continue 4"/>
    <w:basedOn w:val="List4"/>
    <w:rsid w:val="00086F19"/>
    <w:pPr>
      <w:ind w:firstLine="0"/>
    </w:pPr>
  </w:style>
  <w:style w:type="paragraph" w:styleId="ListContinue5">
    <w:name w:val="List Continue 5"/>
    <w:basedOn w:val="List5"/>
    <w:rsid w:val="00086F19"/>
    <w:pPr>
      <w:ind w:firstLine="0"/>
    </w:pPr>
  </w:style>
  <w:style w:type="paragraph" w:styleId="ListNumber3">
    <w:name w:val="List Number 3"/>
    <w:basedOn w:val="List3"/>
    <w:rsid w:val="00086F19"/>
    <w:pPr>
      <w:numPr>
        <w:numId w:val="6"/>
      </w:numPr>
    </w:pPr>
  </w:style>
  <w:style w:type="paragraph" w:styleId="ListNumber4">
    <w:name w:val="List Number 4"/>
    <w:basedOn w:val="List4"/>
    <w:rsid w:val="00086F19"/>
    <w:pPr>
      <w:numPr>
        <w:numId w:val="7"/>
      </w:numPr>
    </w:pPr>
  </w:style>
  <w:style w:type="paragraph" w:styleId="ListNumber5">
    <w:name w:val="List Number 5"/>
    <w:basedOn w:val="List5"/>
    <w:rsid w:val="00086F19"/>
    <w:pPr>
      <w:numPr>
        <w:numId w:val="8"/>
      </w:numPr>
    </w:pPr>
  </w:style>
  <w:style w:type="paragraph" w:styleId="BlockText">
    <w:name w:val="Block Text"/>
    <w:basedOn w:val="Normal"/>
    <w:rsid w:val="00086F19"/>
    <w:pPr>
      <w:spacing w:after="120"/>
      <w:ind w:left="1440" w:right="1440"/>
    </w:pPr>
  </w:style>
  <w:style w:type="character" w:customStyle="1" w:styleId="Subscript">
    <w:name w:val="Subscript"/>
    <w:basedOn w:val="DefaultParagraphFont"/>
    <w:rsid w:val="00086F19"/>
    <w:rPr>
      <w:sz w:val="16"/>
      <w:vertAlign w:val="subscript"/>
    </w:rPr>
  </w:style>
  <w:style w:type="character" w:customStyle="1" w:styleId="Superscript">
    <w:name w:val="Superscript"/>
    <w:basedOn w:val="DefaultParagraphFont"/>
    <w:rsid w:val="00086F19"/>
    <w:rPr>
      <w:sz w:val="16"/>
      <w:vertAlign w:val="superscript"/>
    </w:rPr>
  </w:style>
  <w:style w:type="character" w:customStyle="1" w:styleId="Symbols">
    <w:name w:val="Symbols"/>
    <w:basedOn w:val="DefaultParagraphFont"/>
    <w:rsid w:val="00086F19"/>
    <w:rPr>
      <w:rFonts w:ascii="Symbol" w:hAnsi="Symbol"/>
    </w:rPr>
  </w:style>
  <w:style w:type="character" w:customStyle="1" w:styleId="MenuOptions">
    <w:name w:val="Menu Options"/>
    <w:basedOn w:val="DefaultParagraphFont"/>
    <w:rsid w:val="00086F19"/>
    <w:rPr>
      <w:rFonts w:ascii="Arial Narrow" w:hAnsi="Arial Narrow"/>
      <w:smallCaps/>
    </w:rPr>
  </w:style>
  <w:style w:type="character" w:customStyle="1" w:styleId="Buttons">
    <w:name w:val="Buttons"/>
    <w:basedOn w:val="DefaultParagraphFont"/>
    <w:rsid w:val="00086F19"/>
    <w:rPr>
      <w:b/>
    </w:rPr>
  </w:style>
  <w:style w:type="character" w:customStyle="1" w:styleId="Underlined">
    <w:name w:val="Underlined"/>
    <w:basedOn w:val="DefaultParagraphFont"/>
    <w:rsid w:val="00086F19"/>
    <w:rPr>
      <w:u w:val="single"/>
    </w:rPr>
  </w:style>
  <w:style w:type="paragraph" w:customStyle="1" w:styleId="TableBodyTextRight">
    <w:name w:val="Table Body Text Right"/>
    <w:basedOn w:val="TableBodyText"/>
    <w:rsid w:val="00086F19"/>
    <w:pPr>
      <w:widowControl w:val="0"/>
      <w:autoSpaceDE w:val="0"/>
      <w:autoSpaceDN w:val="0"/>
      <w:adjustRightInd w:val="0"/>
      <w:jc w:val="right"/>
    </w:pPr>
    <w:rPr>
      <w:rFonts w:cs="Arial"/>
      <w:szCs w:val="18"/>
    </w:rPr>
  </w:style>
  <w:style w:type="paragraph" w:customStyle="1" w:styleId="CopyrightText">
    <w:name w:val="Copyright Text"/>
    <w:basedOn w:val="BodyText"/>
    <w:rsid w:val="00086F19"/>
    <w:rPr>
      <w:sz w:val="18"/>
    </w:rPr>
  </w:style>
  <w:style w:type="paragraph" w:customStyle="1" w:styleId="BodySmallRight">
    <w:name w:val="Body Small Right"/>
    <w:basedOn w:val="BodyTextRight"/>
    <w:rsid w:val="00086F19"/>
    <w:rPr>
      <w:sz w:val="18"/>
      <w:szCs w:val="18"/>
    </w:rPr>
  </w:style>
  <w:style w:type="paragraph" w:customStyle="1" w:styleId="MarginEdition">
    <w:name w:val="Margin Edition"/>
    <w:basedOn w:val="MarginNote"/>
    <w:rsid w:val="00086F19"/>
    <w:pPr>
      <w:spacing w:before="0" w:after="0"/>
    </w:pPr>
    <w:rPr>
      <w:rFonts w:ascii="Times New Roman" w:hAnsi="Times New Roman"/>
      <w:color w:val="999999"/>
    </w:rPr>
  </w:style>
  <w:style w:type="paragraph" w:customStyle="1" w:styleId="Spacer">
    <w:name w:val="Spacer"/>
    <w:basedOn w:val="Normal"/>
    <w:rsid w:val="00086F19"/>
    <w:rPr>
      <w:sz w:val="2"/>
      <w:szCs w:val="2"/>
    </w:rPr>
  </w:style>
  <w:style w:type="character" w:customStyle="1" w:styleId="Small">
    <w:name w:val="Small"/>
    <w:basedOn w:val="DefaultParagraphFont"/>
    <w:rsid w:val="00086F19"/>
    <w:rPr>
      <w:sz w:val="16"/>
    </w:rPr>
  </w:style>
  <w:style w:type="paragraph" w:customStyle="1" w:styleId="WideTable">
    <w:name w:val="Wide Table"/>
    <w:basedOn w:val="Normal"/>
    <w:rsid w:val="00086F19"/>
    <w:pPr>
      <w:ind w:left="-1418"/>
    </w:pPr>
    <w:rPr>
      <w:sz w:val="2"/>
      <w:szCs w:val="2"/>
    </w:rPr>
  </w:style>
  <w:style w:type="character" w:styleId="PageNumber">
    <w:name w:val="page number"/>
    <w:basedOn w:val="DefaultParagraphFont"/>
    <w:rsid w:val="00086F19"/>
  </w:style>
  <w:style w:type="paragraph" w:styleId="Quote">
    <w:name w:val="Quote"/>
    <w:basedOn w:val="Heading1"/>
    <w:link w:val="QuoteChar"/>
    <w:qFormat/>
    <w:rsid w:val="00086F19"/>
    <w:rPr>
      <w:b w:val="0"/>
      <w:sz w:val="72"/>
      <w:szCs w:val="72"/>
      <w:lang w:val="en-NZ"/>
    </w:rPr>
  </w:style>
  <w:style w:type="character" w:customStyle="1" w:styleId="QuoteChar">
    <w:name w:val="Quote Char"/>
    <w:basedOn w:val="DefaultParagraphFont"/>
    <w:link w:val="Quote"/>
    <w:rsid w:val="00086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F19"/>
    <w:pPr>
      <w:pageBreakBefore/>
    </w:pPr>
  </w:style>
  <w:style w:type="paragraph" w:customStyle="1" w:styleId="Border">
    <w:name w:val="Border"/>
    <w:basedOn w:val="Normal"/>
    <w:qFormat/>
    <w:rsid w:val="00086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F19"/>
    <w:rPr>
      <w:b/>
      <w:bCs/>
      <w:i/>
      <w:iCs/>
      <w:color w:val="auto"/>
    </w:rPr>
  </w:style>
  <w:style w:type="paragraph" w:styleId="IntenseQuote">
    <w:name w:val="Intense Quote"/>
    <w:basedOn w:val="Normal"/>
    <w:next w:val="Normal"/>
    <w:link w:val="IntenseQuoteChar"/>
    <w:uiPriority w:val="30"/>
    <w:qFormat/>
    <w:rsid w:val="00086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F19"/>
    <w:rPr>
      <w:smallCaps/>
      <w:color w:val="auto"/>
      <w:u w:val="single"/>
    </w:rPr>
  </w:style>
  <w:style w:type="character" w:styleId="IntenseReference">
    <w:name w:val="Intense Reference"/>
    <w:basedOn w:val="DefaultParagraphFont"/>
    <w:uiPriority w:val="32"/>
    <w:qFormat/>
    <w:rsid w:val="00086F19"/>
    <w:rPr>
      <w:b/>
      <w:bCs/>
      <w:smallCaps/>
      <w:color w:val="auto"/>
      <w:spacing w:val="5"/>
      <w:u w:val="single"/>
    </w:rPr>
  </w:style>
  <w:style w:type="paragraph" w:customStyle="1" w:styleId="2ColumnHeading">
    <w:name w:val="2Column Heading"/>
    <w:basedOn w:val="BodyText"/>
    <w:qFormat/>
    <w:rsid w:val="00086F19"/>
    <w:pPr>
      <w:spacing w:after="60"/>
      <w:ind w:left="-2268"/>
    </w:pPr>
    <w:rPr>
      <w:b/>
    </w:rPr>
  </w:style>
  <w:style w:type="paragraph" w:customStyle="1" w:styleId="Heading1TOC">
    <w:name w:val="Heading1 TOC"/>
    <w:basedOn w:val="Normal"/>
    <w:qFormat/>
    <w:rsid w:val="00086F19"/>
    <w:pPr>
      <w:spacing w:before="240" w:after="120"/>
    </w:pPr>
    <w:rPr>
      <w:rFonts w:ascii="Times New Roman" w:hAnsi="Times New Roman"/>
      <w:b/>
      <w:sz w:val="32"/>
    </w:rPr>
  </w:style>
  <w:style w:type="paragraph" w:customStyle="1" w:styleId="Heading2TOC">
    <w:name w:val="Heading2 TOC"/>
    <w:basedOn w:val="Normal"/>
    <w:qFormat/>
    <w:rsid w:val="00086F19"/>
    <w:pPr>
      <w:spacing w:before="240" w:after="60"/>
    </w:pPr>
    <w:rPr>
      <w:rFonts w:ascii="Times New Roman" w:hAnsi="Times New Roman"/>
      <w:b/>
      <w:sz w:val="28"/>
    </w:rPr>
  </w:style>
  <w:style w:type="character" w:customStyle="1" w:styleId="Underline">
    <w:name w:val="Underline"/>
    <w:basedOn w:val="DefaultParagraphFont"/>
    <w:qFormat/>
    <w:rsid w:val="00086F19"/>
    <w:rPr>
      <w:u w:val="single"/>
    </w:rPr>
  </w:style>
  <w:style w:type="character" w:customStyle="1" w:styleId="BoldandItalics">
    <w:name w:val="Bold and Italics"/>
    <w:qFormat/>
    <w:rsid w:val="00086F19"/>
    <w:rPr>
      <w:b/>
      <w:i/>
      <w:u w:val="none"/>
    </w:rPr>
  </w:style>
  <w:style w:type="paragraph" w:styleId="BalloonText">
    <w:name w:val="Balloon Text"/>
    <w:basedOn w:val="Normal"/>
    <w:link w:val="BalloonTextChar"/>
    <w:rsid w:val="00086F19"/>
    <w:rPr>
      <w:rFonts w:ascii="Tahoma" w:hAnsi="Tahoma" w:cs="Tahoma"/>
      <w:sz w:val="16"/>
      <w:szCs w:val="16"/>
    </w:rPr>
  </w:style>
  <w:style w:type="character" w:customStyle="1" w:styleId="BalloonTextChar">
    <w:name w:val="Balloon Text Char"/>
    <w:basedOn w:val="DefaultParagraphFont"/>
    <w:link w:val="BalloonText"/>
    <w:rsid w:val="00086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F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F19"/>
    <w:rPr>
      <w:b/>
      <w:color w:val="660033"/>
      <w:spacing w:val="0"/>
    </w:rPr>
  </w:style>
  <w:style w:type="paragraph" w:customStyle="1" w:styleId="Nameditemlist">
    <w:name w:val="Named item list"/>
    <w:basedOn w:val="BodyText"/>
    <w:qFormat/>
    <w:rsid w:val="00086F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2190</Words>
  <Characters>13528</Characters>
  <Application>Microsoft Office Word</Application>
  <DocSecurity>0</DocSecurity>
  <Lines>507</Lines>
  <Paragraphs>229</Paragraphs>
  <ScaleCrop>false</ScaleCrop>
  <Company>Author-it Software Corporation Ltd.</Company>
  <LinksUpToDate>false</LinksUpToDate>
  <CharactersWithSpaces>15571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UEENEEI102A Solve problems in pressure measurement components and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2013-08-14T07:47:00Z</dcterms:created>
  <dcterms:modified xsi:type="dcterms:W3CDTF">2013-08-14T07:47:00Z</dcterms:modified>
</cp:coreProperties>
</file>