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871" w:rsidP="00082871">
      <w:pPr>
        <w:pStyle w:val="Title"/>
      </w:pPr>
      <w:r>
        <w:fldChar w:fldCharType="begin"/>
      </w:r>
      <w:r>
        <w:instrText xml:space="preserve"> TITLE   \* MERGEFORMAT </w:instrText>
      </w:r>
      <w:r>
        <w:fldChar w:fldCharType="separate"/>
      </w:r>
      <w:r>
        <w:t>UEENEEH190A Provide engineering solutions to air traffic control system problems</w:t>
      </w:r>
      <w:r>
        <w:fldChar w:fldCharType="end"/>
      </w:r>
    </w:p>
    <w:p w:rsidR="00082871" w:rsidP="00082871">
      <w:pPr>
        <w:pStyle w:val="Version"/>
        <w:sectPr w:rsidSect="005F3C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3C40" w:rsidP="005F3C40">
      <w:pPr>
        <w:pStyle w:val="SuperHeading"/>
      </w:pPr>
      <w:r w:rsidRPr="005F3C40">
        <w:t>UEENEEH190A Provide engineering solutions to air traffic control system problems</w:t>
      </w:r>
    </w:p>
    <w:p w:rsidR="00000000" w:rsidRPr="005F3C40" w:rsidP="005F3C40">
      <w:pPr>
        <w:pStyle w:val="Heading1"/>
      </w:pPr>
      <w:bookmarkStart w:id="1" w:name="O_588676"/>
      <w:bookmarkEnd w:id="1"/>
      <w:r w:rsidRPr="005F3C40">
        <w:t>Modification History</w:t>
      </w:r>
    </w:p>
    <w:p w:rsidR="00000000" w:rsidRPr="005F3C40" w:rsidP="005F3C40">
      <w:pPr>
        <w:pStyle w:val="BodyText"/>
      </w:pPr>
      <w:r w:rsidRPr="005F3C40">
        <w:t>Not applicable.</w:t>
      </w:r>
    </w:p>
    <w:p w:rsidR="00000000" w:rsidRPr="005F3C40" w:rsidP="005F3C40">
      <w:pPr>
        <w:pStyle w:val="AllowPageBreak"/>
      </w:pPr>
    </w:p>
    <w:p w:rsidR="00000000" w:rsidRPr="005F3C40" w:rsidP="005F3C40">
      <w:pPr>
        <w:pStyle w:val="Heading1"/>
      </w:pPr>
      <w:bookmarkStart w:id="2" w:name="O_588675"/>
      <w:bookmarkEnd w:id="2"/>
      <w:r w:rsidRPr="005F3C40">
        <w:t>Unit Descriptor</w:t>
      </w:r>
    </w:p>
    <w:tbl>
      <w:tblPr>
        <w:tblW w:w="0" w:type="auto"/>
        <w:tblLayout w:type="fixed"/>
        <w:tblCellMar>
          <w:left w:w="62" w:type="dxa"/>
          <w:right w:w="62" w:type="dxa"/>
        </w:tblCellMar>
        <w:tblLook w:val="0000"/>
      </w:tblPr>
      <w:tblGrid>
        <w:gridCol w:w="2700"/>
        <w:gridCol w:w="5760"/>
      </w:tblGrid>
      <w:tr w:rsidTr="00082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1)</w:t>
            </w:r>
            <w:r w:rsidRPr="005F3C40">
              <w:t xml:space="preserve"> </w:t>
            </w:r>
            <w:r w:rsidRPr="005F3C40">
              <w:rPr>
                <w:rStyle w:val="SpecialBold"/>
              </w:rPr>
              <w:t>Scope:</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3C4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1.1) Descriptor</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This unit covers providing solutions to resolve problems in air traffic control systems. The unit encompasses safe working practices, interpreting diagrams, applying knowledge of air traffic control systems and their application, using effective problem so</w:t>
            </w:r>
            <w:r w:rsidRPr="005F3C40">
              <w:t>lving techniques, safety and reporting work activities and outcomes.</w:t>
            </w:r>
          </w:p>
          <w:p w:rsidR="00000000" w:rsidRPr="005F3C40" w:rsidP="005F3C40">
            <w:pPr>
              <w:pStyle w:val="BodyText"/>
            </w:pPr>
            <w:r w:rsidRPr="005F3C40">
              <w:t>Note.</w:t>
            </w:r>
          </w:p>
          <w:p w:rsidR="00000000" w:rsidRPr="005F3C40" w:rsidP="005F3C40">
            <w:pPr>
              <w:pStyle w:val="BodyText"/>
            </w:pPr>
            <w:r w:rsidRPr="005F3C40">
              <w:t>Typical systems could be Air Traffic Management (ATM), Voice Switching and Control (VSCS), Data and Communications Networks, Aeronautical Fixed Telecommunications Network (AFTN), Co</w:t>
            </w:r>
            <w:r w:rsidRPr="005F3C40">
              <w:t>ntrol Maintenance Monitoring (CMM), Operational Display Suite (ODS), Air Situation Display (ASD), Tower Situational Awareness Display (TSAD), Aeronautical Reference Data Display and Distribution System (ARDDDS), back up to the above systems, Buildings &amp; Se</w:t>
            </w:r>
            <w:r w:rsidRPr="005F3C40">
              <w:t>rvices and Navigational Aids.</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3" w:name="O_588674"/>
      <w:bookmarkEnd w:id="3"/>
      <w:r w:rsidRPr="005F3C40">
        <w:t>Application of the Unit</w:t>
      </w:r>
    </w:p>
    <w:tbl>
      <w:tblPr>
        <w:tblW w:w="0" w:type="auto"/>
        <w:tblLayout w:type="fixed"/>
        <w:tblCellMar>
          <w:left w:w="62" w:type="dxa"/>
          <w:right w:w="62" w:type="dxa"/>
        </w:tblCellMar>
        <w:tblLook w:val="0000"/>
      </w:tblPr>
      <w:tblGrid>
        <w:gridCol w:w="2672"/>
        <w:gridCol w:w="5699"/>
      </w:tblGrid>
      <w:tr w:rsidTr="000828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2)</w:t>
            </w:r>
          </w:p>
        </w:tc>
      </w:tr>
      <w:tr w:rsidTr="000828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This unit is intended to apply to any recognised development program that leads to the acquisition of a formal award at AQF level 5 or higher.</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4" w:name="O_588673"/>
      <w:bookmarkEnd w:id="4"/>
      <w:r w:rsidRPr="005F3C40">
        <w:t>Licensing/Regulatory Information</w:t>
      </w:r>
    </w:p>
    <w:tbl>
      <w:tblPr>
        <w:tblW w:w="0" w:type="auto"/>
        <w:tblLayout w:type="fixed"/>
        <w:tblCellMar>
          <w:left w:w="62" w:type="dxa"/>
          <w:right w:w="62" w:type="dxa"/>
        </w:tblCellMar>
        <w:tblLook w:val="0000"/>
      </w:tblPr>
      <w:tblGrid>
        <w:gridCol w:w="2700"/>
        <w:gridCol w:w="5760"/>
      </w:tblGrid>
      <w:tr w:rsidTr="00082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 xml:space="preserve">3) </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CASA certification on a relevant facility or a class of facility.</w:t>
            </w:r>
          </w:p>
          <w:p w:rsidR="00000000" w:rsidRPr="005F3C40" w:rsidP="005F3C40">
            <w:pPr>
              <w:pStyle w:val="BodyText"/>
            </w:pPr>
            <w:r w:rsidRPr="005F3C40">
              <w:t>Other conditions may apply in some jurisdictions subject to regulations related to electrical work. Practice in the workplace and during training is also subject to regulations directly related to occupational health and safety and where applicable contrac</w:t>
            </w:r>
            <w:r w:rsidRPr="005F3C40">
              <w:t>ts of training such as traineeship.</w:t>
            </w:r>
          </w:p>
          <w:p w:rsidR="00000000" w:rsidRPr="005F3C40" w:rsidP="005F3C40">
            <w:pPr>
              <w:pStyle w:val="BodyText"/>
            </w:pPr>
            <w:r w:rsidRPr="005F3C40">
              <w:t>Note:</w:t>
            </w:r>
          </w:p>
          <w:p w:rsidR="00000000" w:rsidRPr="005F3C40" w:rsidP="005F3C40">
            <w:pPr>
              <w:pStyle w:val="BodyText"/>
            </w:pPr>
            <w:r w:rsidRPr="005F3C40">
              <w:t>1. Compliance with permits may be required in various jurisdictions and typically relates to the operation of plant, machinery and equipment such as elevating work platforms, powder operated fixing tools, power ope</w:t>
            </w:r>
            <w:r w:rsidRPr="005F3C40">
              <w:t>rated tools, vehicles, road signage and traffic control, lifting equipment and the like. Permits may also be required for some work environments such as confined spaces, working aloft, near live electrical apparatus and site rehabilitation.</w:t>
            </w:r>
          </w:p>
          <w:p w:rsidR="00000000" w:rsidRPr="005F3C40" w:rsidP="005F3C40">
            <w:pPr>
              <w:pStyle w:val="BodyText"/>
            </w:pPr>
            <w:r w:rsidRPr="005F3C40">
              <w:t>2. Compliance m</w:t>
            </w:r>
            <w:r w:rsidRPr="005F3C40">
              <w:t>ay be required in various jurisdictions relating to currency in First Aid, confined space, lifting and risk safety measures.</w:t>
            </w:r>
          </w:p>
          <w:p w:rsidR="00000000" w:rsidRPr="005F3C40" w:rsidP="005F3C40">
            <w:pPr>
              <w:pStyle w:val="BodyText"/>
            </w:pPr>
            <w:r w:rsidRPr="005F3C40">
              <w:t>The skills and knowledge described in this unit may require a license to practice in the workplace where plant and equipment operat</w:t>
            </w:r>
            <w:r w:rsidRPr="005F3C40">
              <w:t>e at voltage above 50 V a.c. or 120 V d.c.</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5" w:name="O_588672"/>
      <w:bookmarkEnd w:id="5"/>
      <w:r w:rsidRPr="005F3C40">
        <w:t>Pre-Requisites</w:t>
      </w:r>
    </w:p>
    <w:tbl>
      <w:tblPr>
        <w:tblW w:w="0" w:type="auto"/>
        <w:tblLayout w:type="fixed"/>
        <w:tblCellMar>
          <w:left w:w="62" w:type="dxa"/>
          <w:right w:w="62" w:type="dxa"/>
        </w:tblCellMar>
        <w:tblLook w:val="0000"/>
      </w:tblPr>
      <w:tblGrid>
        <w:gridCol w:w="2700"/>
        <w:gridCol w:w="1530"/>
        <w:gridCol w:w="4230"/>
      </w:tblGrid>
      <w:tr w:rsidTr="00082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 xml:space="preserve">4) </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4.1)</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Granting competency in this unit shall be made only after competency in the following unit(s) has/have been confirmed.</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UEENEEE101A</w:t>
            </w:r>
          </w:p>
        </w:tc>
        <w:tc>
          <w:tcPr>
            <w:tcW w:w="423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 xml:space="preserve">Apply Occupational Health and Safety regulations, codes and practices in the workplace </w:t>
            </w:r>
          </w:p>
        </w:tc>
      </w:tr>
    </w:tbl>
    <w:p w:rsidR="00000000" w:rsidRPr="005F3C40" w:rsidP="005F3C4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8287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 xml:space="preserve">4.2) </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Participants are best equipped to achieve competency in this unit if they have reading, writing and numeracy skills indicated by the following scales. Description of each scale is given in Volume 2, Part 3 ‘Literacy and Numeracy’</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Reading</w:t>
            </w:r>
          </w:p>
        </w:tc>
        <w:tc>
          <w:tcPr>
            <w:tcW w:w="81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5</w:t>
            </w:r>
          </w:p>
        </w:tc>
        <w:tc>
          <w:tcPr>
            <w:tcW w:w="99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Writing</w:t>
            </w: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5</w:t>
            </w:r>
          </w:p>
        </w:tc>
        <w:tc>
          <w:tcPr>
            <w:tcW w:w="12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Numeracy</w:t>
            </w:r>
          </w:p>
        </w:tc>
        <w:tc>
          <w:tcPr>
            <w:tcW w:w="72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5</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6" w:name="O_588671"/>
      <w:bookmarkEnd w:id="6"/>
      <w:r w:rsidRPr="005F3C40">
        <w:t>Employability Skills Information</w:t>
      </w:r>
    </w:p>
    <w:tbl>
      <w:tblPr>
        <w:tblW w:w="0" w:type="auto"/>
        <w:tblLayout w:type="fixed"/>
        <w:tblCellMar>
          <w:left w:w="62" w:type="dxa"/>
          <w:right w:w="62" w:type="dxa"/>
        </w:tblCellMar>
        <w:tblLook w:val="0000"/>
      </w:tblPr>
      <w:tblGrid>
        <w:gridCol w:w="2700"/>
        <w:gridCol w:w="5760"/>
      </w:tblGrid>
      <w:tr w:rsidTr="00082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 xml:space="preserve">5) </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This unit contains Employability Skills</w:t>
            </w:r>
          </w:p>
          <w:p w:rsidR="00000000" w:rsidRPr="005F3C40" w:rsidP="005F3C40">
            <w:pPr>
              <w:pStyle w:val="BodyText"/>
            </w:pPr>
            <w:r w:rsidRPr="005F3C4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F3C40">
              <w:t>requirements.</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7" w:name="O_588670"/>
      <w:bookmarkEnd w:id="7"/>
      <w:r w:rsidRPr="005F3C40">
        <w:t>Elements and Performance Criteria Pre-Content</w:t>
      </w:r>
    </w:p>
    <w:tbl>
      <w:tblPr>
        <w:tblW w:w="0" w:type="auto"/>
        <w:tblLayout w:type="fixed"/>
        <w:tblCellMar>
          <w:left w:w="62" w:type="dxa"/>
          <w:right w:w="62" w:type="dxa"/>
        </w:tblCellMar>
        <w:tblLook w:val="0000"/>
      </w:tblPr>
      <w:tblGrid>
        <w:gridCol w:w="2700"/>
        <w:gridCol w:w="5760"/>
      </w:tblGrid>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6)</w:t>
            </w:r>
            <w:r w:rsidRPr="005F3C4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Performance Criteria describe the required performance needed to demonstrate achievement of the element</w:t>
            </w:r>
            <w:r w:rsidRPr="005F3C40">
              <w:t>. Assessment of performance is to be consistent with the Evidence Guide.</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8" w:name="O_588669"/>
      <w:bookmarkEnd w:id="8"/>
      <w:r w:rsidRPr="005F3C4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828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PERFORMANCE CRITERIA</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1</w:t>
            </w:r>
          </w:p>
        </w:tc>
        <w:tc>
          <w:tcPr>
            <w:tcW w:w="2296"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Prepare to provide solutions in air traffic control systems</w:t>
            </w: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1.1</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OHS processes and procedures for a given work area are identified, obtained and understood.</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1.2</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Operational safety procedures for a given work area are obtained and understood</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1.3</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Established OHS risk control measures and procedures are followed in preparation for the work.</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1.4</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The extent of problems within the air traffic control system are determined from performance specifications and situation reports and in consultations wit</w:t>
            </w:r>
            <w:r w:rsidRPr="005F3C40">
              <w:t>h relevant persons.</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1.5</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Activities are planned to meet scheduled timelines in consultation with others involved in the work.</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1.6</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Tools, equipment and testing devices needed for the work are obtained in accordance with established procedures and check</w:t>
            </w:r>
            <w:r w:rsidRPr="005F3C40">
              <w:t>ed for correct operation and safety.</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2</w:t>
            </w:r>
          </w:p>
        </w:tc>
        <w:tc>
          <w:tcPr>
            <w:tcW w:w="2296"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Provide solutions to problems within air traffic control systems</w:t>
            </w: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2.1</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OHS risk control measures and procedures for carrying out the work are followed.</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2.2</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Knowledge of air traffic control systems operation, characteristics and applications are applied to developing solutions to control problems.</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2.3</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 xml:space="preserve">Parameters, specifications and performance requirements in relation to air traffic control systems problem </w:t>
            </w:r>
            <w:r w:rsidRPr="005F3C40">
              <w:t>are obtained in accordance with established procedures.</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2.4</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Approaches to resolving air traffic control systems problems are evaluated to provide most effective solutions.</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2.5</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Methods for dealing with unexpected situations are</w:t>
            </w:r>
            <w:r w:rsidRPr="005F3C40">
              <w:t xml:space="preserve"> selected on the basis of safety and specified work outcomes.</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2.6</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Problems are solved efficiently without waste of materials or damage to apparatus and the surrounding environment or services and using sustainable energy practices.</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3</w:t>
            </w:r>
          </w:p>
        </w:tc>
        <w:tc>
          <w:tcPr>
            <w:tcW w:w="2296"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 xml:space="preserve">Test and document </w:t>
            </w:r>
            <w:r w:rsidRPr="005F3C40">
              <w:t>solutions to problems within air traffic control systems</w:t>
            </w: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3.1</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OHS risk control measures and procedures for carrying out the work are followed.</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3.2</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 xml:space="preserve">Solutions to air traffic control systems problems are tested to determine their effectiveness and modified </w:t>
            </w:r>
            <w:r w:rsidRPr="005F3C40">
              <w:t>where necessary.</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3.3</w:t>
            </w:r>
          </w:p>
        </w:tc>
        <w:tc>
          <w:tcPr>
            <w:tcW w:w="48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Adopted solutions are documented including instruction for their implementation that incorporates risk control measure to be followed.</w:t>
            </w:r>
          </w:p>
        </w:tc>
      </w:tr>
      <w:tr w:rsidTr="00082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t>3.4</w:t>
            </w:r>
          </w:p>
        </w:tc>
        <w:tc>
          <w:tcPr>
            <w:tcW w:w="48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Justification for solutions used to solve air traffic control system problems are documented in accordance with established procedures.</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9" w:name="O_588668"/>
      <w:bookmarkEnd w:id="9"/>
      <w:r w:rsidRPr="005F3C40">
        <w:t>Required Skills and Knowledge</w:t>
      </w:r>
    </w:p>
    <w:tbl>
      <w:tblPr>
        <w:tblW w:w="0" w:type="auto"/>
        <w:tblLayout w:type="fixed"/>
        <w:tblCellMar>
          <w:left w:w="62" w:type="dxa"/>
          <w:right w:w="62" w:type="dxa"/>
        </w:tblCellMar>
        <w:tblLook w:val="0000"/>
      </w:tblPr>
      <w:tblGrid>
        <w:gridCol w:w="8460"/>
      </w:tblGrid>
      <w:tr w:rsidTr="000828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REQUIRED SKILLS AND KNOWLEDGE</w:t>
            </w:r>
          </w:p>
        </w:tc>
      </w:tr>
      <w:tr w:rsidTr="0008287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8)</w:t>
            </w:r>
            <w:r w:rsidRPr="005F3C40">
              <w:t xml:space="preserve">  This describes the essential skills and knowledge and their level, required for this unit.</w:t>
            </w:r>
          </w:p>
          <w:p w:rsidR="00000000" w:rsidRPr="005F3C40" w:rsidP="005F3C40">
            <w:pPr>
              <w:pStyle w:val="BodyText"/>
            </w:pPr>
            <w:r w:rsidRPr="005F3C40">
              <w:t xml:space="preserve">Evidence shall show that knowledge has been acquired of safe working practices and providing solutions to air traffic control systems problems. </w:t>
            </w:r>
          </w:p>
          <w:p w:rsidR="00000000" w:rsidRPr="005F3C40" w:rsidP="005F3C40">
            <w:pPr>
              <w:pStyle w:val="BodyText"/>
            </w:pPr>
            <w:r w:rsidRPr="005F3C40">
              <w:t xml:space="preserve">All knowledge and </w:t>
            </w:r>
            <w:r w:rsidRPr="005F3C40">
              <w:t>skills detailed in this unit should be contextualised to current industry practices and technologies.</w:t>
            </w:r>
          </w:p>
          <w:p w:rsidR="00000000" w:rsidRPr="005F3C40" w:rsidP="005F3C40">
            <w:pPr>
              <w:pStyle w:val="BodyText"/>
            </w:pPr>
            <w:r w:rsidRPr="005F3C40">
              <w:rPr>
                <w:rStyle w:val="SpecialBold"/>
              </w:rPr>
              <w:t>KS01-EH190A</w:t>
            </w:r>
            <w:r w:rsidRPr="005F3C40">
              <w:rPr>
                <w:rStyle w:val="SpecialBold"/>
              </w:rPr>
              <w:tab/>
              <w:t xml:space="preserve">            Air traffic control systems technology</w:t>
            </w:r>
          </w:p>
          <w:p w:rsidR="00000000" w:rsidRPr="005F3C40" w:rsidP="005F3C40">
            <w:pPr>
              <w:pStyle w:val="BodyText"/>
            </w:pPr>
            <w:r w:rsidRPr="005F3C40">
              <w:t>Evidence shall show an understanding of air traffic control systems technology to an extent indicated by the following aspects:</w:t>
            </w:r>
          </w:p>
          <w:p w:rsidR="00000000" w:rsidRPr="005F3C40" w:rsidP="005F3C40">
            <w:pPr>
              <w:pStyle w:val="BodyText"/>
            </w:pPr>
          </w:p>
          <w:p w:rsidR="00000000" w:rsidRPr="005F3C40" w:rsidP="005F3C40">
            <w:pPr>
              <w:pStyle w:val="BodyText"/>
            </w:pPr>
            <w:r w:rsidRPr="005F3C40">
              <w:t>T1</w:t>
            </w:r>
            <w:r w:rsidRPr="005F3C40">
              <w:tab/>
              <w:t>Regulatory bodies encompassing:</w:t>
            </w:r>
          </w:p>
          <w:p w:rsidR="00000000" w:rsidRPr="005F3C40" w:rsidP="005F3C40">
            <w:pPr>
              <w:pStyle w:val="ListBullet"/>
            </w:pPr>
            <w:r w:rsidRPr="005F3C40">
              <w:t>structure and function of each of the regulatory bodies</w:t>
            </w:r>
          </w:p>
          <w:p w:rsidR="00000000" w:rsidRPr="005F3C40" w:rsidP="005F3C40">
            <w:pPr>
              <w:pStyle w:val="BodyText"/>
            </w:pPr>
            <w:r w:rsidRPr="005F3C40">
              <w:t>International Civil Aviation Organi</w:t>
            </w:r>
            <w:r w:rsidRPr="005F3C40">
              <w:t>sation – ICAO</w:t>
            </w:r>
          </w:p>
          <w:p w:rsidR="00000000" w:rsidRPr="005F3C40" w:rsidP="005F3C40">
            <w:pPr>
              <w:pStyle w:val="BodyText"/>
            </w:pPr>
            <w:r w:rsidRPr="005F3C40">
              <w:t>Australian Transport Safety Bureau – ATSB</w:t>
            </w:r>
          </w:p>
          <w:p w:rsidR="00000000" w:rsidRPr="005F3C40" w:rsidP="005F3C40">
            <w:pPr>
              <w:pStyle w:val="BodyText"/>
            </w:pPr>
            <w:r w:rsidRPr="005F3C40">
              <w:t>Civil Aviation Safety Authority – CASA</w:t>
            </w:r>
          </w:p>
          <w:p w:rsidR="00000000" w:rsidRPr="005F3C40" w:rsidP="005F3C40">
            <w:pPr>
              <w:pStyle w:val="ListBullet"/>
            </w:pPr>
            <w:r w:rsidRPr="005F3C40">
              <w:t>standards and recommended practices issued by the regulatory bodies</w:t>
            </w:r>
          </w:p>
          <w:p w:rsidR="00000000" w:rsidRPr="005F3C40" w:rsidP="005F3C40">
            <w:pPr>
              <w:pStyle w:val="ListBullet"/>
            </w:pPr>
            <w:r w:rsidRPr="005F3C40">
              <w:t>relationship between the regulatory bodies and a provider of Air Traffic Services</w:t>
            </w:r>
          </w:p>
          <w:p w:rsidR="00000000" w:rsidRPr="005F3C40" w:rsidP="005F3C40">
            <w:pPr>
              <w:pStyle w:val="BodyText"/>
            </w:pPr>
          </w:p>
          <w:p w:rsidR="00000000" w:rsidRPr="005F3C40" w:rsidP="005F3C40">
            <w:pPr>
              <w:pStyle w:val="BodyText"/>
            </w:pPr>
            <w:r w:rsidRPr="005F3C40">
              <w:t>T2</w:t>
            </w:r>
            <w:r w:rsidRPr="005F3C40">
              <w:tab/>
              <w:t>Air tr</w:t>
            </w:r>
            <w:r w:rsidRPr="005F3C40">
              <w:t>affic services encompassing:</w:t>
            </w:r>
          </w:p>
          <w:p w:rsidR="00000000" w:rsidRPr="005F3C40" w:rsidP="005F3C40">
            <w:pPr>
              <w:pStyle w:val="ListBullet"/>
            </w:pPr>
            <w:r w:rsidRPr="005F3C40">
              <w:t>services provided by Air Traffic Services</w:t>
            </w:r>
          </w:p>
          <w:p w:rsidR="00000000" w:rsidRPr="005F3C40" w:rsidP="005F3C40">
            <w:pPr>
              <w:pStyle w:val="ListBullet"/>
            </w:pPr>
            <w:r w:rsidRPr="005F3C40">
              <w:t>objectives of Air Traffic Services</w:t>
            </w:r>
          </w:p>
          <w:p w:rsidR="00000000" w:rsidRPr="005F3C40" w:rsidP="005F3C40">
            <w:pPr>
              <w:pStyle w:val="BodyText"/>
            </w:pPr>
          </w:p>
          <w:p w:rsidR="00000000" w:rsidRPr="005F3C40" w:rsidP="005F3C40">
            <w:pPr>
              <w:pStyle w:val="BodyText"/>
            </w:pPr>
            <w:r w:rsidRPr="005F3C40">
              <w:t>T3</w:t>
            </w:r>
            <w:r w:rsidRPr="005F3C40">
              <w:tab/>
              <w:t>Air traffic control awareness encompassing:</w:t>
            </w:r>
          </w:p>
          <w:p w:rsidR="00000000" w:rsidRPr="005F3C40" w:rsidP="005F3C40">
            <w:pPr>
              <w:pStyle w:val="ListBullet"/>
            </w:pPr>
            <w:r w:rsidRPr="005F3C40">
              <w:t>process of maintaining an orderly flow of air traffic</w:t>
            </w:r>
          </w:p>
          <w:p w:rsidR="00000000" w:rsidRPr="005F3C40" w:rsidP="005F3C40">
            <w:pPr>
              <w:pStyle w:val="ListBullet"/>
            </w:pPr>
            <w:r w:rsidRPr="005F3C40">
              <w:t>different states of an aircraft flight</w:t>
            </w:r>
          </w:p>
          <w:p w:rsidR="00000000" w:rsidRPr="005F3C40" w:rsidP="005F3C40">
            <w:pPr>
              <w:pStyle w:val="ListBullet"/>
            </w:pPr>
            <w:r w:rsidRPr="005F3C40">
              <w:t>need an</w:t>
            </w:r>
            <w:r w:rsidRPr="005F3C40">
              <w:t>d purpose of flight data regions</w:t>
            </w:r>
          </w:p>
          <w:p w:rsidR="00000000" w:rsidRPr="005F3C40" w:rsidP="005F3C40">
            <w:pPr>
              <w:pStyle w:val="ListBullet"/>
            </w:pPr>
            <w:r w:rsidRPr="005F3C40">
              <w:t>enroute airspace and sectors</w:t>
            </w:r>
          </w:p>
          <w:p w:rsidR="00000000" w:rsidRPr="005F3C40" w:rsidP="005F3C40">
            <w:pPr>
              <w:pStyle w:val="ListBullet"/>
            </w:pPr>
            <w:r w:rsidRPr="005F3C40">
              <w:t>airspace and sectors around air traffic control facilities</w:t>
            </w:r>
          </w:p>
          <w:p w:rsidR="00000000" w:rsidRPr="005F3C40" w:rsidP="005F3C40">
            <w:pPr>
              <w:pStyle w:val="ListBullet"/>
            </w:pPr>
            <w:r w:rsidRPr="005F3C40">
              <w:t>instructions and information exchanged between controllers and pilots</w:t>
            </w:r>
          </w:p>
          <w:p w:rsidR="00000000" w:rsidRPr="005F3C40" w:rsidP="005F3C40">
            <w:pPr>
              <w:pStyle w:val="ListBullet"/>
            </w:pPr>
            <w:r w:rsidRPr="005F3C40">
              <w:t>information exchanged between air traffic controllers</w:t>
            </w:r>
          </w:p>
          <w:p w:rsidR="00000000" w:rsidRPr="005F3C40" w:rsidP="005F3C40">
            <w:pPr>
              <w:pStyle w:val="BodyText"/>
            </w:pPr>
          </w:p>
          <w:p w:rsidR="00000000" w:rsidRPr="005F3C40" w:rsidP="005F3C40">
            <w:pPr>
              <w:pStyle w:val="BodyText"/>
            </w:pPr>
            <w:r w:rsidRPr="005F3C40">
              <w:t>T4</w:t>
            </w:r>
            <w:r w:rsidRPr="005F3C40">
              <w:tab/>
            </w:r>
            <w:r w:rsidRPr="005F3C40">
              <w:t>The components of an air traffic control system encompassing:</w:t>
            </w:r>
          </w:p>
          <w:p w:rsidR="00000000" w:rsidRPr="005F3C40" w:rsidP="005F3C40">
            <w:pPr>
              <w:pStyle w:val="ListBullet"/>
            </w:pPr>
            <w:r w:rsidRPr="005F3C40">
              <w:t>Air Traffic Management (ATM), Voice Switching and Control (VSCS), Data and Communications Networks, Aeronautical Telecommunications Network (AFTN), Control Maintenance Monitoring (CMM), Buildin</w:t>
            </w:r>
            <w:r w:rsidRPr="005F3C40">
              <w:t>gs &amp; Services</w:t>
            </w:r>
          </w:p>
          <w:p w:rsidR="00000000" w:rsidRPr="005F3C40" w:rsidP="005F3C40">
            <w:pPr>
              <w:pStyle w:val="ListBullet"/>
            </w:pPr>
            <w:r w:rsidRPr="005F3C40">
              <w:t>purpose and function of each of the components of an air traffic control system</w:t>
            </w:r>
          </w:p>
          <w:p w:rsidR="00000000" w:rsidRPr="005F3C40" w:rsidP="005F3C40">
            <w:pPr>
              <w:pStyle w:val="BodyText"/>
            </w:pPr>
          </w:p>
          <w:p w:rsidR="00000000" w:rsidRPr="005F3C40" w:rsidP="005F3C40">
            <w:pPr>
              <w:pStyle w:val="BodyText"/>
            </w:pPr>
            <w:r w:rsidRPr="005F3C40">
              <w:t>T5</w:t>
            </w:r>
            <w:r w:rsidRPr="005F3C40">
              <w:tab/>
              <w:t>Inputs to the air traffic management system (ATM) encompassing:</w:t>
            </w:r>
          </w:p>
          <w:p w:rsidR="00000000" w:rsidRPr="005F3C40" w:rsidP="005F3C40">
            <w:pPr>
              <w:pStyle w:val="ListBullet"/>
            </w:pPr>
            <w:r w:rsidRPr="005F3C40">
              <w:t>messages and information received by the ATM system such as surveillance, time, metrological,</w:t>
            </w:r>
            <w:r w:rsidRPr="005F3C40">
              <w:t xml:space="preserve"> flight plans and controller input</w:t>
            </w:r>
          </w:p>
          <w:p w:rsidR="00000000" w:rsidRPr="005F3C40" w:rsidP="005F3C40">
            <w:pPr>
              <w:pStyle w:val="BodyText"/>
            </w:pPr>
          </w:p>
          <w:p w:rsidR="00000000" w:rsidRPr="005F3C40" w:rsidP="005F3C40">
            <w:pPr>
              <w:pStyle w:val="BodyText"/>
            </w:pPr>
            <w:r w:rsidRPr="005F3C40">
              <w:t>T6</w:t>
            </w:r>
            <w:r w:rsidRPr="005F3C40">
              <w:tab/>
              <w:t>Air traffic management (ATM) system architecture encompassing:</w:t>
            </w:r>
          </w:p>
          <w:p w:rsidR="00000000" w:rsidRPr="005F3C40" w:rsidP="005F3C40">
            <w:pPr>
              <w:pStyle w:val="ListBullet"/>
            </w:pPr>
            <w:r w:rsidRPr="005F3C40">
              <w:t>the various Hardware Configuration Items (HWCI)</w:t>
            </w:r>
          </w:p>
          <w:p w:rsidR="00000000" w:rsidRPr="005F3C40" w:rsidP="005F3C40">
            <w:pPr>
              <w:pStyle w:val="ListBullet"/>
            </w:pPr>
            <w:r w:rsidRPr="005F3C40">
              <w:t>operating system and other layers of software installed on the ATM system</w:t>
            </w:r>
          </w:p>
          <w:p w:rsidR="00000000" w:rsidRPr="005F3C40" w:rsidP="005F3C40">
            <w:pPr>
              <w:pStyle w:val="ListBullet"/>
            </w:pPr>
            <w:r w:rsidRPr="005F3C40">
              <w:t xml:space="preserve">basic block diagram of the ATM </w:t>
            </w:r>
            <w:r w:rsidRPr="005F3C40">
              <w:t>system indicating the network topology, data processing subsystem and data presentation processing</w:t>
            </w:r>
          </w:p>
          <w:p w:rsidR="00000000" w:rsidRPr="005F3C40" w:rsidP="005F3C40">
            <w:pPr>
              <w:pStyle w:val="ListBullet"/>
            </w:pPr>
            <w:r w:rsidRPr="005F3C40">
              <w:t>requirement for redundancy and the master / slave relationship</w:t>
            </w:r>
          </w:p>
          <w:p w:rsidR="00000000" w:rsidRPr="005F3C40" w:rsidP="005F3C40">
            <w:pPr>
              <w:pStyle w:val="ListBullet"/>
            </w:pPr>
            <w:r w:rsidRPr="005F3C40">
              <w:t>the different partitions, connections and dependencies within the ATM system</w:t>
            </w:r>
          </w:p>
          <w:p w:rsidR="00000000" w:rsidRPr="005F3C40" w:rsidP="005F3C40">
            <w:pPr>
              <w:pStyle w:val="ListBullet"/>
            </w:pPr>
            <w:r w:rsidRPr="005F3C40">
              <w:t>functions that ca</w:t>
            </w:r>
            <w:r w:rsidRPr="005F3C40">
              <w:t>n be performed from the Control Maintenance and Monitoring work station</w:t>
            </w:r>
          </w:p>
          <w:p w:rsidR="00000000" w:rsidRPr="005F3C40" w:rsidP="005F3C40">
            <w:pPr>
              <w:pStyle w:val="BodyText"/>
            </w:pPr>
          </w:p>
          <w:p w:rsidR="00000000" w:rsidRPr="005F3C40" w:rsidP="005F3C40">
            <w:pPr>
              <w:pStyle w:val="BodyText"/>
            </w:pPr>
            <w:r w:rsidRPr="005F3C40">
              <w:t>T7</w:t>
            </w:r>
            <w:r w:rsidRPr="005F3C40">
              <w:tab/>
              <w:t>Outputs from the Air Traffic Management (ATM) system encompassing:</w:t>
            </w:r>
          </w:p>
          <w:p w:rsidR="00000000" w:rsidRPr="005F3C40" w:rsidP="005F3C40">
            <w:pPr>
              <w:pStyle w:val="ListBullet"/>
            </w:pPr>
            <w:r w:rsidRPr="005F3C40">
              <w:t>the Operation Display Suites (ODS) and positions where they are used</w:t>
            </w:r>
          </w:p>
          <w:p w:rsidR="00000000" w:rsidRPr="005F3C40" w:rsidP="005F3C40">
            <w:pPr>
              <w:pStyle w:val="ListBullet"/>
            </w:pPr>
            <w:r w:rsidRPr="005F3C40">
              <w:t>block diagram of the display suites indicating peripherals and connections</w:t>
            </w:r>
          </w:p>
          <w:p w:rsidR="00000000" w:rsidRPr="005F3C40" w:rsidP="005F3C40">
            <w:pPr>
              <w:pStyle w:val="ListBullet"/>
            </w:pPr>
            <w:r w:rsidRPr="005F3C40">
              <w:t>different aircraft tracks generated by the ATM system</w:t>
            </w:r>
          </w:p>
          <w:p w:rsidR="00000000" w:rsidRPr="005F3C40" w:rsidP="005F3C40">
            <w:pPr>
              <w:pStyle w:val="ListBullet"/>
            </w:pPr>
            <w:r w:rsidRPr="005F3C40">
              <w:t>other information shown on an Air Situation Display (ASD)</w:t>
            </w:r>
          </w:p>
          <w:p w:rsidR="00000000" w:rsidRPr="005F3C40" w:rsidP="005F3C40">
            <w:pPr>
              <w:pStyle w:val="ListBullet"/>
            </w:pPr>
            <w:r w:rsidRPr="005F3C40">
              <w:t>requirement for and use of the recording and playback facility</w:t>
            </w:r>
          </w:p>
          <w:p w:rsidR="00000000" w:rsidRPr="005F3C40" w:rsidP="005F3C40">
            <w:pPr>
              <w:pStyle w:val="ListBullet"/>
            </w:pPr>
            <w:r w:rsidRPr="005F3C40">
              <w:t xml:space="preserve">block </w:t>
            </w:r>
            <w:r w:rsidRPr="005F3C40">
              <w:t>diagram of the recording and playback facilities showing media devices and connections to the replay position</w:t>
            </w:r>
          </w:p>
          <w:p w:rsidR="00000000" w:rsidRPr="005F3C40" w:rsidP="005F3C40">
            <w:pPr>
              <w:pStyle w:val="ListBullet"/>
            </w:pPr>
            <w:r w:rsidRPr="005F3C40">
              <w:t>requirement for and use of the trace collection facility</w:t>
            </w:r>
          </w:p>
          <w:p w:rsidR="00000000" w:rsidRPr="005F3C40" w:rsidP="005F3C40">
            <w:pPr>
              <w:pStyle w:val="ListBullet"/>
            </w:pPr>
            <w:r w:rsidRPr="005F3C40">
              <w:t>block diagram of the trace collection facility showing media devices</w:t>
            </w:r>
          </w:p>
          <w:p w:rsidR="00000000" w:rsidRPr="005F3C40" w:rsidP="005F3C40">
            <w:pPr>
              <w:pStyle w:val="ListBullet"/>
            </w:pPr>
            <w:r w:rsidRPr="005F3C40">
              <w:t>data and information</w:t>
            </w:r>
            <w:r w:rsidRPr="005F3C40">
              <w:t xml:space="preserve"> provided to other systems by the ATM system</w:t>
            </w:r>
          </w:p>
          <w:p w:rsidR="00000000" w:rsidRPr="005F3C40" w:rsidP="005F3C40">
            <w:pPr>
              <w:pStyle w:val="BodyText"/>
            </w:pPr>
          </w:p>
          <w:p w:rsidR="00000000" w:rsidRPr="005F3C40" w:rsidP="005F3C40">
            <w:pPr>
              <w:pStyle w:val="BodyText"/>
            </w:pPr>
            <w:r w:rsidRPr="005F3C40">
              <w:t>T8</w:t>
            </w:r>
            <w:r w:rsidRPr="005F3C40">
              <w:tab/>
              <w:t>The fallback system for ATM encompassing:</w:t>
            </w:r>
          </w:p>
          <w:p w:rsidR="00000000" w:rsidRPr="005F3C40" w:rsidP="005F3C40">
            <w:pPr>
              <w:pStyle w:val="ListBullet"/>
            </w:pPr>
            <w:r w:rsidRPr="005F3C40">
              <w:t>purpose of the Ultimate Fallback (UFB) system</w:t>
            </w:r>
          </w:p>
          <w:p w:rsidR="00000000" w:rsidRPr="005F3C40" w:rsidP="005F3C40">
            <w:pPr>
              <w:pStyle w:val="ListBullet"/>
            </w:pPr>
            <w:r w:rsidRPr="005F3C40">
              <w:t>block diagram of UFB indicating peripherals and connections</w:t>
            </w:r>
          </w:p>
          <w:p w:rsidR="00000000" w:rsidRPr="005F3C40" w:rsidP="005F3C40">
            <w:pPr>
              <w:pStyle w:val="ListBullet"/>
            </w:pPr>
            <w:r w:rsidRPr="005F3C40">
              <w:t>operating system and application software installed on the</w:t>
            </w:r>
            <w:r w:rsidRPr="005F3C40">
              <w:t xml:space="preserve"> UFB computers</w:t>
            </w:r>
          </w:p>
          <w:p w:rsidR="00000000" w:rsidRPr="005F3C40" w:rsidP="005F3C40">
            <w:pPr>
              <w:pStyle w:val="ListBullet"/>
            </w:pPr>
            <w:r w:rsidRPr="005F3C40">
              <w:t>information used by UFB</w:t>
            </w:r>
          </w:p>
          <w:p w:rsidR="00000000" w:rsidRPr="005F3C40" w:rsidP="005F3C40">
            <w:pPr>
              <w:pStyle w:val="ListBullet"/>
            </w:pPr>
            <w:r w:rsidRPr="005F3C40">
              <w:t>how the information is presented to the air traffic controllers</w:t>
            </w:r>
          </w:p>
          <w:p w:rsidR="00000000" w:rsidRPr="005F3C40" w:rsidP="005F3C40">
            <w:pPr>
              <w:pStyle w:val="ListBullet"/>
            </w:pPr>
            <w:r w:rsidRPr="005F3C40">
              <w:t>actions required by an air traffic controller to access UFB system</w:t>
            </w:r>
          </w:p>
          <w:p w:rsidR="00000000" w:rsidRPr="005F3C40" w:rsidP="005F3C40">
            <w:pPr>
              <w:pStyle w:val="BodyText"/>
            </w:pPr>
          </w:p>
          <w:p w:rsidR="00000000" w:rsidRPr="005F3C40" w:rsidP="005F3C40">
            <w:pPr>
              <w:pStyle w:val="BodyText"/>
            </w:pPr>
            <w:r w:rsidRPr="005F3C40">
              <w:t>T9</w:t>
            </w:r>
            <w:r w:rsidRPr="005F3C40">
              <w:tab/>
              <w:t>Voice switching and control System (VSCS) encompassing:</w:t>
            </w:r>
          </w:p>
          <w:p w:rsidR="00000000" w:rsidRPr="005F3C40" w:rsidP="005F3C40">
            <w:pPr>
              <w:pStyle w:val="ListBullet"/>
            </w:pPr>
            <w:r w:rsidRPr="005F3C40">
              <w:t>purpose of the Voice Swit</w:t>
            </w:r>
            <w:r w:rsidRPr="005F3C40">
              <w:t>ching and Control System (VSCS)</w:t>
            </w:r>
          </w:p>
          <w:p w:rsidR="00000000" w:rsidRPr="005F3C40" w:rsidP="005F3C40">
            <w:pPr>
              <w:pStyle w:val="ListBullet"/>
            </w:pPr>
            <w:r w:rsidRPr="005F3C40">
              <w:t>top level block diagram of the VSCS</w:t>
            </w:r>
          </w:p>
          <w:p w:rsidR="00000000" w:rsidRPr="005F3C40" w:rsidP="005F3C40">
            <w:pPr>
              <w:pStyle w:val="ListBullet"/>
            </w:pPr>
            <w:r w:rsidRPr="005F3C40">
              <w:t>top level operation and protocols used by the VSCS</w:t>
            </w:r>
          </w:p>
          <w:p w:rsidR="00000000" w:rsidRPr="005F3C40" w:rsidP="005F3C40">
            <w:pPr>
              <w:pStyle w:val="ListBullet"/>
            </w:pPr>
            <w:r w:rsidRPr="005F3C40">
              <w:t>various VSCS interfaces and functionality they provide</w:t>
            </w:r>
          </w:p>
          <w:p w:rsidR="00000000" w:rsidRPr="005F3C40" w:rsidP="005F3C40">
            <w:pPr>
              <w:pStyle w:val="ListBullet"/>
            </w:pPr>
            <w:r w:rsidRPr="005F3C40">
              <w:t>basic operation of an air to ground communication facility</w:t>
            </w:r>
          </w:p>
          <w:p w:rsidR="00000000" w:rsidRPr="005F3C40" w:rsidP="005F3C40">
            <w:pPr>
              <w:pStyle w:val="ListBullet"/>
            </w:pPr>
            <w:r w:rsidRPr="005F3C40">
              <w:t>need for and basic operation of air ground retransmission</w:t>
            </w:r>
          </w:p>
          <w:p w:rsidR="00000000" w:rsidRPr="005F3C40" w:rsidP="005F3C40">
            <w:pPr>
              <w:pStyle w:val="ListBullet"/>
            </w:pPr>
            <w:r w:rsidRPr="005F3C40">
              <w:t>requirement for and use of the audio recording and replay facility</w:t>
            </w:r>
          </w:p>
          <w:p w:rsidR="00000000" w:rsidRPr="005F3C40" w:rsidP="005F3C40">
            <w:pPr>
              <w:pStyle w:val="ListBullet"/>
            </w:pPr>
            <w:r w:rsidRPr="005F3C40">
              <w:t>block diagram of the audio recording and replay facilities showing the media access devices and connection to the VSCS</w:t>
            </w:r>
          </w:p>
          <w:p w:rsidR="00000000" w:rsidRPr="005F3C40" w:rsidP="005F3C40">
            <w:pPr>
              <w:pStyle w:val="ListBullet"/>
            </w:pPr>
            <w:r w:rsidRPr="005F3C40">
              <w:t>functionalit</w:t>
            </w:r>
            <w:r w:rsidRPr="005F3C40">
              <w:t>y provided by the System Management System (SMS)</w:t>
            </w:r>
          </w:p>
          <w:p w:rsidR="00000000" w:rsidRPr="005F3C40" w:rsidP="005F3C40">
            <w:pPr>
              <w:pStyle w:val="BodyText"/>
            </w:pPr>
          </w:p>
          <w:p w:rsidR="00000000" w:rsidRPr="005F3C40" w:rsidP="005F3C40">
            <w:pPr>
              <w:pStyle w:val="BodyText"/>
            </w:pPr>
            <w:r w:rsidRPr="005F3C40">
              <w:t>T10</w:t>
            </w:r>
            <w:r w:rsidRPr="005F3C40">
              <w:tab/>
              <w:t>Fallback for the voice switching and control system (VSCS) encompassing:</w:t>
            </w:r>
          </w:p>
          <w:p w:rsidR="00000000" w:rsidRPr="005F3C40" w:rsidP="005F3C40">
            <w:pPr>
              <w:pStyle w:val="ListBullet"/>
            </w:pPr>
            <w:r w:rsidRPr="005F3C40">
              <w:t>purpose and functionality provided by the Air Ground Air (AGA) Bypass facility</w:t>
            </w:r>
          </w:p>
          <w:p w:rsidR="00000000" w:rsidRPr="005F3C40" w:rsidP="005F3C40">
            <w:pPr>
              <w:pStyle w:val="ListBullet"/>
            </w:pPr>
            <w:r w:rsidRPr="005F3C40">
              <w:t xml:space="preserve">purpose and functionality provided by the Ground </w:t>
            </w:r>
            <w:r w:rsidRPr="005F3C40">
              <w:t>Ground (GG) Bypass facility</w:t>
            </w:r>
          </w:p>
          <w:p w:rsidR="00000000" w:rsidRPr="005F3C40" w:rsidP="005F3C40">
            <w:pPr>
              <w:pStyle w:val="ListBullet"/>
            </w:pPr>
            <w:r w:rsidRPr="005F3C40">
              <w:t>block diagram of the VSCS and AGA Bypass connections</w:t>
            </w:r>
          </w:p>
          <w:p w:rsidR="00000000" w:rsidRPr="005F3C40" w:rsidP="005F3C40">
            <w:pPr>
              <w:pStyle w:val="ListBullet"/>
            </w:pPr>
            <w:r w:rsidRPr="005F3C40">
              <w:t>block diagram of the VSCS and GG Bypass connections</w:t>
            </w:r>
          </w:p>
          <w:p w:rsidR="00000000" w:rsidRPr="005F3C40" w:rsidP="005F3C40">
            <w:pPr>
              <w:pStyle w:val="ListBullet"/>
            </w:pPr>
            <w:r w:rsidRPr="005F3C40">
              <w:t>how an air traffic controller would access the AGA or GG Bypass facility if required</w:t>
            </w:r>
          </w:p>
          <w:p w:rsidR="00000000" w:rsidRPr="005F3C40" w:rsidP="005F3C40">
            <w:pPr>
              <w:pStyle w:val="BodyText"/>
            </w:pPr>
          </w:p>
          <w:p w:rsidR="00000000" w:rsidRPr="005F3C40" w:rsidP="005F3C40">
            <w:pPr>
              <w:pStyle w:val="BodyText"/>
            </w:pPr>
            <w:r w:rsidRPr="005F3C40">
              <w:t>T11</w:t>
            </w:r>
            <w:r w:rsidRPr="005F3C40">
              <w:tab/>
              <w:t>Data and communication networks e</w:t>
            </w:r>
            <w:r w:rsidRPr="005F3C40">
              <w:t>ncompassing:</w:t>
            </w:r>
          </w:p>
          <w:p w:rsidR="00000000" w:rsidRPr="005F3C40" w:rsidP="005F3C40">
            <w:pPr>
              <w:pStyle w:val="ListBullet"/>
            </w:pPr>
            <w:r w:rsidRPr="005F3C40">
              <w:t>purpose and primary use of the networks used by the air traffic control system</w:t>
            </w:r>
          </w:p>
          <w:p w:rsidR="00000000" w:rsidRPr="005F3C40" w:rsidP="005F3C40">
            <w:pPr>
              <w:pStyle w:val="ListBullet"/>
            </w:pPr>
            <w:r w:rsidRPr="005F3C40">
              <w:t>systems and end users of each of the networks</w:t>
            </w:r>
          </w:p>
          <w:p w:rsidR="00000000" w:rsidRPr="005F3C40" w:rsidP="005F3C40">
            <w:pPr>
              <w:pStyle w:val="ListBullet"/>
            </w:pPr>
            <w:r w:rsidRPr="005F3C40">
              <w:t>block diagram to show the high level architecture of each of the networks</w:t>
            </w:r>
          </w:p>
          <w:p w:rsidR="00000000" w:rsidRPr="005F3C40" w:rsidP="005F3C40">
            <w:pPr>
              <w:pStyle w:val="ListBullet"/>
            </w:pPr>
            <w:r w:rsidRPr="005F3C40">
              <w:t>function of the networking devices used by the networks</w:t>
            </w:r>
          </w:p>
          <w:p w:rsidR="00000000" w:rsidRPr="005F3C40" w:rsidP="005F3C40">
            <w:pPr>
              <w:pStyle w:val="ListBullet"/>
            </w:pPr>
            <w:r w:rsidRPr="005F3C40">
              <w:t>technologies and protocols used by the networks</w:t>
            </w:r>
          </w:p>
          <w:p w:rsidR="00000000" w:rsidRPr="005F3C40" w:rsidP="005F3C40">
            <w:pPr>
              <w:pStyle w:val="BodyText"/>
            </w:pPr>
          </w:p>
          <w:p w:rsidR="00000000" w:rsidRPr="005F3C40" w:rsidP="005F3C40">
            <w:pPr>
              <w:pStyle w:val="BodyText"/>
            </w:pPr>
            <w:r w:rsidRPr="005F3C40">
              <w:t>T12</w:t>
            </w:r>
            <w:r w:rsidRPr="005F3C40">
              <w:tab/>
              <w:t>Aeronautical Fixed Telecommunications Network (AFTN) encompassing:</w:t>
            </w:r>
          </w:p>
          <w:p w:rsidR="00000000" w:rsidRPr="005F3C40" w:rsidP="005F3C40">
            <w:pPr>
              <w:pStyle w:val="ListBullet"/>
            </w:pPr>
            <w:r w:rsidRPr="005F3C40">
              <w:t>function of the AFTN</w:t>
            </w:r>
          </w:p>
          <w:p w:rsidR="00000000" w:rsidRPr="005F3C40" w:rsidP="005F3C40">
            <w:pPr>
              <w:pStyle w:val="ListBullet"/>
            </w:pPr>
            <w:r w:rsidRPr="005F3C40">
              <w:t>structure and type of message carried by the traditional A</w:t>
            </w:r>
            <w:r w:rsidRPr="005F3C40">
              <w:t>FTN</w:t>
            </w:r>
          </w:p>
          <w:p w:rsidR="00000000" w:rsidRPr="005F3C40" w:rsidP="005F3C40">
            <w:pPr>
              <w:pStyle w:val="ListBullet"/>
            </w:pPr>
            <w:r w:rsidRPr="005F3C40">
              <w:t>type of messages that can be distributed by more contemporary message systems</w:t>
            </w:r>
          </w:p>
          <w:p w:rsidR="00000000" w:rsidRPr="005F3C40" w:rsidP="005F3C40">
            <w:pPr>
              <w:pStyle w:val="ListBullet"/>
            </w:pPr>
            <w:r w:rsidRPr="005F3C40">
              <w:t>services provided by contemporary message systems</w:t>
            </w:r>
          </w:p>
          <w:p w:rsidR="00000000" w:rsidRPr="005F3C40" w:rsidP="005F3C40">
            <w:pPr>
              <w:pStyle w:val="ListBullet"/>
            </w:pPr>
            <w:r w:rsidRPr="005F3C40">
              <w:t>basic block diagram of a contemporary message system</w:t>
            </w:r>
          </w:p>
          <w:p w:rsidR="00000000" w:rsidRPr="005F3C40" w:rsidP="005F3C40">
            <w:pPr>
              <w:pStyle w:val="BodyText"/>
            </w:pPr>
          </w:p>
          <w:p w:rsidR="00000000" w:rsidRPr="005F3C40" w:rsidP="005F3C40">
            <w:pPr>
              <w:pStyle w:val="BodyText"/>
            </w:pPr>
            <w:r w:rsidRPr="005F3C40">
              <w:t>T13</w:t>
            </w:r>
            <w:r w:rsidRPr="005F3C40">
              <w:tab/>
              <w:t>Buildings and services encompassing:</w:t>
            </w:r>
          </w:p>
          <w:p w:rsidR="00000000" w:rsidRPr="005F3C40" w:rsidP="005F3C40">
            <w:pPr>
              <w:pStyle w:val="ListBullet"/>
            </w:pPr>
            <w:r w:rsidRPr="005F3C40">
              <w:t>building layout and format o</w:t>
            </w:r>
            <w:r w:rsidRPr="005F3C40">
              <w:t>f an air traffic control centre</w:t>
            </w:r>
          </w:p>
          <w:p w:rsidR="00000000" w:rsidRPr="005F3C40" w:rsidP="005F3C40">
            <w:pPr>
              <w:pStyle w:val="ListBullet"/>
            </w:pPr>
            <w:r w:rsidRPr="005F3C40">
              <w:t>building layout and format of an air traffic control tower</w:t>
            </w:r>
          </w:p>
          <w:p w:rsidR="00000000" w:rsidRPr="005F3C40" w:rsidP="005F3C40">
            <w:pPr>
              <w:pStyle w:val="ListBullet"/>
            </w:pPr>
            <w:r w:rsidRPr="005F3C40">
              <w:t>services required to support an air traffic control centre</w:t>
            </w:r>
          </w:p>
          <w:p w:rsidR="00000000" w:rsidRPr="005F3C40" w:rsidP="005F3C40">
            <w:pPr>
              <w:pStyle w:val="ListBullet"/>
            </w:pPr>
            <w:r w:rsidRPr="005F3C40">
              <w:t>block diagram of the air traffic control centre electrical power system including main power, standby gene</w:t>
            </w:r>
            <w:r w:rsidRPr="005F3C40">
              <w:t>rator, UPS, batteries, switching equipment</w:t>
            </w:r>
          </w:p>
          <w:p w:rsidR="00000000" w:rsidRPr="005F3C40" w:rsidP="005F3C40">
            <w:pPr>
              <w:pStyle w:val="ListBullet"/>
            </w:pPr>
            <w:r w:rsidRPr="005F3C40">
              <w:t>block diagram of the air traffic control centre airconditioning system including the major components and the primary and secondary loops</w:t>
            </w:r>
          </w:p>
          <w:p w:rsidR="00000000" w:rsidRPr="005F3C40" w:rsidP="005F3C40">
            <w:pPr>
              <w:pStyle w:val="ListBullet"/>
            </w:pPr>
            <w:r w:rsidRPr="005F3C40">
              <w:t xml:space="preserve">basic flow chart to show the interaction between the fire system and other </w:t>
            </w:r>
            <w:r w:rsidRPr="005F3C40">
              <w:t>services in the air traffic control centre</w:t>
            </w:r>
          </w:p>
          <w:p w:rsidR="00000000" w:rsidRPr="005F3C40" w:rsidP="005F3C40">
            <w:pPr>
              <w:pStyle w:val="ListBullet"/>
            </w:pPr>
            <w:r w:rsidRPr="005F3C40">
              <w:t>physical security requirements of an air traffic control centre</w:t>
            </w:r>
          </w:p>
          <w:p w:rsidR="00000000" w:rsidRPr="005F3C40" w:rsidP="005F3C40">
            <w:pPr>
              <w:pStyle w:val="ListBullet"/>
            </w:pPr>
            <w:r w:rsidRPr="005F3C40">
              <w:t>components and operation of the security system used in an air traffic control centre</w:t>
            </w:r>
          </w:p>
          <w:p w:rsidR="00000000" w:rsidRPr="005F3C40" w:rsidP="005F3C40">
            <w:pPr>
              <w:pStyle w:val="BodyText"/>
            </w:pPr>
          </w:p>
          <w:p w:rsidR="00000000" w:rsidRPr="005F3C40" w:rsidP="005F3C40">
            <w:pPr>
              <w:pStyle w:val="BodyText"/>
            </w:pPr>
            <w:r w:rsidRPr="005F3C40">
              <w:t>T14</w:t>
            </w:r>
            <w:r w:rsidRPr="005F3C40">
              <w:tab/>
              <w:t>Tower situational awareness display (TSAD) encompassing:</w:t>
            </w:r>
          </w:p>
          <w:p w:rsidR="00000000" w:rsidRPr="005F3C40" w:rsidP="005F3C40">
            <w:pPr>
              <w:pStyle w:val="ListBullet"/>
            </w:pPr>
            <w:r w:rsidRPr="005F3C40">
              <w:t>need for and functionality provided by the Tower Situational Awareness Display (TSAD) System</w:t>
            </w:r>
          </w:p>
          <w:p w:rsidR="00000000" w:rsidRPr="005F3C40" w:rsidP="005F3C40">
            <w:pPr>
              <w:pStyle w:val="ListBullet"/>
            </w:pPr>
            <w:r w:rsidRPr="005F3C40">
              <w:t>block diagram of a TSAD installation</w:t>
            </w:r>
          </w:p>
          <w:p w:rsidR="00000000" w:rsidRPr="005F3C40" w:rsidP="005F3C40">
            <w:pPr>
              <w:pStyle w:val="ListBullet"/>
            </w:pPr>
            <w:r w:rsidRPr="005F3C40">
              <w:t>the source of and the information used by the TSAD system</w:t>
            </w:r>
          </w:p>
          <w:p w:rsidR="00000000" w:rsidRPr="005F3C40" w:rsidP="005F3C40">
            <w:pPr>
              <w:pStyle w:val="ListBullet"/>
            </w:pPr>
            <w:r w:rsidRPr="005F3C40">
              <w:t>operating system and application software installed on the TSAD comp</w:t>
            </w:r>
            <w:r w:rsidRPr="005F3C40">
              <w:t>uters</w:t>
            </w:r>
          </w:p>
          <w:p w:rsidR="00000000" w:rsidRPr="005F3C40" w:rsidP="005F3C40">
            <w:pPr>
              <w:pStyle w:val="BodyText"/>
            </w:pPr>
          </w:p>
          <w:p w:rsidR="00000000" w:rsidRPr="005F3C40" w:rsidP="005F3C40">
            <w:pPr>
              <w:pStyle w:val="BodyText"/>
            </w:pPr>
            <w:r w:rsidRPr="005F3C40">
              <w:t>T15</w:t>
            </w:r>
            <w:r w:rsidRPr="005F3C40">
              <w:tab/>
              <w:t>Aeronautical Reference Data Display and Distribution System (ARDDDS) encompassing:</w:t>
            </w:r>
          </w:p>
          <w:p w:rsidR="00000000" w:rsidRPr="005F3C40" w:rsidP="005F3C40">
            <w:pPr>
              <w:pStyle w:val="ListBullet"/>
            </w:pPr>
            <w:r w:rsidRPr="005F3C40">
              <w:t>functionality provided by ARDDDS</w:t>
            </w:r>
          </w:p>
          <w:p w:rsidR="00000000" w:rsidRPr="005F3C40" w:rsidP="005F3C40">
            <w:pPr>
              <w:pStyle w:val="ListBullet"/>
            </w:pPr>
            <w:r w:rsidRPr="005F3C40">
              <w:t>block diagram of an ARDDDS installation</w:t>
            </w:r>
          </w:p>
          <w:p w:rsidR="00000000" w:rsidRPr="005F3C40" w:rsidP="005F3C40">
            <w:pPr>
              <w:pStyle w:val="ListBullet"/>
            </w:pPr>
            <w:r w:rsidRPr="005F3C40">
              <w:t>information used by the ARDDDS</w:t>
            </w:r>
          </w:p>
          <w:p w:rsidR="00000000" w:rsidRPr="005F3C40" w:rsidP="005F3C40">
            <w:pPr>
              <w:pStyle w:val="ListBullet"/>
            </w:pPr>
            <w:r w:rsidRPr="005F3C40">
              <w:t>operating system and application software installed on th</w:t>
            </w:r>
            <w:r w:rsidRPr="005F3C40">
              <w:t>e ARDDDS computers</w:t>
            </w:r>
          </w:p>
          <w:p w:rsidR="00000000" w:rsidRPr="005F3C40" w:rsidP="005F3C40">
            <w:pPr>
              <w:pStyle w:val="BodyText"/>
            </w:pPr>
          </w:p>
          <w:p w:rsidR="00000000" w:rsidRPr="005F3C40" w:rsidP="005F3C40">
            <w:pPr>
              <w:pStyle w:val="BodyText"/>
            </w:pPr>
            <w:r w:rsidRPr="005F3C40">
              <w:t>T16</w:t>
            </w:r>
            <w:r w:rsidRPr="005F3C40">
              <w:tab/>
              <w:t>Navigational aids encompassing:</w:t>
            </w:r>
          </w:p>
          <w:p w:rsidR="00000000" w:rsidRPr="005F3C40" w:rsidP="005F3C40">
            <w:pPr>
              <w:pStyle w:val="ListBullet"/>
            </w:pPr>
            <w:r w:rsidRPr="005F3C40">
              <w:t>purpose and functionality provided the navigational aids</w:t>
            </w:r>
          </w:p>
          <w:p w:rsidR="00000000" w:rsidRPr="005F3C40" w:rsidP="005F3C40">
            <w:pPr>
              <w:pStyle w:val="ListBullet"/>
            </w:pPr>
            <w:r w:rsidRPr="005F3C40">
              <w:t>location of navigational aids</w:t>
            </w:r>
          </w:p>
          <w:p w:rsidR="00000000" w:rsidRPr="005F3C40" w:rsidP="005F3C40">
            <w:pPr>
              <w:pStyle w:val="ListBullet"/>
            </w:pPr>
            <w:r w:rsidRPr="005F3C40">
              <w:t>basic principle of operation of the navigational aids</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10" w:name="O_588667"/>
      <w:bookmarkEnd w:id="10"/>
      <w:r w:rsidRPr="005F3C40">
        <w:t>Evidence Guide</w:t>
      </w:r>
    </w:p>
    <w:tbl>
      <w:tblPr>
        <w:tblW w:w="0" w:type="auto"/>
        <w:tblLayout w:type="fixed"/>
        <w:tblCellMar>
          <w:left w:w="62" w:type="dxa"/>
          <w:right w:w="62" w:type="dxa"/>
        </w:tblCellMar>
        <w:tblLook w:val="0000"/>
      </w:tblPr>
      <w:tblGrid>
        <w:gridCol w:w="8460"/>
      </w:tblGrid>
      <w:tr w:rsidTr="000828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EVIDENCE GUIDE</w:t>
            </w:r>
          </w:p>
        </w:tc>
      </w:tr>
      <w:tr w:rsidTr="000828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9)</w:t>
            </w:r>
            <w:r w:rsidRPr="005F3C40">
              <w:t xml:space="preserve"> The evidence guide provides advice on assessment and must be read in conjunction with the Performance Criteria, Required Skills and Knowledge, the Range Statement and the Assessment Guidelines for this Training Package. .</w:t>
            </w:r>
          </w:p>
          <w:p w:rsidR="00000000" w:rsidRPr="005F3C40" w:rsidP="005F3C40">
            <w:pPr>
              <w:pStyle w:val="BodyText"/>
            </w:pPr>
            <w:r w:rsidRPr="005F3C40">
              <w:t>The Evidence Guide forms an integ</w:t>
            </w:r>
            <w:r w:rsidRPr="005F3C40">
              <w:t>ral part of this unit. It must be used in conjunction with all parts of the unit and performed in accordance with the Assessment Guidelines of this Training Package.</w:t>
            </w:r>
          </w:p>
        </w:tc>
      </w:tr>
    </w:tbl>
    <w:p w:rsidR="00000000" w:rsidRPr="005F3C40" w:rsidP="005F3C40">
      <w:pPr>
        <w:pStyle w:val="BodyText"/>
      </w:pPr>
    </w:p>
    <w:tbl>
      <w:tblPr>
        <w:tblW w:w="0" w:type="auto"/>
        <w:tblLayout w:type="fixed"/>
        <w:tblCellMar>
          <w:left w:w="62" w:type="dxa"/>
          <w:right w:w="62" w:type="dxa"/>
        </w:tblCellMar>
        <w:tblLook w:val="0000"/>
      </w:tblPr>
      <w:tblGrid>
        <w:gridCol w:w="1890"/>
        <w:gridCol w:w="6570"/>
      </w:tblGrid>
      <w:tr w:rsidTr="00082871">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9.1)</w:t>
            </w:r>
          </w:p>
        </w:tc>
      </w:tr>
      <w:tr w:rsidTr="000828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Longitudinal competency development approaches to assessment, such as Profiling, require data to be reliably gathered in a form that can be consistently interpreted over time. This approach is best utilised in Apprenticeship programs and reduces assessment</w:t>
            </w:r>
            <w:r w:rsidRPr="005F3C40">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F3C40">
              <w:t>cy in a realistically simulated work environment. It is recognised that, in some circumstances, assessment in part or full can occur outside the workplace. However, it must be in accord with industry and regulatory policy.</w:t>
            </w:r>
          </w:p>
          <w:p w:rsidR="00000000" w:rsidRPr="005F3C40" w:rsidP="005F3C40">
            <w:pPr>
              <w:pStyle w:val="BodyText"/>
            </w:pPr>
            <w:r w:rsidRPr="005F3C40">
              <w:t>Methods chosen for a particular a</w:t>
            </w:r>
            <w:r w:rsidRPr="005F3C40">
              <w:t>ssessment will be influenced by various factors. These include the extent of the assessment, the most effective locations for the assessment activities to take place, access to physical resources, additional safety measures that may be required and the cri</w:t>
            </w:r>
            <w:r w:rsidRPr="005F3C40">
              <w:t>tical nature of the competencies being assessed.</w:t>
            </w:r>
          </w:p>
          <w:p w:rsidR="00000000" w:rsidRPr="005F3C40" w:rsidP="005F3C40">
            <w:pPr>
              <w:pStyle w:val="BodyText"/>
            </w:pPr>
            <w:r w:rsidRPr="005F3C40">
              <w:t>The critical safety nature of working with electricity, electrical equipment, gas or any other hazardous substance/material carries risk in deeming a person competent. Sources of evidence need to be ‘rich’ i</w:t>
            </w:r>
            <w:r w:rsidRPr="005F3C40">
              <w:t>n nature to minimise error in judgment.</w:t>
            </w:r>
          </w:p>
          <w:p w:rsidR="00000000" w:rsidRPr="005F3C40" w:rsidP="005F3C40">
            <w:pPr>
              <w:pStyle w:val="BodyText"/>
            </w:pPr>
            <w:r w:rsidRPr="005F3C40">
              <w:t>Activities associated with normal everyday work influence decisions about how/how much the data gathered will contribute to its ‘richness’. Some skills are more critical to safety and operational requirements while t</w:t>
            </w:r>
            <w:r w:rsidRPr="005F3C40">
              <w:t>he same skills may be more or less frequently practised. These points are raised for the assessors to consider when choosing an assessment method and developing assessment instruments. Sample assessment instruments are included for Assessors in the Assessm</w:t>
            </w:r>
            <w:r w:rsidRPr="005F3C40">
              <w:t>ent Guidelines of this Training Package.</w:t>
            </w:r>
          </w:p>
        </w:tc>
      </w:tr>
    </w:tbl>
    <w:p w:rsidR="00000000" w:rsidRPr="005F3C40" w:rsidP="005F3C40">
      <w:pPr>
        <w:pStyle w:val="BodyText"/>
      </w:pPr>
    </w:p>
    <w:tbl>
      <w:tblPr>
        <w:tblW w:w="0" w:type="auto"/>
        <w:tblLayout w:type="fixed"/>
        <w:tblCellMar>
          <w:left w:w="62" w:type="dxa"/>
          <w:right w:w="62" w:type="dxa"/>
        </w:tblCellMar>
        <w:tblLook w:val="0000"/>
      </w:tblPr>
      <w:tblGrid>
        <w:gridCol w:w="1890"/>
        <w:gridCol w:w="6570"/>
      </w:tblGrid>
      <w:tr w:rsidTr="000828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9.2)</w:t>
            </w:r>
          </w:p>
        </w:tc>
      </w:tr>
      <w:tr w:rsidTr="000828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Before the critical aspects of evidence are considered all prerequisites shall be met.</w:t>
            </w:r>
          </w:p>
          <w:p w:rsidR="00000000" w:rsidRPr="005F3C40" w:rsidP="005F3C40">
            <w:pPr>
              <w:pStyle w:val="BodyText"/>
            </w:pPr>
            <w:r w:rsidRPr="005F3C40">
              <w:t>Evidence for competence in this unit shall</w:t>
            </w:r>
            <w:r w:rsidRPr="005F3C40">
              <w:t xml:space="preserve"> be considered holistically.  Each Element and associated performance criteria shall be demonstrated on at least two occasions in accordance with the ‘Assessment Guidelines – UEE11’.  Evidence shall also comprise:</w:t>
            </w:r>
          </w:p>
          <w:p w:rsidR="00000000" w:rsidRPr="005F3C40" w:rsidP="005F3C40">
            <w:pPr>
              <w:pStyle w:val="ListBullet"/>
            </w:pPr>
            <w:r w:rsidRPr="005F3C40">
              <w:t>A representative body of work performance</w:t>
            </w:r>
            <w:r w:rsidRPr="005F3C40">
              <w:t xml:space="preserve"> demonstrated within the timeframes typically expected of the discipline, work function and industrial environment. In particular this shall incorporate evidence that shows a candidate is able to:</w:t>
            </w:r>
          </w:p>
          <w:p w:rsidR="00000000" w:rsidRPr="005F3C40" w:rsidP="005F3C40">
            <w:pPr>
              <w:pStyle w:val="ListBullet2"/>
            </w:pPr>
            <w:r w:rsidRPr="005F3C40">
              <w:t>Implement Occupational Health and Safety workplace procedures and practices, including the use of risk control measures as specified in the performance criteria and range statement</w:t>
            </w:r>
          </w:p>
          <w:p w:rsidR="00000000" w:rsidRPr="005F3C40" w:rsidP="005F3C40">
            <w:pPr>
              <w:pStyle w:val="ListBullet2"/>
            </w:pPr>
            <w:r w:rsidRPr="005F3C40">
              <w:t>Apply sustainable energy principles and practices as specified in the perfo</w:t>
            </w:r>
            <w:r w:rsidRPr="005F3C40">
              <w:t>rmance criteria and range statement</w:t>
            </w:r>
          </w:p>
          <w:p w:rsidR="00000000" w:rsidRPr="005F3C40" w:rsidP="005F3C40">
            <w:pPr>
              <w:pStyle w:val="ListBullet2"/>
            </w:pPr>
            <w:r w:rsidRPr="005F3C40">
              <w:t>Demonstrate an understanding of the essential knowledge and associated skills as described in this unit.  It may be required by some jurisdictions that RTOs provide a percentile graded result for the purpose of regulator</w:t>
            </w:r>
            <w:r w:rsidRPr="005F3C40">
              <w:t>y or licensing requirements.</w:t>
            </w:r>
          </w:p>
          <w:p w:rsidR="00000000" w:rsidRPr="005F3C40" w:rsidP="005F3C40">
            <w:pPr>
              <w:pStyle w:val="ListBullet2"/>
            </w:pPr>
            <w:r w:rsidRPr="005F3C40">
              <w:t>Demonstrate an appropriate level of skills enabling employment</w:t>
            </w:r>
          </w:p>
          <w:p w:rsidR="00000000" w:rsidRPr="005F3C40" w:rsidP="005F3C40">
            <w:pPr>
              <w:pStyle w:val="ListBullet2"/>
            </w:pPr>
            <w:r w:rsidRPr="005F3C40">
              <w:t>Conduct work observing the relevant Anti Discrimination legislation, regulations, polices and workplace procedures</w:t>
            </w:r>
          </w:p>
          <w:p w:rsidR="00000000" w:rsidRPr="005F3C40" w:rsidP="005F3C40">
            <w:pPr>
              <w:pStyle w:val="ListBullet"/>
            </w:pPr>
            <w:r w:rsidRPr="005F3C40">
              <w:t>Demonstrated consistent performance across a rep</w:t>
            </w:r>
            <w:r w:rsidRPr="005F3C40">
              <w:t>resentative range of contexts from the prescribed items below:</w:t>
            </w:r>
          </w:p>
          <w:p w:rsidR="00000000" w:rsidRPr="005F3C40" w:rsidP="005F3C40">
            <w:pPr>
              <w:pStyle w:val="ListBullet2"/>
            </w:pPr>
            <w:r w:rsidRPr="005F3C40">
              <w:t>Provide solutions to air traffic control systems problems as described in 8) and including:</w:t>
            </w:r>
          </w:p>
          <w:p w:rsidR="00000000" w:rsidRPr="005F3C40" w:rsidP="005F3C40">
            <w:pPr>
              <w:pStyle w:val="ListAlpha2"/>
            </w:pPr>
            <w:r w:rsidRPr="005F3C40">
              <w:t>Understanding the extent of the air traffic control system problem.</w:t>
            </w:r>
          </w:p>
          <w:p w:rsidR="00000000" w:rsidRPr="005F3C40" w:rsidP="005F3C40">
            <w:pPr>
              <w:pStyle w:val="ListAlpha2"/>
            </w:pPr>
            <w:r w:rsidRPr="005F3C40">
              <w:t>Obtaining air traffic control systems specifications and performance requirements appropriate to each problem.</w:t>
            </w:r>
          </w:p>
          <w:p w:rsidR="00000000" w:rsidRPr="005F3C40" w:rsidP="005F3C40">
            <w:pPr>
              <w:pStyle w:val="ListAlpha2"/>
            </w:pPr>
            <w:r w:rsidRPr="005F3C40">
              <w:t>Testing and solutions to air traffic control system problems.</w:t>
            </w:r>
          </w:p>
          <w:p w:rsidR="00000000" w:rsidRPr="005F3C40" w:rsidP="005F3C40">
            <w:pPr>
              <w:pStyle w:val="ListAlpha2"/>
            </w:pPr>
            <w:r w:rsidRPr="005F3C40">
              <w:t>Documenting justification of solutions implemented in accordance with established p</w:t>
            </w:r>
            <w:r w:rsidRPr="005F3C40">
              <w:t>rocedures.</w:t>
            </w:r>
          </w:p>
          <w:p w:rsidR="00000000" w:rsidRPr="005F3C40" w:rsidP="005F3C40">
            <w:pPr>
              <w:pStyle w:val="ListAlpha2"/>
            </w:pPr>
            <w:r w:rsidRPr="005F3C40">
              <w:t>Dealing with unplanned events by drawing on essential knowledge and skills to provide appropriate solutions incorporated in a holistic assessment with the above listed items.</w:t>
            </w:r>
          </w:p>
          <w:p w:rsidR="00000000" w:rsidRPr="005F3C40" w:rsidP="005F3C40">
            <w:pPr>
              <w:pStyle w:val="BodyText"/>
            </w:pPr>
            <w:r w:rsidRPr="005F3C40">
              <w:t>Note:</w:t>
            </w:r>
          </w:p>
          <w:p w:rsidR="00000000" w:rsidRPr="005F3C40" w:rsidP="005F3C40">
            <w:pPr>
              <w:pStyle w:val="BodyText"/>
            </w:pPr>
            <w:r w:rsidRPr="005F3C40">
              <w:t>Successful completion of relevant vendor training may be used to</w:t>
            </w:r>
            <w:r w:rsidRPr="005F3C40">
              <w:t xml:space="preserve"> contribute to evidence on which competency is deemed. In these cases the alignment of outcomes of vendor training with performance criteria and critical aspects of evidence shall be clearly identified.</w:t>
            </w:r>
          </w:p>
        </w:tc>
      </w:tr>
    </w:tbl>
    <w:p w:rsidR="00000000" w:rsidRPr="005F3C40" w:rsidP="005F3C40">
      <w:pPr>
        <w:pStyle w:val="BodyText"/>
      </w:pPr>
    </w:p>
    <w:tbl>
      <w:tblPr>
        <w:tblW w:w="0" w:type="auto"/>
        <w:tblLayout w:type="fixed"/>
        <w:tblCellMar>
          <w:left w:w="62" w:type="dxa"/>
          <w:right w:w="62" w:type="dxa"/>
        </w:tblCellMar>
        <w:tblLook w:val="0000"/>
      </w:tblPr>
      <w:tblGrid>
        <w:gridCol w:w="1890"/>
        <w:gridCol w:w="6570"/>
      </w:tblGrid>
      <w:tr w:rsidTr="0008287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9.</w:t>
            </w:r>
            <w:r w:rsidRPr="005F3C40">
              <w:rPr>
                <w:rStyle w:val="SpecialBold"/>
              </w:rPr>
              <w:t>3)</w:t>
            </w:r>
          </w:p>
        </w:tc>
      </w:tr>
      <w:tr w:rsidTr="0008287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This unit should be assessed as it relates to normal work practice using procedures, information and resources typical of a workplace. This should include:</w:t>
            </w:r>
          </w:p>
          <w:p w:rsidR="00000000" w:rsidRPr="005F3C40" w:rsidP="005F3C40">
            <w:pPr>
              <w:pStyle w:val="ListBullet"/>
            </w:pPr>
            <w:r w:rsidRPr="005F3C40">
              <w:t>OHS policy and work procedures and instructions.</w:t>
            </w:r>
          </w:p>
          <w:p w:rsidR="00000000" w:rsidRPr="005F3C40" w:rsidP="005F3C40">
            <w:pPr>
              <w:pStyle w:val="ListBullet"/>
            </w:pPr>
            <w:r w:rsidRPr="005F3C40">
              <w:t>Suitable work environment, facilities, equipment and materials to undertake actual work as prescribed by this unit.</w:t>
            </w:r>
          </w:p>
          <w:p w:rsidR="00000000" w:rsidRPr="005F3C40" w:rsidP="005F3C40">
            <w:pPr>
              <w:pStyle w:val="BodyText"/>
            </w:pPr>
            <w:r w:rsidRPr="005F3C40">
              <w:t>These should be part of the formal learning/assessment environment.</w:t>
            </w:r>
          </w:p>
          <w:p w:rsidR="00000000" w:rsidRPr="005F3C40" w:rsidP="005F3C40">
            <w:pPr>
              <w:pStyle w:val="BodyText"/>
            </w:pPr>
            <w:r w:rsidRPr="005F3C40">
              <w:t>Note:</w:t>
            </w:r>
          </w:p>
          <w:p w:rsidR="00000000" w:rsidRPr="005F3C40" w:rsidP="005F3C40">
            <w:pPr>
              <w:pStyle w:val="BodyText"/>
            </w:pPr>
            <w:r w:rsidRPr="005F3C40">
              <w:t>Where simulation is considered a suitable strategy for assessment,</w:t>
            </w:r>
            <w:r w:rsidRPr="005F3C40">
              <w:t xml:space="preserve"> conditions must be authentic and as far as possible reproduce and replicate the workplace and be consistent with the approved industry simulation policy.</w:t>
            </w:r>
          </w:p>
          <w:p w:rsidR="00000000" w:rsidRPr="005F3C40" w:rsidP="005F3C40">
            <w:pPr>
              <w:pStyle w:val="BodyText"/>
            </w:pPr>
            <w:r w:rsidRPr="005F3C40">
              <w:t xml:space="preserve">The resources used for assessment should reflect current industry practices in relation to providing </w:t>
            </w:r>
            <w:r w:rsidRPr="005F3C40">
              <w:t>solutions to air traffic control systems problems.</w:t>
            </w:r>
          </w:p>
        </w:tc>
      </w:tr>
    </w:tbl>
    <w:p w:rsidR="00000000" w:rsidRPr="005F3C40" w:rsidP="005F3C40">
      <w:pPr>
        <w:pStyle w:val="BodyText"/>
      </w:pPr>
    </w:p>
    <w:tbl>
      <w:tblPr>
        <w:tblW w:w="0" w:type="auto"/>
        <w:tblLayout w:type="fixed"/>
        <w:tblCellMar>
          <w:left w:w="62" w:type="dxa"/>
          <w:right w:w="62" w:type="dxa"/>
        </w:tblCellMar>
        <w:tblLook w:val="0000"/>
      </w:tblPr>
      <w:tblGrid>
        <w:gridCol w:w="1890"/>
        <w:gridCol w:w="6570"/>
      </w:tblGrid>
      <w:tr w:rsidTr="000828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9.4)</w:t>
            </w:r>
          </w:p>
        </w:tc>
      </w:tr>
      <w:tr w:rsidTr="000828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This unit shall be assessed by methods given in Volume 1, Part 3 ‘Assessment Guidelines’.</w:t>
            </w:r>
          </w:p>
          <w:p w:rsidR="00000000" w:rsidRPr="005F3C40" w:rsidP="005F3C40">
            <w:pPr>
              <w:pStyle w:val="BodyText"/>
            </w:pPr>
            <w:r w:rsidRPr="005F3C40">
              <w:t>Note:</w:t>
            </w:r>
          </w:p>
          <w:p w:rsidR="00000000" w:rsidRPr="005F3C40" w:rsidP="005F3C40">
            <w:pPr>
              <w:pStyle w:val="BodyText"/>
            </w:pPr>
            <w:r w:rsidRPr="005F3C40">
              <w:t>Competent performance with inherent safe working practices is expected in the industry to which this unit applies. This requires that the specified essential knowledge and associated skills are assessed in a structured environment which is primarily intend</w:t>
            </w:r>
            <w:r w:rsidRPr="005F3C40">
              <w:t>ed for learning/assessment and incorporates all necessary equipment and facilities for learners to develop and demonstrate the essential knowledge and skills described in this unit.</w:t>
            </w:r>
          </w:p>
        </w:tc>
      </w:tr>
    </w:tbl>
    <w:p w:rsidR="00000000" w:rsidRPr="005F3C40" w:rsidP="005F3C40">
      <w:pPr>
        <w:pStyle w:val="BodyText"/>
      </w:pPr>
    </w:p>
    <w:tbl>
      <w:tblPr>
        <w:tblW w:w="0" w:type="auto"/>
        <w:tblLayout w:type="fixed"/>
        <w:tblCellMar>
          <w:left w:w="62" w:type="dxa"/>
          <w:right w:w="62" w:type="dxa"/>
        </w:tblCellMar>
        <w:tblLook w:val="0000"/>
      </w:tblPr>
      <w:tblGrid>
        <w:gridCol w:w="1890"/>
        <w:gridCol w:w="6570"/>
      </w:tblGrid>
      <w:tr w:rsidTr="000828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9.5)</w:t>
            </w:r>
          </w:p>
        </w:tc>
      </w:tr>
      <w:tr w:rsidTr="000828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There are</w:t>
            </w:r>
            <w:r w:rsidRPr="005F3C40">
              <w:t xml:space="preserve"> no concurrent assessment recommendations for this unit.</w:t>
            </w:r>
          </w:p>
          <w:p w:rsidR="00000000" w:rsidRPr="005F3C40" w:rsidP="005F3C40">
            <w:pPr>
              <w:pStyle w:val="BodyText"/>
            </w:pPr>
            <w:r w:rsidRPr="005F3C40">
              <w:t>The critical aspects of occupational health and safety covered in unit UEENEEE101A and other discipline specific occupational health and safety units shall be incorporated in relation to this unit.</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11" w:name="O_588666"/>
      <w:bookmarkEnd w:id="11"/>
      <w:r w:rsidRPr="005F3C40">
        <w:t>Range Statement</w:t>
      </w:r>
    </w:p>
    <w:tbl>
      <w:tblPr>
        <w:tblW w:w="0" w:type="auto"/>
        <w:tblLayout w:type="fixed"/>
        <w:tblCellMar>
          <w:left w:w="62" w:type="dxa"/>
          <w:right w:w="62" w:type="dxa"/>
        </w:tblCellMar>
        <w:tblLook w:val="0000"/>
      </w:tblPr>
      <w:tblGrid>
        <w:gridCol w:w="8460"/>
      </w:tblGrid>
      <w:tr w:rsidTr="000828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RANGE STATEMENT</w:t>
            </w:r>
          </w:p>
        </w:tc>
      </w:tr>
      <w:tr w:rsidTr="000828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10)</w:t>
            </w:r>
            <w:r w:rsidRPr="005F3C40">
              <w:t xml:space="preserve">  This relates to the unit as a whole providing the range of contexts and conditions to which the performance criteria apply. It allows for different work environments and situations that will affect pe</w:t>
            </w:r>
            <w:r w:rsidRPr="005F3C40">
              <w:t>rformance.</w:t>
            </w:r>
          </w:p>
          <w:p w:rsidR="00000000" w:rsidRPr="005F3C40" w:rsidP="005F3C40">
            <w:pPr>
              <w:pStyle w:val="BodyText"/>
            </w:pPr>
            <w:r w:rsidRPr="005F3C40">
              <w:t>This unit shall be demonstrated in relation to providing solutions to at least four air traffic control system problems.</w:t>
            </w:r>
          </w:p>
          <w:p w:rsidR="00000000" w:rsidRPr="005F3C40" w:rsidP="005F3C40">
            <w:pPr>
              <w:pStyle w:val="BodyText"/>
            </w:pPr>
            <w:r w:rsidRPr="005F3C40">
              <w:t>Systems problems could cover Air Traffic Management (ATM), Voice Switching and Control (VSCS), Data and Communications Netwo</w:t>
            </w:r>
            <w:r w:rsidRPr="005F3C40">
              <w:t xml:space="preserve">rks, Aeronautical Fixed Telecommunications Network (AFTN), Control Maintenance Monitoring (CMM), Operational Display Suite (ODS), Air Situation Display (ASD), Tower Situational Awareness Display (TSAD), Aeronautical Reference Data Display and Distribution </w:t>
            </w:r>
            <w:r w:rsidRPr="005F3C40">
              <w:t>System (ARDDDS), backup to the above systems, Buildings &amp; Services and Navigational Aids.</w:t>
            </w:r>
          </w:p>
          <w:p w:rsidR="00000000" w:rsidRPr="005F3C40" w:rsidP="005F3C40">
            <w:pPr>
              <w:pStyle w:val="BodyText"/>
            </w:pPr>
          </w:p>
          <w:p w:rsidR="00000000" w:rsidRPr="005F3C40" w:rsidP="005F3C40">
            <w:pPr>
              <w:pStyle w:val="BodyText"/>
            </w:pPr>
            <w:r w:rsidRPr="005F3C40">
              <w:t>Note.</w:t>
            </w:r>
          </w:p>
          <w:p w:rsidR="00000000" w:rsidRPr="005F3C40" w:rsidP="005F3C40">
            <w:pPr>
              <w:pStyle w:val="BodyText"/>
            </w:pPr>
            <w:r w:rsidRPr="005F3C40">
              <w:t>Typical air traffic control systems problems are those encountered in meeting performance requirements and compliance standards, revising control operating par</w:t>
            </w:r>
            <w:r w:rsidRPr="005F3C40">
              <w:t>ameters and dealing with systems malfunctions.</w:t>
            </w:r>
          </w:p>
          <w:p w:rsidR="00000000" w:rsidRPr="005F3C40" w:rsidP="005F3C40">
            <w:pPr>
              <w:pStyle w:val="BodyText"/>
            </w:pPr>
            <w:r w:rsidRPr="005F3C40">
              <w:t>Generic terms used throughout this Vocational Standard shall be regarded as part of the Range Statement in which competency is demonstrated. The definition of these and other terms that apply are given in Volu</w:t>
            </w:r>
            <w:r w:rsidRPr="005F3C40">
              <w:t>me 2, Part 2.1.</w:t>
            </w:r>
          </w:p>
        </w:tc>
      </w:tr>
    </w:tbl>
    <w:p w:rsidR="00000000" w:rsidRPr="005F3C40" w:rsidP="005F3C40">
      <w:pPr>
        <w:pStyle w:val="BodyText"/>
      </w:pPr>
    </w:p>
    <w:p w:rsidR="00000000" w:rsidRPr="005F3C40" w:rsidP="005F3C40">
      <w:pPr>
        <w:pStyle w:val="AllowPageBreak"/>
      </w:pPr>
    </w:p>
    <w:p w:rsidR="00000000" w:rsidRPr="005F3C40" w:rsidP="005F3C40">
      <w:pPr>
        <w:pStyle w:val="Heading1"/>
      </w:pPr>
      <w:bookmarkStart w:id="12" w:name="O_588665"/>
      <w:bookmarkEnd w:id="12"/>
      <w:r w:rsidRPr="005F3C40">
        <w:t>Unit Sector(s)</w:t>
      </w:r>
    </w:p>
    <w:p w:rsidR="00000000" w:rsidRPr="005F3C40" w:rsidP="005F3C40">
      <w:pPr>
        <w:pStyle w:val="BodyText"/>
      </w:pPr>
      <w:r w:rsidRPr="005F3C40">
        <w:t>Not applicable.</w:t>
      </w:r>
    </w:p>
    <w:p w:rsidR="00000000" w:rsidRPr="005F3C40" w:rsidP="005F3C40">
      <w:pPr>
        <w:pStyle w:val="AllowPageBreak"/>
      </w:pPr>
    </w:p>
    <w:p w:rsidR="00000000" w:rsidRPr="005F3C40" w:rsidP="005F3C40">
      <w:pPr>
        <w:pStyle w:val="Heading1"/>
      </w:pPr>
      <w:bookmarkStart w:id="13" w:name="O_588664"/>
      <w:bookmarkEnd w:id="13"/>
      <w:r w:rsidRPr="005F3C40">
        <w:t>Competency Field</w:t>
      </w:r>
    </w:p>
    <w:tbl>
      <w:tblPr>
        <w:tblW w:w="0" w:type="auto"/>
        <w:tblLayout w:type="fixed"/>
        <w:tblCellMar>
          <w:left w:w="62" w:type="dxa"/>
          <w:right w:w="62" w:type="dxa"/>
        </w:tblCellMar>
        <w:tblLook w:val="0000"/>
      </w:tblPr>
      <w:tblGrid>
        <w:gridCol w:w="2700"/>
        <w:gridCol w:w="5760"/>
      </w:tblGrid>
      <w:tr w:rsidTr="00082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F3C40">
            <w:pPr>
              <w:pStyle w:val="BodyText"/>
              <w:rPr>
                <w:lang w:val="en-NZ"/>
              </w:rPr>
            </w:pPr>
            <w:r w:rsidRPr="005F3C40">
              <w:rPr>
                <w:rStyle w:val="SpecialBold"/>
              </w:rPr>
              <w:t xml:space="preserve">11) </w:t>
            </w:r>
          </w:p>
        </w:tc>
      </w:tr>
      <w:tr w:rsidTr="00082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3C40" w:rsidP="005F3C40">
            <w:pPr>
              <w:pStyle w:val="BodyText"/>
            </w:pPr>
            <w:r w:rsidRPr="005F3C40">
              <w:t>Electronics</w:t>
            </w:r>
          </w:p>
        </w:tc>
      </w:tr>
    </w:tbl>
    <w:p w:rsidR="00000000" w:rsidRPr="005F3C40" w:rsidP="005F3C40">
      <w:pPr>
        <w:pStyle w:val="BodyText"/>
      </w:pPr>
    </w:p>
    <w:p w:rsidR="00000000" w:rsidRPr="005F3C40" w:rsidP="005F3C40"/>
    <w:sectPr w:rsidSect="005F3C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40" w:rsidRPr="00082871" w:rsidP="00082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71" w:rsidP="005F3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2871" w:rsidP="005F3C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82871" w:rsidP="005F3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40" w:rsidRPr="00082871" w:rsidP="000828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71" w:rsidRPr="002D2AF8" w:rsidP="005F3C40">
    <w:pPr>
      <w:pStyle w:val="Header"/>
      <w:framePr w:wrap="around"/>
    </w:pPr>
    <w:r>
      <w:fldChar w:fldCharType="begin"/>
    </w:r>
    <w:r>
      <w:instrText xml:space="preserve"> TITLE   \* MERGEFORMAT </w:instrText>
    </w:r>
    <w:r>
      <w:fldChar w:fldCharType="separate"/>
    </w:r>
    <w:r>
      <w:t>UEENEEH190A Provide engineering solutions to air traffic control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82871" w:rsidP="005F3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01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6F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38F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B4520DF"/>
    <w:multiLevelType w:val="multilevel"/>
    <w:tmpl w:val="68A0437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C40"/>
    <w:pPr>
      <w:spacing w:before="360" w:after="60"/>
      <w:outlineLvl w:val="0"/>
    </w:pPr>
    <w:rPr>
      <w:sz w:val="32"/>
    </w:rPr>
  </w:style>
  <w:style w:type="paragraph" w:styleId="Heading2">
    <w:name w:val="heading 2"/>
    <w:basedOn w:val="HeadingBase"/>
    <w:next w:val="BodyText"/>
    <w:link w:val="Heading2Char"/>
    <w:qFormat/>
    <w:rsid w:val="005F3C40"/>
    <w:pPr>
      <w:keepLines/>
      <w:spacing w:before="240" w:after="120"/>
      <w:outlineLvl w:val="1"/>
    </w:pPr>
    <w:rPr>
      <w:sz w:val="28"/>
      <w:szCs w:val="40"/>
    </w:rPr>
  </w:style>
  <w:style w:type="paragraph" w:styleId="Heading3">
    <w:name w:val="heading 3"/>
    <w:basedOn w:val="HeadingBase"/>
    <w:next w:val="BodyText"/>
    <w:link w:val="Heading3Char"/>
    <w:qFormat/>
    <w:rsid w:val="005F3C40"/>
    <w:pPr>
      <w:spacing w:before="180" w:after="120"/>
      <w:outlineLvl w:val="2"/>
    </w:pPr>
    <w:rPr>
      <w:spacing w:val="-10"/>
      <w:kern w:val="32"/>
    </w:rPr>
  </w:style>
  <w:style w:type="paragraph" w:styleId="Heading4">
    <w:name w:val="heading 4"/>
    <w:basedOn w:val="HeadingBase"/>
    <w:next w:val="BodyText"/>
    <w:link w:val="Heading4Char"/>
    <w:qFormat/>
    <w:rsid w:val="005F3C40"/>
    <w:pPr>
      <w:spacing w:before="160" w:after="120"/>
      <w:outlineLvl w:val="3"/>
    </w:pPr>
    <w:rPr>
      <w:sz w:val="22"/>
    </w:rPr>
  </w:style>
  <w:style w:type="paragraph" w:styleId="Heading5">
    <w:name w:val="heading 5"/>
    <w:basedOn w:val="HeadingBase"/>
    <w:next w:val="Normal"/>
    <w:link w:val="Heading5Char"/>
    <w:qFormat/>
    <w:rsid w:val="005F3C40"/>
    <w:pPr>
      <w:spacing w:before="80"/>
      <w:outlineLvl w:val="4"/>
    </w:pPr>
    <w:rPr>
      <w:color w:val="918585"/>
      <w:sz w:val="20"/>
    </w:rPr>
  </w:style>
  <w:style w:type="paragraph" w:styleId="Heading6">
    <w:name w:val="heading 6"/>
    <w:basedOn w:val="HeadingBase"/>
    <w:next w:val="Normal"/>
    <w:link w:val="Heading6Char"/>
    <w:qFormat/>
    <w:rsid w:val="005F3C40"/>
    <w:pPr>
      <w:spacing w:before="60"/>
      <w:outlineLvl w:val="5"/>
    </w:pPr>
    <w:rPr>
      <w:color w:val="918585"/>
      <w:sz w:val="20"/>
    </w:rPr>
  </w:style>
  <w:style w:type="paragraph" w:styleId="Heading7">
    <w:name w:val="heading 7"/>
    <w:basedOn w:val="Normal"/>
    <w:next w:val="Normal"/>
    <w:link w:val="Heading7Char"/>
    <w:qFormat/>
    <w:rsid w:val="005F3C40"/>
    <w:pPr>
      <w:ind w:left="720"/>
      <w:outlineLvl w:val="6"/>
    </w:pPr>
    <w:rPr>
      <w:i/>
    </w:rPr>
  </w:style>
  <w:style w:type="paragraph" w:styleId="Heading8">
    <w:name w:val="heading 8"/>
    <w:basedOn w:val="Normal"/>
    <w:next w:val="Normal"/>
    <w:link w:val="Heading8Char"/>
    <w:qFormat/>
    <w:rsid w:val="005F3C40"/>
    <w:pPr>
      <w:ind w:left="720"/>
      <w:outlineLvl w:val="7"/>
    </w:pPr>
    <w:rPr>
      <w:i/>
    </w:rPr>
  </w:style>
  <w:style w:type="paragraph" w:styleId="Heading9">
    <w:name w:val="heading 9"/>
    <w:basedOn w:val="Normal"/>
    <w:next w:val="Normal"/>
    <w:link w:val="Heading9Char"/>
    <w:qFormat/>
    <w:rsid w:val="005F3C40"/>
    <w:pPr>
      <w:ind w:left="720"/>
      <w:outlineLvl w:val="8"/>
    </w:pPr>
    <w:rPr>
      <w:i/>
    </w:rPr>
  </w:style>
  <w:style w:type="character" w:default="1" w:styleId="DefaultParagraphFont">
    <w:name w:val="Default Paragraph Font"/>
    <w:uiPriority w:val="1"/>
    <w:unhideWhenUsed/>
    <w:rsid w:val="005F3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C40"/>
  </w:style>
  <w:style w:type="character" w:customStyle="1" w:styleId="Heading1Char">
    <w:name w:val="Heading 1 Char"/>
    <w:basedOn w:val="DefaultParagraphFont"/>
    <w:link w:val="Heading1"/>
    <w:rsid w:val="005F3C40"/>
    <w:rPr>
      <w:rFonts w:ascii="Times New Roman" w:eastAsia="Times New Roman" w:hAnsi="Times New Roman" w:cs="Times New Roman"/>
      <w:b/>
      <w:sz w:val="32"/>
      <w:szCs w:val="20"/>
      <w:lang w:eastAsia="en-US"/>
    </w:rPr>
  </w:style>
  <w:style w:type="paragraph" w:styleId="BodyText">
    <w:name w:val="Body Text"/>
    <w:basedOn w:val="Normal"/>
    <w:link w:val="BodyTextChar"/>
    <w:rsid w:val="005F3C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C40"/>
    <w:rPr>
      <w:rFonts w:ascii="Times New Roman" w:eastAsia="Times New Roman" w:hAnsi="Times New Roman" w:cs="Times New Roman"/>
      <w:sz w:val="24"/>
      <w:lang w:eastAsia="en-US"/>
    </w:rPr>
  </w:style>
  <w:style w:type="paragraph" w:styleId="ListBullet">
    <w:name w:val="List Bullet"/>
    <w:basedOn w:val="List"/>
    <w:rsid w:val="005F3C40"/>
    <w:pPr>
      <w:numPr>
        <w:numId w:val="13"/>
      </w:numPr>
      <w:tabs>
        <w:tab w:val="clear" w:pos="340"/>
      </w:tabs>
      <w:spacing w:before="40" w:after="40"/>
    </w:pPr>
  </w:style>
  <w:style w:type="character" w:customStyle="1" w:styleId="SpecialBold">
    <w:name w:val="Special Bold"/>
    <w:basedOn w:val="DefaultParagraphFont"/>
    <w:rsid w:val="005F3C40"/>
    <w:rPr>
      <w:b/>
      <w:spacing w:val="0"/>
    </w:rPr>
  </w:style>
  <w:style w:type="paragraph" w:styleId="ListBullet2">
    <w:name w:val="List Bullet 2"/>
    <w:basedOn w:val="List2"/>
    <w:rsid w:val="005F3C40"/>
    <w:pPr>
      <w:numPr>
        <w:numId w:val="14"/>
      </w:numPr>
      <w:tabs>
        <w:tab w:val="clear" w:pos="680"/>
      </w:tabs>
    </w:pPr>
  </w:style>
  <w:style w:type="paragraph" w:customStyle="1" w:styleId="SuperHeading">
    <w:name w:val="SuperHeading"/>
    <w:basedOn w:val="Normal"/>
    <w:rsid w:val="005F3C40"/>
    <w:pPr>
      <w:spacing w:before="240" w:after="120"/>
      <w:outlineLvl w:val="0"/>
    </w:pPr>
    <w:rPr>
      <w:rFonts w:ascii="Times New Roman" w:hAnsi="Times New Roman"/>
      <w:b/>
      <w:sz w:val="32"/>
    </w:rPr>
  </w:style>
  <w:style w:type="paragraph" w:customStyle="1" w:styleId="AllowPageBreak">
    <w:name w:val="AllowPageBreak"/>
    <w:rsid w:val="005F3C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5F3C40"/>
    <w:pPr>
      <w:numPr>
        <w:numId w:val="8"/>
      </w:numPr>
    </w:pPr>
  </w:style>
  <w:style w:type="character" w:customStyle="1" w:styleId="Heading2Char">
    <w:name w:val="Heading 2 Char"/>
    <w:basedOn w:val="DefaultParagraphFont"/>
    <w:link w:val="Heading2"/>
    <w:rsid w:val="005F3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C40"/>
    <w:rPr>
      <w:rFonts w:ascii="Courier New" w:eastAsia="Times New Roman" w:hAnsi="Courier New" w:cs="Times New Roman"/>
      <w:i/>
      <w:szCs w:val="20"/>
      <w:lang w:eastAsia="en-US"/>
    </w:rPr>
  </w:style>
  <w:style w:type="paragraph" w:customStyle="1" w:styleId="HeadingBase">
    <w:name w:val="Heading Base"/>
    <w:rsid w:val="005F3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C40"/>
    <w:pPr>
      <w:tabs>
        <w:tab w:val="right" w:leader="dot" w:pos="9072"/>
      </w:tabs>
      <w:ind w:left="567"/>
    </w:pPr>
    <w:rPr>
      <w:szCs w:val="22"/>
    </w:rPr>
  </w:style>
  <w:style w:type="paragraph" w:customStyle="1" w:styleId="TOCBase">
    <w:name w:val="TOC Base"/>
    <w:rsid w:val="005F3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C40"/>
    <w:pPr>
      <w:tabs>
        <w:tab w:val="right" w:leader="dot" w:pos="9072"/>
      </w:tabs>
      <w:spacing w:before="40" w:after="40"/>
      <w:ind w:left="284"/>
    </w:pPr>
    <w:rPr>
      <w:rFonts w:ascii="Times New Roman" w:hAnsi="Times New Roman"/>
    </w:rPr>
  </w:style>
  <w:style w:type="paragraph" w:styleId="TOC1">
    <w:name w:val="toc 1"/>
    <w:basedOn w:val="TOCBase"/>
    <w:next w:val="Normal"/>
    <w:rsid w:val="005F3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C40"/>
    <w:rPr>
      <w:rFonts w:ascii="Times New Roman" w:eastAsia="Times New Roman" w:hAnsi="Times New Roman" w:cs="Times New Roman"/>
      <w:sz w:val="16"/>
      <w:lang w:eastAsia="en-US"/>
    </w:rPr>
  </w:style>
  <w:style w:type="paragraph" w:styleId="Title">
    <w:name w:val="Title"/>
    <w:basedOn w:val="HeadingBase"/>
    <w:link w:val="TitleChar"/>
    <w:qFormat/>
    <w:rsid w:val="005F3C40"/>
    <w:pPr>
      <w:spacing w:before="5040"/>
      <w:jc w:val="center"/>
    </w:pPr>
    <w:rPr>
      <w:sz w:val="48"/>
      <w:szCs w:val="72"/>
      <w:lang w:val="en-US"/>
    </w:rPr>
  </w:style>
  <w:style w:type="character" w:customStyle="1" w:styleId="TitleChar">
    <w:name w:val="Title Char"/>
    <w:basedOn w:val="DefaultParagraphFont"/>
    <w:link w:val="Title"/>
    <w:rsid w:val="005F3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C40"/>
    <w:pPr>
      <w:tabs>
        <w:tab w:val="left" w:pos="3600"/>
        <w:tab w:val="left" w:pos="3958"/>
      </w:tabs>
    </w:pPr>
  </w:style>
  <w:style w:type="paragraph" w:styleId="List">
    <w:name w:val="List"/>
    <w:basedOn w:val="BodyText"/>
    <w:next w:val="BodyText"/>
    <w:rsid w:val="005F3C40"/>
    <w:pPr>
      <w:tabs>
        <w:tab w:val="left" w:pos="340"/>
      </w:tabs>
      <w:spacing w:before="60" w:after="60"/>
      <w:ind w:left="340" w:hanging="340"/>
    </w:pPr>
  </w:style>
  <w:style w:type="paragraph" w:customStyle="1" w:styleId="Note">
    <w:name w:val="Note"/>
    <w:basedOn w:val="BodyText"/>
    <w:rsid w:val="005F3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C40"/>
    <w:pPr>
      <w:framePr w:wrap="auto" w:hAnchor="text" w:y="6049"/>
    </w:pPr>
    <w:rPr>
      <w:color w:val="000000"/>
      <w:sz w:val="40"/>
    </w:rPr>
  </w:style>
  <w:style w:type="paragraph" w:customStyle="1" w:styleId="TOCTitle">
    <w:name w:val="TOCTitle"/>
    <w:basedOn w:val="Heading1"/>
    <w:rsid w:val="005F3C40"/>
    <w:pPr>
      <w:spacing w:after="240"/>
      <w:jc w:val="center"/>
      <w:outlineLvl w:val="9"/>
    </w:pPr>
    <w:rPr>
      <w:caps/>
    </w:rPr>
  </w:style>
  <w:style w:type="paragraph" w:customStyle="1" w:styleId="Version">
    <w:name w:val="Version"/>
    <w:rsid w:val="005F3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C40"/>
    <w:pPr>
      <w:keepNext w:val="0"/>
      <w:tabs>
        <w:tab w:val="right" w:pos="4176"/>
      </w:tabs>
      <w:ind w:left="198" w:hanging="198"/>
    </w:pPr>
    <w:rPr>
      <w:rFonts w:ascii="Garamond" w:hAnsi="Garamond"/>
    </w:rPr>
  </w:style>
  <w:style w:type="paragraph" w:styleId="IndexHeading">
    <w:name w:val="index heading"/>
    <w:basedOn w:val="Normal"/>
    <w:next w:val="Index1"/>
    <w:semiHidden/>
    <w:rsid w:val="005F3C40"/>
    <w:pPr>
      <w:spacing w:before="120" w:after="120"/>
    </w:pPr>
    <w:rPr>
      <w:rFonts w:ascii="Arial" w:hAnsi="Arial"/>
      <w:b/>
      <w:color w:val="918585"/>
      <w:sz w:val="24"/>
    </w:rPr>
  </w:style>
  <w:style w:type="paragraph" w:styleId="Header">
    <w:name w:val="header"/>
    <w:basedOn w:val="Normal"/>
    <w:link w:val="HeaderChar"/>
    <w:rsid w:val="005F3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C40"/>
    <w:rPr>
      <w:rFonts w:ascii="Times New Roman" w:eastAsia="Times New Roman" w:hAnsi="Times New Roman" w:cs="Times New Roman"/>
      <w:sz w:val="16"/>
      <w:szCs w:val="20"/>
      <w:lang w:val="en-GB" w:eastAsia="en-US"/>
    </w:rPr>
  </w:style>
  <w:style w:type="paragraph" w:customStyle="1" w:styleId="Chapter">
    <w:name w:val="Chapter"/>
    <w:basedOn w:val="Normal"/>
    <w:rsid w:val="005F3C40"/>
    <w:pPr>
      <w:spacing w:before="240"/>
    </w:pPr>
    <w:rPr>
      <w:rFonts w:ascii="Times New Roman" w:hAnsi="Times New Roman"/>
      <w:smallCaps/>
      <w:spacing w:val="80"/>
      <w:sz w:val="28"/>
    </w:rPr>
  </w:style>
  <w:style w:type="paragraph" w:customStyle="1" w:styleId="InChapter">
    <w:name w:val="InChapter"/>
    <w:basedOn w:val="Heading3"/>
    <w:rsid w:val="005F3C40"/>
    <w:pPr>
      <w:spacing w:after="240"/>
      <w:outlineLvl w:val="9"/>
    </w:pPr>
    <w:rPr>
      <w:noProof/>
    </w:rPr>
  </w:style>
  <w:style w:type="paragraph" w:styleId="Index2">
    <w:name w:val="index 2"/>
    <w:basedOn w:val="Normal"/>
    <w:next w:val="Normal"/>
    <w:semiHidden/>
    <w:rsid w:val="005F3C40"/>
    <w:pPr>
      <w:tabs>
        <w:tab w:val="right" w:pos="4176"/>
      </w:tabs>
      <w:ind w:left="568" w:hanging="284"/>
    </w:pPr>
    <w:rPr>
      <w:rFonts w:ascii="Garamond" w:hAnsi="Garamond"/>
    </w:rPr>
  </w:style>
  <w:style w:type="paragraph" w:customStyle="1" w:styleId="Byline">
    <w:name w:val="Byline"/>
    <w:rsid w:val="005F3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C40"/>
    <w:pPr>
      <w:tabs>
        <w:tab w:val="clear" w:pos="3600"/>
        <w:tab w:val="clear" w:pos="3958"/>
      </w:tabs>
      <w:jc w:val="right"/>
    </w:pPr>
  </w:style>
  <w:style w:type="character" w:styleId="Emphasis">
    <w:name w:val="Emphasis"/>
    <w:basedOn w:val="DefaultParagraphFont"/>
    <w:qFormat/>
    <w:rsid w:val="005F3C40"/>
    <w:rPr>
      <w:i/>
    </w:rPr>
  </w:style>
  <w:style w:type="paragraph" w:styleId="Caption">
    <w:name w:val="caption"/>
    <w:basedOn w:val="BodyText"/>
    <w:next w:val="Normal"/>
    <w:qFormat/>
    <w:rsid w:val="005F3C40"/>
    <w:pPr>
      <w:framePr w:w="2268" w:hSpace="181" w:vSpace="181" w:wrap="around" w:vAnchor="text" w:hAnchor="page" w:x="1135" w:y="285" w:anchorLock="1"/>
    </w:pPr>
    <w:rPr>
      <w:i/>
    </w:rPr>
  </w:style>
  <w:style w:type="paragraph" w:customStyle="1" w:styleId="MiniTOCTitle">
    <w:name w:val="MiniTOCTitle"/>
    <w:basedOn w:val="Heading4"/>
    <w:rsid w:val="005F3C40"/>
    <w:pPr>
      <w:spacing w:before="240"/>
      <w:outlineLvl w:val="9"/>
    </w:pPr>
    <w:rPr>
      <w:noProof/>
      <w:sz w:val="24"/>
    </w:rPr>
  </w:style>
  <w:style w:type="paragraph" w:customStyle="1" w:styleId="MiniTOCItem">
    <w:name w:val="MiniTOCItem"/>
    <w:basedOn w:val="ListBullet"/>
    <w:rsid w:val="005F3C40"/>
    <w:pPr>
      <w:numPr>
        <w:numId w:val="0"/>
      </w:numPr>
      <w:tabs>
        <w:tab w:val="right" w:leader="dot" w:pos="6521"/>
      </w:tabs>
      <w:spacing w:before="0" w:after="0"/>
    </w:pPr>
  </w:style>
  <w:style w:type="paragraph" w:customStyle="1" w:styleId="TOFTitle">
    <w:name w:val="TOFTitle"/>
    <w:basedOn w:val="TOCTitle"/>
    <w:rsid w:val="005F3C40"/>
  </w:style>
  <w:style w:type="paragraph" w:styleId="TableofFigures">
    <w:name w:val="table of figures"/>
    <w:basedOn w:val="Normal"/>
    <w:next w:val="Normal"/>
    <w:semiHidden/>
    <w:rsid w:val="005F3C40"/>
    <w:pPr>
      <w:tabs>
        <w:tab w:val="right" w:leader="dot" w:pos="9072"/>
      </w:tabs>
      <w:ind w:left="970" w:hanging="403"/>
    </w:pPr>
    <w:rPr>
      <w:rFonts w:ascii="Times New Roman" w:hAnsi="Times New Roman"/>
      <w:b/>
    </w:rPr>
  </w:style>
  <w:style w:type="paragraph" w:styleId="ListNumber">
    <w:name w:val="List Number"/>
    <w:basedOn w:val="List"/>
    <w:rsid w:val="005F3C40"/>
    <w:pPr>
      <w:numPr>
        <w:numId w:val="11"/>
      </w:numPr>
    </w:pPr>
  </w:style>
  <w:style w:type="character" w:customStyle="1" w:styleId="WingdingSymbols">
    <w:name w:val="Wingding Symbols"/>
    <w:rsid w:val="005F3C40"/>
    <w:rPr>
      <w:rFonts w:ascii="Wingdings" w:hAnsi="Wingdings"/>
    </w:rPr>
  </w:style>
  <w:style w:type="paragraph" w:customStyle="1" w:styleId="TableHeading">
    <w:name w:val="Table Heading"/>
    <w:basedOn w:val="HeadingBase"/>
    <w:rsid w:val="005F3C40"/>
    <w:pPr>
      <w:keepLines/>
      <w:pBdr>
        <w:bottom w:val="single" w:sz="6" w:space="1" w:color="918585"/>
      </w:pBdr>
      <w:spacing w:before="240"/>
    </w:pPr>
  </w:style>
  <w:style w:type="character" w:customStyle="1" w:styleId="HotSpot">
    <w:name w:val="HotSpot"/>
    <w:rsid w:val="005F3C40"/>
    <w:rPr>
      <w:color w:val="0033CC"/>
      <w:u w:val="none"/>
    </w:rPr>
  </w:style>
  <w:style w:type="paragraph" w:customStyle="1" w:styleId="BodyTextRight">
    <w:name w:val="Body Text Right"/>
    <w:basedOn w:val="BodyText"/>
    <w:rsid w:val="005F3C40"/>
    <w:pPr>
      <w:spacing w:before="0" w:after="0"/>
      <w:jc w:val="right"/>
    </w:pPr>
  </w:style>
  <w:style w:type="paragraph" w:styleId="Index3">
    <w:name w:val="index 3"/>
    <w:basedOn w:val="ListNumber2"/>
    <w:next w:val="Normal"/>
    <w:semiHidden/>
    <w:rsid w:val="005F3C40"/>
    <w:pPr>
      <w:numPr>
        <w:numId w:val="0"/>
      </w:numPr>
      <w:tabs>
        <w:tab w:val="right" w:leader="dot" w:pos="4176"/>
      </w:tabs>
    </w:pPr>
  </w:style>
  <w:style w:type="paragraph" w:styleId="ListNumber2">
    <w:name w:val="List Number 2"/>
    <w:basedOn w:val="List2"/>
    <w:rsid w:val="005F3C40"/>
    <w:pPr>
      <w:numPr>
        <w:numId w:val="10"/>
      </w:numPr>
      <w:tabs>
        <w:tab w:val="clear" w:pos="1060"/>
      </w:tabs>
    </w:pPr>
  </w:style>
  <w:style w:type="paragraph" w:customStyle="1" w:styleId="MarginNote">
    <w:name w:val="Margin Note"/>
    <w:basedOn w:val="BodyText"/>
    <w:rsid w:val="005F3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C40"/>
    <w:rPr>
      <w:sz w:val="32"/>
    </w:rPr>
  </w:style>
  <w:style w:type="paragraph" w:customStyle="1" w:styleId="HeadingProcedure">
    <w:name w:val="Heading Procedure"/>
    <w:basedOn w:val="HeadingBase"/>
    <w:next w:val="Normal"/>
    <w:rsid w:val="005F3C40"/>
    <w:pPr>
      <w:tabs>
        <w:tab w:val="left" w:pos="0"/>
      </w:tabs>
      <w:spacing w:before="120" w:after="60"/>
    </w:pPr>
    <w:rPr>
      <w:i/>
      <w:color w:val="918585"/>
      <w:sz w:val="22"/>
    </w:rPr>
  </w:style>
  <w:style w:type="paragraph" w:customStyle="1" w:styleId="TableBodyText">
    <w:name w:val="Table Body Text"/>
    <w:basedOn w:val="BodyText"/>
    <w:rsid w:val="005F3C40"/>
    <w:pPr>
      <w:spacing w:before="60" w:after="60"/>
    </w:pPr>
  </w:style>
  <w:style w:type="paragraph" w:styleId="ListContinue">
    <w:name w:val="List Continue"/>
    <w:basedOn w:val="List"/>
    <w:rsid w:val="005F3C40"/>
    <w:pPr>
      <w:ind w:firstLine="0"/>
    </w:pPr>
  </w:style>
  <w:style w:type="paragraph" w:customStyle="1" w:styleId="ListNote">
    <w:name w:val="List Note"/>
    <w:basedOn w:val="List"/>
    <w:rsid w:val="005F3C40"/>
    <w:pPr>
      <w:pBdr>
        <w:top w:val="single" w:sz="6" w:space="2" w:color="918585"/>
        <w:bottom w:val="single" w:sz="6" w:space="2" w:color="918585"/>
      </w:pBdr>
      <w:tabs>
        <w:tab w:val="left" w:pos="1021"/>
      </w:tabs>
      <w:ind w:firstLine="0"/>
    </w:pPr>
  </w:style>
  <w:style w:type="paragraph" w:customStyle="1" w:styleId="Warning">
    <w:name w:val="Warning"/>
    <w:basedOn w:val="BodyText"/>
    <w:rsid w:val="005F3C40"/>
    <w:pPr>
      <w:shd w:val="clear" w:color="auto" w:fill="D9D9D9"/>
      <w:tabs>
        <w:tab w:val="left" w:pos="992"/>
      </w:tabs>
      <w:ind w:left="119" w:right="119"/>
    </w:pPr>
    <w:rPr>
      <w:sz w:val="20"/>
    </w:rPr>
  </w:style>
  <w:style w:type="paragraph" w:customStyle="1" w:styleId="MarginIcons">
    <w:name w:val="Margin Icons"/>
    <w:basedOn w:val="BodyText"/>
    <w:rsid w:val="005F3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C40"/>
    <w:rPr>
      <w:rFonts w:ascii="Courier New" w:hAnsi="Courier New"/>
    </w:rPr>
  </w:style>
  <w:style w:type="paragraph" w:customStyle="1" w:styleId="NoteBullet">
    <w:name w:val="Note Bullet"/>
    <w:basedOn w:val="Note"/>
    <w:rsid w:val="005F3C40"/>
    <w:pPr>
      <w:tabs>
        <w:tab w:val="clear" w:pos="680"/>
      </w:tabs>
      <w:spacing w:before="60" w:after="60"/>
    </w:pPr>
  </w:style>
  <w:style w:type="paragraph" w:customStyle="1" w:styleId="SubHeading2">
    <w:name w:val="SubHeading2"/>
    <w:basedOn w:val="HeadingBase"/>
    <w:rsid w:val="005F3C40"/>
    <w:pPr>
      <w:spacing w:before="240" w:after="60"/>
    </w:pPr>
    <w:rPr>
      <w:sz w:val="20"/>
    </w:rPr>
  </w:style>
  <w:style w:type="paragraph" w:customStyle="1" w:styleId="SubHeading1">
    <w:name w:val="SubHeading1"/>
    <w:basedOn w:val="HeadingBase"/>
    <w:rsid w:val="005F3C40"/>
    <w:pPr>
      <w:spacing w:before="240" w:after="60"/>
    </w:pPr>
    <w:rPr>
      <w:color w:val="918585"/>
      <w:sz w:val="22"/>
    </w:rPr>
  </w:style>
  <w:style w:type="paragraph" w:customStyle="1" w:styleId="SideHeading">
    <w:name w:val="Side Heading"/>
    <w:basedOn w:val="HeadingBase"/>
    <w:rsid w:val="005F3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C40"/>
    <w:pPr>
      <w:numPr>
        <w:numId w:val="12"/>
      </w:numPr>
    </w:pPr>
  </w:style>
  <w:style w:type="paragraph" w:styleId="PlainText">
    <w:name w:val="Plain Text"/>
    <w:basedOn w:val="Normal"/>
    <w:link w:val="PlainTextChar"/>
    <w:rsid w:val="005F3C40"/>
    <w:rPr>
      <w:sz w:val="20"/>
    </w:rPr>
  </w:style>
  <w:style w:type="character" w:customStyle="1" w:styleId="PlainTextChar">
    <w:name w:val="Plain Text Char"/>
    <w:basedOn w:val="DefaultParagraphFont"/>
    <w:link w:val="PlainText"/>
    <w:rsid w:val="005F3C40"/>
    <w:rPr>
      <w:rFonts w:ascii="Courier New" w:eastAsia="Times New Roman" w:hAnsi="Courier New" w:cs="Times New Roman"/>
      <w:sz w:val="20"/>
      <w:szCs w:val="20"/>
      <w:lang w:eastAsia="en-US"/>
    </w:rPr>
  </w:style>
  <w:style w:type="character" w:customStyle="1" w:styleId="MenuOption">
    <w:name w:val="Menu Option"/>
    <w:basedOn w:val="DefaultParagraphFont"/>
    <w:rsid w:val="005F3C40"/>
    <w:rPr>
      <w:b/>
      <w:smallCaps/>
    </w:rPr>
  </w:style>
  <w:style w:type="paragraph" w:customStyle="1" w:styleId="TableListNumber">
    <w:name w:val="Table List Number"/>
    <w:basedOn w:val="ListNumber"/>
    <w:rsid w:val="005F3C40"/>
    <w:pPr>
      <w:numPr>
        <w:numId w:val="0"/>
      </w:numPr>
    </w:pPr>
  </w:style>
  <w:style w:type="paragraph" w:styleId="TOC4">
    <w:name w:val="toc 4"/>
    <w:basedOn w:val="TOCBase"/>
    <w:next w:val="Normal"/>
    <w:semiHidden/>
    <w:rsid w:val="005F3C40"/>
    <w:pPr>
      <w:tabs>
        <w:tab w:val="right" w:leader="dot" w:pos="9071"/>
      </w:tabs>
      <w:ind w:left="1701"/>
    </w:pPr>
  </w:style>
  <w:style w:type="paragraph" w:customStyle="1" w:styleId="ListAlpha">
    <w:name w:val="List Alpha"/>
    <w:basedOn w:val="List"/>
    <w:rsid w:val="005F3C40"/>
    <w:pPr>
      <w:numPr>
        <w:numId w:val="9"/>
      </w:numPr>
    </w:pPr>
  </w:style>
  <w:style w:type="paragraph" w:styleId="List2">
    <w:name w:val="List 2"/>
    <w:basedOn w:val="BodyText"/>
    <w:rsid w:val="005F3C40"/>
    <w:pPr>
      <w:tabs>
        <w:tab w:val="left" w:pos="680"/>
      </w:tabs>
      <w:spacing w:before="60" w:after="60"/>
      <w:ind w:left="680" w:hanging="340"/>
    </w:pPr>
  </w:style>
  <w:style w:type="paragraph" w:styleId="List3">
    <w:name w:val="List 3"/>
    <w:basedOn w:val="BodyText"/>
    <w:rsid w:val="005F3C40"/>
    <w:pPr>
      <w:tabs>
        <w:tab w:val="left" w:pos="1021"/>
      </w:tabs>
      <w:spacing w:before="60" w:after="60"/>
      <w:ind w:left="1020" w:hanging="340"/>
    </w:pPr>
  </w:style>
  <w:style w:type="paragraph" w:styleId="List4">
    <w:name w:val="List 4"/>
    <w:basedOn w:val="BodyText"/>
    <w:rsid w:val="005F3C40"/>
    <w:pPr>
      <w:tabs>
        <w:tab w:val="left" w:pos="1361"/>
      </w:tabs>
      <w:spacing w:before="60" w:after="60"/>
      <w:ind w:left="1361" w:hanging="340"/>
    </w:pPr>
  </w:style>
  <w:style w:type="paragraph" w:styleId="List5">
    <w:name w:val="List 5"/>
    <w:basedOn w:val="BodyText"/>
    <w:rsid w:val="005F3C40"/>
    <w:pPr>
      <w:tabs>
        <w:tab w:val="left" w:pos="1701"/>
      </w:tabs>
      <w:spacing w:before="60" w:after="60"/>
      <w:ind w:left="1701" w:hanging="340"/>
    </w:pPr>
  </w:style>
  <w:style w:type="paragraph" w:styleId="ListBullet3">
    <w:name w:val="List Bullet 3"/>
    <w:basedOn w:val="List3"/>
    <w:rsid w:val="005F3C40"/>
    <w:pPr>
      <w:numPr>
        <w:numId w:val="15"/>
      </w:numPr>
      <w:tabs>
        <w:tab w:val="clear" w:pos="1021"/>
      </w:tabs>
      <w:ind w:left="1037" w:hanging="357"/>
    </w:pPr>
  </w:style>
  <w:style w:type="paragraph" w:styleId="ListBullet4">
    <w:name w:val="List Bullet 4"/>
    <w:basedOn w:val="List4"/>
    <w:rsid w:val="005F3C40"/>
    <w:pPr>
      <w:numPr>
        <w:numId w:val="3"/>
      </w:numPr>
    </w:pPr>
  </w:style>
  <w:style w:type="paragraph" w:styleId="ListBullet5">
    <w:name w:val="List Bullet 5"/>
    <w:basedOn w:val="List5"/>
    <w:rsid w:val="005F3C40"/>
    <w:pPr>
      <w:numPr>
        <w:numId w:val="4"/>
      </w:numPr>
    </w:pPr>
  </w:style>
  <w:style w:type="paragraph" w:styleId="ListContinue2">
    <w:name w:val="List Continue 2"/>
    <w:basedOn w:val="List2"/>
    <w:rsid w:val="005F3C40"/>
    <w:pPr>
      <w:ind w:firstLine="0"/>
    </w:pPr>
  </w:style>
  <w:style w:type="paragraph" w:styleId="ListContinue3">
    <w:name w:val="List Continue 3"/>
    <w:basedOn w:val="List3"/>
    <w:rsid w:val="005F3C40"/>
    <w:pPr>
      <w:ind w:left="1021" w:firstLine="0"/>
    </w:pPr>
  </w:style>
  <w:style w:type="paragraph" w:styleId="ListContinue4">
    <w:name w:val="List Continue 4"/>
    <w:basedOn w:val="List4"/>
    <w:rsid w:val="005F3C40"/>
    <w:pPr>
      <w:ind w:firstLine="0"/>
    </w:pPr>
  </w:style>
  <w:style w:type="paragraph" w:styleId="ListContinue5">
    <w:name w:val="List Continue 5"/>
    <w:basedOn w:val="List5"/>
    <w:rsid w:val="005F3C40"/>
    <w:pPr>
      <w:ind w:firstLine="0"/>
    </w:pPr>
  </w:style>
  <w:style w:type="paragraph" w:styleId="ListNumber3">
    <w:name w:val="List Number 3"/>
    <w:basedOn w:val="List3"/>
    <w:rsid w:val="005F3C40"/>
    <w:pPr>
      <w:numPr>
        <w:numId w:val="5"/>
      </w:numPr>
    </w:pPr>
  </w:style>
  <w:style w:type="paragraph" w:styleId="ListNumber4">
    <w:name w:val="List Number 4"/>
    <w:basedOn w:val="List4"/>
    <w:rsid w:val="005F3C40"/>
    <w:pPr>
      <w:numPr>
        <w:numId w:val="6"/>
      </w:numPr>
    </w:pPr>
  </w:style>
  <w:style w:type="paragraph" w:styleId="ListNumber5">
    <w:name w:val="List Number 5"/>
    <w:basedOn w:val="List5"/>
    <w:rsid w:val="005F3C40"/>
    <w:pPr>
      <w:numPr>
        <w:numId w:val="7"/>
      </w:numPr>
    </w:pPr>
  </w:style>
  <w:style w:type="paragraph" w:styleId="BlockText">
    <w:name w:val="Block Text"/>
    <w:basedOn w:val="Normal"/>
    <w:rsid w:val="005F3C40"/>
    <w:pPr>
      <w:spacing w:after="120"/>
      <w:ind w:left="1440" w:right="1440"/>
    </w:pPr>
  </w:style>
  <w:style w:type="character" w:customStyle="1" w:styleId="Subscript">
    <w:name w:val="Subscript"/>
    <w:basedOn w:val="DefaultParagraphFont"/>
    <w:rsid w:val="005F3C40"/>
    <w:rPr>
      <w:sz w:val="16"/>
      <w:vertAlign w:val="subscript"/>
    </w:rPr>
  </w:style>
  <w:style w:type="character" w:customStyle="1" w:styleId="Superscript">
    <w:name w:val="Superscript"/>
    <w:basedOn w:val="DefaultParagraphFont"/>
    <w:rsid w:val="005F3C40"/>
    <w:rPr>
      <w:sz w:val="16"/>
      <w:vertAlign w:val="superscript"/>
    </w:rPr>
  </w:style>
  <w:style w:type="character" w:customStyle="1" w:styleId="Symbols">
    <w:name w:val="Symbols"/>
    <w:basedOn w:val="DefaultParagraphFont"/>
    <w:rsid w:val="005F3C40"/>
    <w:rPr>
      <w:rFonts w:ascii="Symbol" w:hAnsi="Symbol"/>
    </w:rPr>
  </w:style>
  <w:style w:type="character" w:customStyle="1" w:styleId="MenuOptions">
    <w:name w:val="Menu Options"/>
    <w:basedOn w:val="DefaultParagraphFont"/>
    <w:rsid w:val="005F3C40"/>
    <w:rPr>
      <w:rFonts w:ascii="Arial Narrow" w:hAnsi="Arial Narrow"/>
      <w:smallCaps/>
    </w:rPr>
  </w:style>
  <w:style w:type="character" w:customStyle="1" w:styleId="Buttons">
    <w:name w:val="Buttons"/>
    <w:basedOn w:val="DefaultParagraphFont"/>
    <w:rsid w:val="005F3C40"/>
    <w:rPr>
      <w:b/>
    </w:rPr>
  </w:style>
  <w:style w:type="character" w:customStyle="1" w:styleId="Underlined">
    <w:name w:val="Underlined"/>
    <w:basedOn w:val="DefaultParagraphFont"/>
    <w:rsid w:val="005F3C40"/>
    <w:rPr>
      <w:u w:val="single"/>
    </w:rPr>
  </w:style>
  <w:style w:type="paragraph" w:customStyle="1" w:styleId="TableBodyTextRight">
    <w:name w:val="Table Body Text Right"/>
    <w:basedOn w:val="TableBodyText"/>
    <w:rsid w:val="005F3C40"/>
    <w:pPr>
      <w:widowControl w:val="0"/>
      <w:autoSpaceDE w:val="0"/>
      <w:autoSpaceDN w:val="0"/>
      <w:adjustRightInd w:val="0"/>
      <w:jc w:val="right"/>
    </w:pPr>
    <w:rPr>
      <w:rFonts w:cs="Arial"/>
      <w:szCs w:val="18"/>
    </w:rPr>
  </w:style>
  <w:style w:type="paragraph" w:customStyle="1" w:styleId="CopyrightText">
    <w:name w:val="Copyright Text"/>
    <w:basedOn w:val="BodyText"/>
    <w:rsid w:val="005F3C40"/>
    <w:rPr>
      <w:sz w:val="18"/>
    </w:rPr>
  </w:style>
  <w:style w:type="paragraph" w:customStyle="1" w:styleId="BodySmallRight">
    <w:name w:val="Body Small Right"/>
    <w:basedOn w:val="BodyTextRight"/>
    <w:rsid w:val="005F3C40"/>
    <w:rPr>
      <w:sz w:val="18"/>
      <w:szCs w:val="18"/>
    </w:rPr>
  </w:style>
  <w:style w:type="paragraph" w:customStyle="1" w:styleId="MarginEdition">
    <w:name w:val="Margin Edition"/>
    <w:basedOn w:val="MarginNote"/>
    <w:rsid w:val="005F3C40"/>
    <w:pPr>
      <w:spacing w:before="0" w:after="0"/>
    </w:pPr>
    <w:rPr>
      <w:rFonts w:ascii="Times New Roman" w:hAnsi="Times New Roman"/>
      <w:color w:val="999999"/>
    </w:rPr>
  </w:style>
  <w:style w:type="paragraph" w:customStyle="1" w:styleId="Spacer">
    <w:name w:val="Spacer"/>
    <w:basedOn w:val="Normal"/>
    <w:rsid w:val="005F3C40"/>
    <w:rPr>
      <w:sz w:val="2"/>
      <w:szCs w:val="2"/>
    </w:rPr>
  </w:style>
  <w:style w:type="character" w:customStyle="1" w:styleId="Small">
    <w:name w:val="Small"/>
    <w:basedOn w:val="DefaultParagraphFont"/>
    <w:rsid w:val="005F3C40"/>
    <w:rPr>
      <w:sz w:val="16"/>
    </w:rPr>
  </w:style>
  <w:style w:type="paragraph" w:customStyle="1" w:styleId="WideTable">
    <w:name w:val="Wide Table"/>
    <w:basedOn w:val="Normal"/>
    <w:rsid w:val="005F3C40"/>
    <w:pPr>
      <w:ind w:left="-1418"/>
    </w:pPr>
    <w:rPr>
      <w:sz w:val="2"/>
      <w:szCs w:val="2"/>
    </w:rPr>
  </w:style>
  <w:style w:type="character" w:styleId="PageNumber">
    <w:name w:val="page number"/>
    <w:basedOn w:val="DefaultParagraphFont"/>
    <w:rsid w:val="005F3C40"/>
  </w:style>
  <w:style w:type="paragraph" w:styleId="Quote">
    <w:name w:val="Quote"/>
    <w:basedOn w:val="Heading1"/>
    <w:link w:val="QuoteChar"/>
    <w:qFormat/>
    <w:rsid w:val="005F3C40"/>
    <w:rPr>
      <w:b w:val="0"/>
      <w:sz w:val="72"/>
      <w:szCs w:val="72"/>
      <w:lang w:val="en-NZ"/>
    </w:rPr>
  </w:style>
  <w:style w:type="character" w:customStyle="1" w:styleId="QuoteChar">
    <w:name w:val="Quote Char"/>
    <w:basedOn w:val="DefaultParagraphFont"/>
    <w:link w:val="Quote"/>
    <w:rsid w:val="005F3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C40"/>
    <w:pPr>
      <w:pageBreakBefore/>
    </w:pPr>
  </w:style>
  <w:style w:type="paragraph" w:customStyle="1" w:styleId="Border">
    <w:name w:val="Border"/>
    <w:basedOn w:val="Normal"/>
    <w:qFormat/>
    <w:rsid w:val="005F3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C40"/>
    <w:rPr>
      <w:b/>
      <w:bCs/>
      <w:i/>
      <w:iCs/>
      <w:color w:val="auto"/>
    </w:rPr>
  </w:style>
  <w:style w:type="paragraph" w:styleId="IntenseQuote">
    <w:name w:val="Intense Quote"/>
    <w:basedOn w:val="Normal"/>
    <w:next w:val="Normal"/>
    <w:link w:val="IntenseQuoteChar"/>
    <w:uiPriority w:val="30"/>
    <w:qFormat/>
    <w:rsid w:val="005F3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C40"/>
    <w:rPr>
      <w:smallCaps/>
      <w:color w:val="auto"/>
      <w:u w:val="single"/>
    </w:rPr>
  </w:style>
  <w:style w:type="character" w:styleId="IntenseReference">
    <w:name w:val="Intense Reference"/>
    <w:basedOn w:val="DefaultParagraphFont"/>
    <w:uiPriority w:val="32"/>
    <w:qFormat/>
    <w:rsid w:val="005F3C40"/>
    <w:rPr>
      <w:b/>
      <w:bCs/>
      <w:smallCaps/>
      <w:color w:val="auto"/>
      <w:spacing w:val="5"/>
      <w:u w:val="single"/>
    </w:rPr>
  </w:style>
  <w:style w:type="paragraph" w:customStyle="1" w:styleId="2ColumnHeading">
    <w:name w:val="2Column Heading"/>
    <w:basedOn w:val="BodyText"/>
    <w:qFormat/>
    <w:rsid w:val="005F3C40"/>
    <w:pPr>
      <w:spacing w:after="60"/>
      <w:ind w:left="-2268"/>
    </w:pPr>
    <w:rPr>
      <w:b/>
    </w:rPr>
  </w:style>
  <w:style w:type="paragraph" w:customStyle="1" w:styleId="Heading1TOC">
    <w:name w:val="Heading1 TOC"/>
    <w:basedOn w:val="Normal"/>
    <w:qFormat/>
    <w:rsid w:val="005F3C40"/>
    <w:pPr>
      <w:spacing w:before="240" w:after="120"/>
    </w:pPr>
    <w:rPr>
      <w:rFonts w:ascii="Times New Roman" w:hAnsi="Times New Roman"/>
      <w:b/>
      <w:sz w:val="32"/>
    </w:rPr>
  </w:style>
  <w:style w:type="paragraph" w:customStyle="1" w:styleId="Heading2TOC">
    <w:name w:val="Heading2 TOC"/>
    <w:basedOn w:val="Normal"/>
    <w:qFormat/>
    <w:rsid w:val="005F3C40"/>
    <w:pPr>
      <w:spacing w:before="240" w:after="60"/>
    </w:pPr>
    <w:rPr>
      <w:rFonts w:ascii="Times New Roman" w:hAnsi="Times New Roman"/>
      <w:b/>
      <w:sz w:val="28"/>
    </w:rPr>
  </w:style>
  <w:style w:type="character" w:customStyle="1" w:styleId="Underline">
    <w:name w:val="Underline"/>
    <w:basedOn w:val="DefaultParagraphFont"/>
    <w:qFormat/>
    <w:rsid w:val="005F3C40"/>
    <w:rPr>
      <w:u w:val="single"/>
    </w:rPr>
  </w:style>
  <w:style w:type="character" w:customStyle="1" w:styleId="BoldandItalics">
    <w:name w:val="Bold and Italics"/>
    <w:qFormat/>
    <w:rsid w:val="005F3C40"/>
    <w:rPr>
      <w:b/>
      <w:i/>
      <w:u w:val="none"/>
    </w:rPr>
  </w:style>
  <w:style w:type="paragraph" w:styleId="BalloonText">
    <w:name w:val="Balloon Text"/>
    <w:basedOn w:val="Normal"/>
    <w:link w:val="BalloonTextChar"/>
    <w:rsid w:val="005F3C40"/>
    <w:rPr>
      <w:rFonts w:ascii="Tahoma" w:hAnsi="Tahoma" w:cs="Tahoma"/>
      <w:sz w:val="16"/>
      <w:szCs w:val="16"/>
    </w:rPr>
  </w:style>
  <w:style w:type="character" w:customStyle="1" w:styleId="BalloonTextChar">
    <w:name w:val="Balloon Text Char"/>
    <w:basedOn w:val="DefaultParagraphFont"/>
    <w:link w:val="BalloonText"/>
    <w:rsid w:val="005F3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C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C40"/>
    <w:rPr>
      <w:b/>
      <w:color w:val="660033"/>
      <w:spacing w:val="0"/>
    </w:rPr>
  </w:style>
  <w:style w:type="paragraph" w:customStyle="1" w:styleId="Nameditemlist">
    <w:name w:val="Named item list"/>
    <w:basedOn w:val="BodyText"/>
    <w:qFormat/>
    <w:rsid w:val="005F3C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2970</Words>
  <Characters>17758</Characters>
  <Application>Microsoft Office Word</Application>
  <DocSecurity>0</DocSecurity>
  <Lines>565</Lines>
  <Paragraphs>257</Paragraphs>
  <ScaleCrop>false</ScaleCrop>
  <Company>Author-it Software Corporation Ltd.</Company>
  <LinksUpToDate>false</LinksUpToDate>
  <CharactersWithSpaces>20587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UEENEEH190A Provide engineering solutions to air traffic control system problems</dc:title>
  <dc:subject>Approved</dc:subject>
  <dc:creator>E-OZ Training Standards</dc:creator>
  <cp:keywords>Release: 2</cp:keywords>
  <dc:description>Review Date: 12 April 2008</dc:description>
  <cp:lastModifiedBy>TPCMS</cp:lastModifiedBy>
  <cp:revision>3</cp:revision>
  <dcterms:created xsi:type="dcterms:W3CDTF">2013-08-14T07:13:00Z</dcterms:created>
  <dcterms:modified xsi:type="dcterms:W3CDTF">2013-08-14T07:13:00Z</dcterms:modified>
</cp:coreProperties>
</file>