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987" w:rsidP="00341987">
      <w:pPr>
        <w:pStyle w:val="Title"/>
      </w:pPr>
      <w:r>
        <w:fldChar w:fldCharType="begin"/>
      </w:r>
      <w:r>
        <w:instrText xml:space="preserve"> TITLE   \* MERGEFORMAT </w:instrText>
      </w:r>
      <w:r>
        <w:fldChar w:fldCharType="separate"/>
      </w:r>
      <w:r>
        <w:t>UEENEEH187A Solve problems in electronic musical equipment circuits</w:t>
      </w:r>
      <w:r>
        <w:fldChar w:fldCharType="end"/>
      </w:r>
    </w:p>
    <w:p w:rsidR="00341987" w:rsidP="00341987">
      <w:pPr>
        <w:pStyle w:val="Version"/>
        <w:sectPr w:rsidSect="002B7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21A" w:rsidP="002B721A">
      <w:pPr>
        <w:pStyle w:val="SuperHeading"/>
      </w:pPr>
      <w:r w:rsidRPr="002B721A">
        <w:t>UEENEEH187A Solve problems in electronic musical equipment circuits</w:t>
      </w:r>
    </w:p>
    <w:p w:rsidR="00000000" w:rsidRPr="002B721A" w:rsidP="002B721A">
      <w:pPr>
        <w:pStyle w:val="Heading1"/>
      </w:pPr>
      <w:bookmarkStart w:id="1" w:name="O_588634"/>
      <w:bookmarkEnd w:id="1"/>
      <w:r w:rsidRPr="002B721A">
        <w:t>Modification History</w:t>
      </w:r>
    </w:p>
    <w:p w:rsidR="00000000" w:rsidRPr="002B721A" w:rsidP="002B721A">
      <w:pPr>
        <w:pStyle w:val="BodyText"/>
      </w:pPr>
      <w:r w:rsidRPr="002B721A">
        <w:t>Not applicable.</w:t>
      </w:r>
    </w:p>
    <w:p w:rsidR="00000000" w:rsidRPr="002B721A" w:rsidP="002B721A">
      <w:pPr>
        <w:pStyle w:val="AllowPageBreak"/>
      </w:pPr>
    </w:p>
    <w:p w:rsidR="00000000" w:rsidRPr="002B721A" w:rsidP="002B721A">
      <w:pPr>
        <w:pStyle w:val="Heading1"/>
      </w:pPr>
      <w:bookmarkStart w:id="2" w:name="O_588633"/>
      <w:bookmarkEnd w:id="2"/>
      <w:r w:rsidRPr="002B721A">
        <w:t>Unit Descriptor</w:t>
      </w:r>
    </w:p>
    <w:tbl>
      <w:tblPr>
        <w:tblW w:w="0" w:type="auto"/>
        <w:tblLayout w:type="fixed"/>
        <w:tblCellMar>
          <w:left w:w="62" w:type="dxa"/>
          <w:right w:w="62" w:type="dxa"/>
        </w:tblCellMar>
        <w:tblLook w:val="0000"/>
      </w:tblPr>
      <w:tblGrid>
        <w:gridCol w:w="2700"/>
        <w:gridCol w:w="5760"/>
      </w:tblGrid>
      <w:tr w:rsidTr="00341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1)</w:t>
            </w:r>
            <w:r w:rsidRPr="002B721A">
              <w:t xml:space="preserve"> </w:t>
            </w:r>
            <w:r w:rsidRPr="002B721A">
              <w:rPr>
                <w:rStyle w:val="SpecialBold"/>
              </w:rPr>
              <w:t>Scope:</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2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1.1) Descriptor</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This competency standard unit covers determining correct operation of valve instrument amplifiers and associated musical instrument circuits. It encompasses working safely, problem solving procedures, including the use of voltage, current and resistance me</w:t>
            </w:r>
            <w:r w:rsidRPr="002B721A">
              <w:t>asuring devices, providing solutions derived from measurements and calculations to predictable problems in musical equipment circuits and troubleshooting.</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3" w:name="O_588632"/>
      <w:bookmarkEnd w:id="3"/>
      <w:r w:rsidRPr="002B721A">
        <w:t>Application of the Unit</w:t>
      </w:r>
    </w:p>
    <w:tbl>
      <w:tblPr>
        <w:tblW w:w="0" w:type="auto"/>
        <w:tblLayout w:type="fixed"/>
        <w:tblCellMar>
          <w:left w:w="62" w:type="dxa"/>
          <w:right w:w="62" w:type="dxa"/>
        </w:tblCellMar>
        <w:tblLook w:val="0000"/>
      </w:tblPr>
      <w:tblGrid>
        <w:gridCol w:w="2672"/>
        <w:gridCol w:w="5699"/>
      </w:tblGrid>
      <w:tr w:rsidTr="003419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2)</w:t>
            </w:r>
          </w:p>
        </w:tc>
      </w:tr>
      <w:tr w:rsidTr="003419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This competency standards unit is intended for competency development entry-level employment based programs incorporated in approved contracts of training and approved training programs, and may also used to augment formally acquired competencies.</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4" w:name="O_588631"/>
      <w:bookmarkEnd w:id="4"/>
      <w:r w:rsidRPr="002B721A">
        <w:t>Licensing/Regulatory Information</w:t>
      </w:r>
    </w:p>
    <w:tbl>
      <w:tblPr>
        <w:tblW w:w="0" w:type="auto"/>
        <w:tblLayout w:type="fixed"/>
        <w:tblCellMar>
          <w:left w:w="62" w:type="dxa"/>
          <w:right w:w="62" w:type="dxa"/>
        </w:tblCellMar>
        <w:tblLook w:val="0000"/>
      </w:tblPr>
      <w:tblGrid>
        <w:gridCol w:w="2700"/>
        <w:gridCol w:w="5760"/>
      </w:tblGrid>
      <w:tr w:rsidTr="00341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 xml:space="preserve">3) </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The skills and knowledge described in this unit do not require a licence to practice in the workplace provided equipment is not connected to installation wiring at voltage above 50 V a.c</w:t>
            </w:r>
            <w:r w:rsidRPr="002B721A">
              <w:t xml:space="preserve">. or 120 V d.c. However other conditions may apply in some States and Territories </w:t>
            </w:r>
            <w:r w:rsidRPr="002B721A">
              <w:t xml:space="preserve">subject to regulations related to electrical work. </w:t>
            </w:r>
          </w:p>
          <w:p w:rsidR="00000000" w:rsidRPr="002B721A" w:rsidP="002B721A">
            <w:pPr>
              <w:pStyle w:val="BodyText"/>
            </w:pPr>
            <w:r w:rsidRPr="002B721A">
              <w:t>Practice in the workplace and during training is also subject to regulations directly related to occupational health and safety and where applicable contracts of training such as apprenticeships and the like.</w:t>
            </w:r>
          </w:p>
          <w:p w:rsidR="00000000" w:rsidRPr="002B721A" w:rsidP="002B721A">
            <w:pPr>
              <w:pStyle w:val="BodyText"/>
            </w:pPr>
          </w:p>
          <w:p w:rsidR="00000000" w:rsidRPr="002B721A" w:rsidP="002B721A">
            <w:pPr>
              <w:pStyle w:val="BodyText"/>
            </w:pPr>
            <w:r w:rsidRPr="002B721A">
              <w:t>Note:</w:t>
            </w:r>
          </w:p>
          <w:p w:rsidR="00000000" w:rsidRPr="002B721A" w:rsidP="002B721A">
            <w:pPr>
              <w:pStyle w:val="BodyText"/>
            </w:pPr>
            <w:r w:rsidRPr="002B721A">
              <w:t>1. Compliance with permits may be requir</w:t>
            </w:r>
            <w:r w:rsidRPr="002B721A">
              <w:t>ed in various jurisdictions and typically relates to the operation of plant, machinery and equipment such as elevating work platforms, powder operated fixing tools, power operated tools, vehicles, road signage and traffic control, lifting equipment and the</w:t>
            </w:r>
            <w:r w:rsidRPr="002B721A">
              <w:t xml:space="preserve"> like. Permits may also be required for some work environments such as confined spaces, working aloft, near live electrical apparatus, site rehabilitation and the like.</w:t>
            </w:r>
          </w:p>
          <w:p w:rsidR="00000000" w:rsidRPr="002B721A" w:rsidP="002B721A">
            <w:pPr>
              <w:pStyle w:val="BodyText"/>
            </w:pPr>
            <w:r w:rsidRPr="002B721A">
              <w:t>2. Compliance may be required in various jurisdictions relating to currency in first ai</w:t>
            </w:r>
            <w:r w:rsidRPr="002B721A">
              <w:t>d, confined space, lifting, risk safety measure and the like.</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5" w:name="O_588630"/>
      <w:bookmarkEnd w:id="5"/>
      <w:r w:rsidRPr="002B721A">
        <w:t>Pre-Requisites</w:t>
      </w:r>
    </w:p>
    <w:tbl>
      <w:tblPr>
        <w:tblW w:w="0" w:type="auto"/>
        <w:tblLayout w:type="fixed"/>
        <w:tblCellMar>
          <w:left w:w="62" w:type="dxa"/>
          <w:right w:w="62" w:type="dxa"/>
        </w:tblCellMar>
        <w:tblLook w:val="0000"/>
      </w:tblPr>
      <w:tblGrid>
        <w:gridCol w:w="2700"/>
        <w:gridCol w:w="1530"/>
        <w:gridCol w:w="4230"/>
      </w:tblGrid>
      <w:tr w:rsidTr="00341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 xml:space="preserve">4) </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4.1)</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Granting competency in this unit shall be made only after competency in the following unit(s) has/have been confirmed.</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 xml:space="preserve">UEENEEH113A </w:t>
            </w:r>
          </w:p>
        </w:tc>
        <w:tc>
          <w:tcPr>
            <w:tcW w:w="423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Troubleshoot amplifiers in an electronic apparatus</w:t>
            </w:r>
          </w:p>
        </w:tc>
      </w:tr>
    </w:tbl>
    <w:p w:rsidR="00000000" w:rsidRPr="002B721A" w:rsidP="002B721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4198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 xml:space="preserve">4.2) </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Participants are best equipped to achieve this unit if they have reading, writing and numeracy skills indicated by the following scales. Description of each scale is given in Volume 2, Part 3 “Literacy and Numeracy”</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Reading</w:t>
            </w:r>
          </w:p>
        </w:tc>
        <w:tc>
          <w:tcPr>
            <w:tcW w:w="81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w:t>
            </w:r>
          </w:p>
        </w:tc>
        <w:tc>
          <w:tcPr>
            <w:tcW w:w="99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Writing</w:t>
            </w: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w:t>
            </w:r>
          </w:p>
        </w:tc>
        <w:tc>
          <w:tcPr>
            <w:tcW w:w="12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Numeracy</w:t>
            </w:r>
          </w:p>
        </w:tc>
        <w:tc>
          <w:tcPr>
            <w:tcW w:w="72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3</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6" w:name="O_588629"/>
      <w:bookmarkEnd w:id="6"/>
      <w:r w:rsidRPr="002B721A">
        <w:t>Employability Skills Information</w:t>
      </w:r>
    </w:p>
    <w:tbl>
      <w:tblPr>
        <w:tblW w:w="0" w:type="auto"/>
        <w:tblLayout w:type="fixed"/>
        <w:tblCellMar>
          <w:left w:w="62" w:type="dxa"/>
          <w:right w:w="62" w:type="dxa"/>
        </w:tblCellMar>
        <w:tblLook w:val="0000"/>
      </w:tblPr>
      <w:tblGrid>
        <w:gridCol w:w="2700"/>
        <w:gridCol w:w="5760"/>
      </w:tblGrid>
      <w:tr w:rsidTr="00341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 xml:space="preserve">5) </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This unit contains Employability Skills</w:t>
            </w:r>
          </w:p>
          <w:p w:rsidR="00000000" w:rsidRPr="002B721A" w:rsidP="002B721A">
            <w:pPr>
              <w:pStyle w:val="BodyText"/>
            </w:pPr>
            <w:r w:rsidRPr="002B721A">
              <w:t>The required outcomes described in this unit of competency contain applicable facets of Employability Skills. The Employability Skills Summ</w:t>
            </w:r>
            <w:r w:rsidRPr="002B721A">
              <w:t>ary of the qualification in which this unit of competency is packaged will assist in identifying Employability Skill requirements.</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7" w:name="O_588628"/>
      <w:bookmarkEnd w:id="7"/>
      <w:r w:rsidRPr="002B721A">
        <w:t>Elements and Performance Criteria Pre-Content</w:t>
      </w:r>
    </w:p>
    <w:tbl>
      <w:tblPr>
        <w:tblW w:w="0" w:type="auto"/>
        <w:tblLayout w:type="fixed"/>
        <w:tblCellMar>
          <w:left w:w="62" w:type="dxa"/>
          <w:right w:w="62" w:type="dxa"/>
        </w:tblCellMar>
        <w:tblLook w:val="0000"/>
      </w:tblPr>
      <w:tblGrid>
        <w:gridCol w:w="2700"/>
        <w:gridCol w:w="5760"/>
      </w:tblGrid>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6)</w:t>
            </w:r>
            <w:r w:rsidRPr="002B721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Performance Criteria describe the required performance needed to demonstrate achievement of the element. Assessment of performance is to be consistent with the Evidence Guide.</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8" w:name="O_588627"/>
      <w:bookmarkEnd w:id="8"/>
      <w:r w:rsidRPr="002B721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419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PERFORMANCE CRITERIA</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w:t>
            </w:r>
          </w:p>
        </w:tc>
        <w:tc>
          <w:tcPr>
            <w:tcW w:w="2296"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Prepare to work on musical equipment circuits</w:t>
            </w: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1.1</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OHS procedures for a given work area are obtained and understood.</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1.2</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OHS risk control work preparation measures and procedures are followed.</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1.3</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The nature of musical equipment circuit problems is obtained from documentation or from work supervisor to establish the scope of work to be undertaken.</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1.4</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Advice is sought from the work supervisor to ensure the work is co-ordinated effectively with others.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1.5</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Sources of materials that may be required for the work are established in accordance with established procedures.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1.6</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Tools, equipment and testi</w:t>
            </w:r>
            <w:r w:rsidRPr="002B721A">
              <w:t>ng devices needed to carry out the work are obtained and checked for correct operation and safety.</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w:t>
            </w:r>
          </w:p>
        </w:tc>
        <w:tc>
          <w:tcPr>
            <w:tcW w:w="2296"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Solve musical equipment circuits’ problems</w:t>
            </w: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2.1</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OHS risk control work measures and procedures are followed.</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2.2</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The need to test or measure live is determined in strict accordance with OHS requirements and when necessary conducted within established safety procedures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2.3</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 xml:space="preserve">Circuits are checked as being isolated where necessary in strict accordance OHS requirements </w:t>
            </w:r>
            <w:r w:rsidRPr="002B721A">
              <w:t>and procedures.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2.4</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Established methods are used to solve problems from measure and calculated values as they apply to musical equipment circuits in an electronic apparatus.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2.5</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 xml:space="preserve">Unexpected situations are dealt with safely and with the approval of an </w:t>
            </w:r>
            <w:r w:rsidRPr="002B721A">
              <w:t>authorised person.</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2.6</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Problems are solved without unnecessary damage to apparatus, circuits, the surrounding environment or services and using sustainable energy practices.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w:t>
            </w:r>
          </w:p>
        </w:tc>
        <w:tc>
          <w:tcPr>
            <w:tcW w:w="2296"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3.1</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OHS work completion risk control measures and procedures are followed.</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3.2</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Work site is cleaned and made safe in accordance with established procedures.</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3.3</w:t>
            </w:r>
          </w:p>
        </w:tc>
        <w:tc>
          <w:tcPr>
            <w:tcW w:w="48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Justification for solutions used to solve circuit problems is documented.</w:t>
            </w:r>
          </w:p>
        </w:tc>
      </w:tr>
      <w:tr w:rsidTr="003419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t>3.4</w:t>
            </w:r>
          </w:p>
        </w:tc>
        <w:tc>
          <w:tcPr>
            <w:tcW w:w="48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Work complet</w:t>
            </w:r>
            <w:r w:rsidRPr="002B721A">
              <w:t>ion is documented and an appropriate person or persons notified in accordance with established procedures.</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9" w:name="O_588626"/>
      <w:bookmarkEnd w:id="9"/>
      <w:r w:rsidRPr="002B721A">
        <w:t>Required Skills and Knowledge</w:t>
      </w:r>
    </w:p>
    <w:tbl>
      <w:tblPr>
        <w:tblW w:w="0" w:type="auto"/>
        <w:tblLayout w:type="fixed"/>
        <w:tblCellMar>
          <w:left w:w="62" w:type="dxa"/>
          <w:right w:w="62" w:type="dxa"/>
        </w:tblCellMar>
        <w:tblLook w:val="0000"/>
      </w:tblPr>
      <w:tblGrid>
        <w:gridCol w:w="8460"/>
      </w:tblGrid>
      <w:tr w:rsidTr="003419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REQUIRED SKILLS AND KNOWLEDGE</w:t>
            </w:r>
          </w:p>
        </w:tc>
      </w:tr>
      <w:tr w:rsidTr="0034198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8)</w:t>
            </w:r>
            <w:r w:rsidRPr="002B721A">
              <w:t xml:space="preserve">  This describes the essential skills and knowledge and their level, required for this unit.</w:t>
            </w:r>
          </w:p>
          <w:p w:rsidR="00000000" w:rsidRPr="002B721A" w:rsidP="002B721A">
            <w:pPr>
              <w:pStyle w:val="BodyText"/>
            </w:pPr>
            <w:r w:rsidRPr="002B721A">
              <w:t>Evidence shall show that knowledge has been acquired of safe working practices and solving problems in musical equipment circuits.</w:t>
            </w:r>
          </w:p>
          <w:p w:rsidR="00000000" w:rsidRPr="002B721A" w:rsidP="002B721A">
            <w:pPr>
              <w:pStyle w:val="BodyText"/>
            </w:pPr>
            <w:r w:rsidRPr="002B721A">
              <w:t>All knowledge and skills detaile</w:t>
            </w:r>
            <w:r w:rsidRPr="002B721A">
              <w:t>d in this unit should be contextualised to current industry practices and technologies.</w:t>
            </w:r>
          </w:p>
          <w:p w:rsidR="00000000" w:rsidRPr="002B721A" w:rsidP="002B721A">
            <w:pPr>
              <w:pStyle w:val="BodyText"/>
            </w:pPr>
            <w:r w:rsidRPr="002B721A">
              <w:rPr>
                <w:rStyle w:val="SpecialBold"/>
              </w:rPr>
              <w:t>KS01-EH187A</w:t>
            </w:r>
            <w:r w:rsidRPr="002B721A">
              <w:rPr>
                <w:rStyle w:val="SpecialBold"/>
              </w:rPr>
              <w:tab/>
              <w:t xml:space="preserve">              Electronic Musical Instruments </w:t>
            </w:r>
          </w:p>
          <w:p w:rsidR="00000000" w:rsidRPr="002B721A" w:rsidP="002B721A">
            <w:pPr>
              <w:pStyle w:val="BodyText"/>
            </w:pPr>
            <w:r w:rsidRPr="002B721A">
              <w:t>Evidence shall show an understanding of electronic musical instruments, applying safe working practices and re</w:t>
            </w:r>
            <w:r w:rsidRPr="002B721A">
              <w:t>levant Standards, Codes and Regulations to an extent indicated by the following aspects:</w:t>
            </w:r>
          </w:p>
          <w:p w:rsidR="00000000" w:rsidRPr="002B721A" w:rsidP="002B721A">
            <w:pPr>
              <w:pStyle w:val="BodyText"/>
            </w:pPr>
            <w:r w:rsidRPr="002B721A">
              <w:t>T1.</w:t>
            </w:r>
            <w:r w:rsidRPr="002B721A">
              <w:tab/>
              <w:t>Vacuum tubes encompassing:</w:t>
            </w:r>
          </w:p>
          <w:p w:rsidR="00000000" w:rsidRPr="002B721A" w:rsidP="002B721A">
            <w:pPr>
              <w:pStyle w:val="ListBullet"/>
            </w:pPr>
            <w:r w:rsidRPr="002B721A">
              <w:t>history</w:t>
            </w:r>
          </w:p>
          <w:p w:rsidR="00000000" w:rsidRPr="002B721A" w:rsidP="002B721A">
            <w:pPr>
              <w:pStyle w:val="ListBullet"/>
            </w:pPr>
            <w:r w:rsidRPr="002B721A">
              <w:t>construction</w:t>
            </w:r>
          </w:p>
          <w:p w:rsidR="00000000" w:rsidRPr="002B721A" w:rsidP="002B721A">
            <w:pPr>
              <w:pStyle w:val="ListBullet"/>
            </w:pPr>
            <w:r w:rsidRPr="002B721A">
              <w:t>principles of thermionic emission</w:t>
            </w:r>
          </w:p>
          <w:p w:rsidR="00000000" w:rsidRPr="002B721A" w:rsidP="002B721A">
            <w:pPr>
              <w:pStyle w:val="ListBullet"/>
            </w:pPr>
            <w:r w:rsidRPr="002B721A">
              <w:t>advantages and disadvantages compared with solid state devices</w:t>
            </w:r>
          </w:p>
          <w:p w:rsidR="00000000" w:rsidRPr="002B721A" w:rsidP="002B721A">
            <w:pPr>
              <w:pStyle w:val="ListBullet"/>
            </w:pPr>
            <w:r w:rsidRPr="002B721A">
              <w:t>applications</w:t>
            </w:r>
          </w:p>
          <w:p w:rsidR="00000000" w:rsidRPr="002B721A" w:rsidP="002B721A">
            <w:pPr>
              <w:pStyle w:val="BodyText"/>
            </w:pPr>
            <w:r w:rsidRPr="002B721A">
              <w:t>T2 Vacuum diodes encompassing:</w:t>
            </w:r>
          </w:p>
          <w:p w:rsidR="00000000" w:rsidRPr="002B721A" w:rsidP="002B721A">
            <w:pPr>
              <w:pStyle w:val="ListBullet"/>
            </w:pPr>
            <w:r w:rsidRPr="002B721A">
              <w:t>schematic symbol</w:t>
            </w:r>
          </w:p>
          <w:p w:rsidR="00000000" w:rsidRPr="002B721A" w:rsidP="002B721A">
            <w:pPr>
              <w:pStyle w:val="ListBullet"/>
            </w:pPr>
            <w:r w:rsidRPr="002B721A">
              <w:t>terminals</w:t>
            </w:r>
          </w:p>
          <w:p w:rsidR="00000000" w:rsidRPr="002B721A" w:rsidP="002B721A">
            <w:pPr>
              <w:pStyle w:val="ListBullet"/>
            </w:pPr>
            <w:r w:rsidRPr="002B721A">
              <w:t>operation and typical voltages</w:t>
            </w:r>
          </w:p>
          <w:p w:rsidR="00000000" w:rsidRPr="002B721A" w:rsidP="002B721A">
            <w:pPr>
              <w:pStyle w:val="ListBullet"/>
            </w:pPr>
            <w:r w:rsidRPr="002B721A">
              <w:t>rectifier circuits</w:t>
            </w:r>
          </w:p>
          <w:p w:rsidR="00000000" w:rsidRPr="002B721A" w:rsidP="002B721A">
            <w:pPr>
              <w:pStyle w:val="ListBullet"/>
            </w:pPr>
            <w:r w:rsidRPr="002B721A">
              <w:t>typical devices and part numbers</w:t>
            </w:r>
          </w:p>
          <w:p w:rsidR="00000000" w:rsidRPr="002B721A" w:rsidP="002B721A">
            <w:pPr>
              <w:pStyle w:val="BodyText"/>
            </w:pPr>
            <w:r w:rsidRPr="002B721A">
              <w:t>T3 Triodes, tetrodes, and pentodes encompassing:</w:t>
            </w:r>
          </w:p>
          <w:p w:rsidR="00000000" w:rsidRPr="002B721A" w:rsidP="002B721A">
            <w:pPr>
              <w:pStyle w:val="ListBullet"/>
            </w:pPr>
            <w:r w:rsidRPr="002B721A">
              <w:t>schematic symbols</w:t>
            </w:r>
          </w:p>
          <w:p w:rsidR="00000000" w:rsidRPr="002B721A" w:rsidP="002B721A">
            <w:pPr>
              <w:pStyle w:val="ListBullet"/>
            </w:pPr>
            <w:r w:rsidRPr="002B721A">
              <w:t>terminals</w:t>
            </w:r>
          </w:p>
          <w:p w:rsidR="00000000" w:rsidRPr="002B721A" w:rsidP="002B721A">
            <w:pPr>
              <w:pStyle w:val="ListBullet"/>
            </w:pPr>
            <w:r w:rsidRPr="002B721A">
              <w:t>operation and typical voltages</w:t>
            </w:r>
          </w:p>
          <w:p w:rsidR="00000000" w:rsidRPr="002B721A" w:rsidP="002B721A">
            <w:pPr>
              <w:pStyle w:val="ListBullet"/>
            </w:pPr>
            <w:r w:rsidRPr="002B721A">
              <w:t xml:space="preserve">bias </w:t>
            </w:r>
            <w:r w:rsidRPr="002B721A">
              <w:t>requirements</w:t>
            </w:r>
          </w:p>
          <w:p w:rsidR="00000000" w:rsidRPr="002B721A" w:rsidP="002B721A">
            <w:pPr>
              <w:pStyle w:val="ListBullet"/>
            </w:pPr>
            <w:r w:rsidRPr="002B721A">
              <w:t>AC parameters</w:t>
            </w:r>
          </w:p>
          <w:p w:rsidR="00000000" w:rsidRPr="002B721A" w:rsidP="002B721A">
            <w:pPr>
              <w:pStyle w:val="BodyText"/>
            </w:pPr>
            <w:r w:rsidRPr="002B721A">
              <w:t>T4 Small signal valve amplifier stages encompassing:</w:t>
            </w:r>
          </w:p>
          <w:p w:rsidR="00000000" w:rsidRPr="002B721A" w:rsidP="002B721A">
            <w:pPr>
              <w:pStyle w:val="ListBullet"/>
            </w:pPr>
            <w:r w:rsidRPr="002B721A">
              <w:t>typical devices and part numbers</w:t>
            </w:r>
          </w:p>
          <w:p w:rsidR="00000000" w:rsidRPr="002B721A" w:rsidP="002B721A">
            <w:pPr>
              <w:pStyle w:val="ListBullet"/>
            </w:pPr>
            <w:r w:rsidRPr="002B721A">
              <w:t>typical configurations</w:t>
            </w:r>
          </w:p>
          <w:p w:rsidR="00000000" w:rsidRPr="002B721A" w:rsidP="002B721A">
            <w:pPr>
              <w:pStyle w:val="ListBullet"/>
            </w:pPr>
            <w:r w:rsidRPr="002B721A">
              <w:t>quiescent conditions</w:t>
            </w:r>
          </w:p>
          <w:p w:rsidR="00000000" w:rsidRPr="002B721A" w:rsidP="002B721A">
            <w:pPr>
              <w:pStyle w:val="ListBullet"/>
            </w:pPr>
            <w:r w:rsidRPr="002B721A">
              <w:t>AC conditions: gain, input impedance, bandwidth</w:t>
            </w:r>
          </w:p>
          <w:p w:rsidR="00000000" w:rsidRPr="002B721A" w:rsidP="002B721A">
            <w:pPr>
              <w:pStyle w:val="BodyText"/>
            </w:pPr>
            <w:r w:rsidRPr="002B721A">
              <w:t>T5 Valve power amplifier stages encompassing:</w:t>
            </w:r>
          </w:p>
          <w:p w:rsidR="00000000" w:rsidRPr="002B721A" w:rsidP="002B721A">
            <w:pPr>
              <w:pStyle w:val="ListBullet"/>
            </w:pPr>
            <w:r w:rsidRPr="002B721A">
              <w:t>typical devices and part numbers</w:t>
            </w:r>
          </w:p>
          <w:p w:rsidR="00000000" w:rsidRPr="002B721A" w:rsidP="002B721A">
            <w:pPr>
              <w:pStyle w:val="ListBullet"/>
            </w:pPr>
            <w:r w:rsidRPr="002B721A">
              <w:t>typical push-pull configurations</w:t>
            </w:r>
          </w:p>
          <w:p w:rsidR="00000000" w:rsidRPr="002B721A" w:rsidP="002B721A">
            <w:pPr>
              <w:pStyle w:val="ListBullet"/>
            </w:pPr>
            <w:r w:rsidRPr="002B721A">
              <w:t>output transformer</w:t>
            </w:r>
          </w:p>
          <w:p w:rsidR="00000000" w:rsidRPr="002B721A" w:rsidP="002B721A">
            <w:pPr>
              <w:pStyle w:val="ListBullet"/>
            </w:pPr>
            <w:r w:rsidRPr="002B721A">
              <w:t>reflected impedance</w:t>
            </w:r>
          </w:p>
          <w:p w:rsidR="00000000" w:rsidRPr="002B721A" w:rsidP="002B721A">
            <w:pPr>
              <w:pStyle w:val="ListBullet"/>
            </w:pPr>
            <w:r w:rsidRPr="002B721A">
              <w:t>parallel output arrangements</w:t>
            </w:r>
          </w:p>
          <w:p w:rsidR="00000000" w:rsidRPr="002B721A" w:rsidP="002B721A">
            <w:pPr>
              <w:pStyle w:val="ListBullet"/>
            </w:pPr>
            <w:r w:rsidRPr="002B721A">
              <w:t>quiescent conditions</w:t>
            </w:r>
          </w:p>
          <w:p w:rsidR="00000000" w:rsidRPr="002B721A" w:rsidP="002B721A">
            <w:pPr>
              <w:pStyle w:val="ListBullet"/>
            </w:pPr>
            <w:r w:rsidRPr="002B721A">
              <w:t>AC conditions</w:t>
            </w:r>
          </w:p>
          <w:p w:rsidR="00000000" w:rsidRPr="002B721A" w:rsidP="002B721A">
            <w:pPr>
              <w:pStyle w:val="ListBullet"/>
            </w:pPr>
            <w:r w:rsidRPr="002B721A">
              <w:t>output power</w:t>
            </w:r>
          </w:p>
          <w:p w:rsidR="00000000" w:rsidRPr="002B721A" w:rsidP="002B721A">
            <w:pPr>
              <w:pStyle w:val="BodyText"/>
            </w:pPr>
            <w:r w:rsidRPr="002B721A">
              <w:t>T6 Complete valve amplifiers encompassing:</w:t>
            </w:r>
          </w:p>
          <w:p w:rsidR="00000000" w:rsidRPr="002B721A" w:rsidP="002B721A">
            <w:pPr>
              <w:pStyle w:val="ListBullet"/>
            </w:pPr>
            <w:r w:rsidRPr="002B721A">
              <w:t>preamp stages</w:t>
            </w:r>
          </w:p>
          <w:p w:rsidR="00000000" w:rsidRPr="002B721A" w:rsidP="002B721A">
            <w:pPr>
              <w:pStyle w:val="ListBullet"/>
            </w:pPr>
            <w:r w:rsidRPr="002B721A">
              <w:t>coupling methods</w:t>
            </w:r>
          </w:p>
          <w:p w:rsidR="00000000" w:rsidRPr="002B721A" w:rsidP="002B721A">
            <w:pPr>
              <w:pStyle w:val="ListBullet"/>
            </w:pPr>
            <w:r w:rsidRPr="002B721A">
              <w:t>gain and master volume controls</w:t>
            </w:r>
          </w:p>
          <w:p w:rsidR="00000000" w:rsidRPr="002B721A" w:rsidP="002B721A">
            <w:pPr>
              <w:pStyle w:val="ListBullet"/>
            </w:pPr>
            <w:r w:rsidRPr="002B721A">
              <w:t>clean and “dirty” channels</w:t>
            </w:r>
          </w:p>
          <w:p w:rsidR="00000000" w:rsidRPr="002B721A" w:rsidP="002B721A">
            <w:pPr>
              <w:pStyle w:val="ListBullet"/>
            </w:pPr>
            <w:r w:rsidRPr="002B721A">
              <w:t>channel mixing</w:t>
            </w:r>
          </w:p>
          <w:p w:rsidR="00000000" w:rsidRPr="002B721A" w:rsidP="002B721A">
            <w:pPr>
              <w:pStyle w:val="ListBullet"/>
            </w:pPr>
            <w:r w:rsidRPr="002B721A">
              <w:t>valve tone controls</w:t>
            </w:r>
          </w:p>
          <w:p w:rsidR="00000000" w:rsidRPr="002B721A" w:rsidP="002B721A">
            <w:pPr>
              <w:pStyle w:val="ListBullet"/>
            </w:pPr>
            <w:r w:rsidRPr="002B721A">
              <w:t>spring reverb systems</w:t>
            </w:r>
          </w:p>
          <w:p w:rsidR="00000000" w:rsidRPr="002B721A" w:rsidP="002B721A">
            <w:pPr>
              <w:pStyle w:val="ListBullet"/>
            </w:pPr>
            <w:r w:rsidRPr="002B721A">
              <w:t>tremolo circuits</w:t>
            </w:r>
          </w:p>
          <w:p w:rsidR="00000000" w:rsidRPr="002B721A" w:rsidP="002B721A">
            <w:pPr>
              <w:pStyle w:val="ListBullet"/>
            </w:pPr>
            <w:r w:rsidRPr="002B721A">
              <w:t>effect sends</w:t>
            </w:r>
          </w:p>
          <w:p w:rsidR="00000000" w:rsidRPr="002B721A" w:rsidP="002B721A">
            <w:pPr>
              <w:pStyle w:val="ListBullet"/>
            </w:pPr>
            <w:r w:rsidRPr="002B721A">
              <w:t>foot switches</w:t>
            </w:r>
          </w:p>
          <w:p w:rsidR="00000000" w:rsidRPr="002B721A" w:rsidP="002B721A">
            <w:pPr>
              <w:pStyle w:val="ListBullet"/>
            </w:pPr>
            <w:r w:rsidRPr="002B721A">
              <w:t>differential amplifier</w:t>
            </w:r>
          </w:p>
          <w:p w:rsidR="00000000" w:rsidRPr="002B721A" w:rsidP="002B721A">
            <w:pPr>
              <w:pStyle w:val="ListBullet"/>
            </w:pPr>
            <w:r w:rsidRPr="002B721A">
              <w:t>phase splitter</w:t>
            </w:r>
          </w:p>
          <w:p w:rsidR="00000000" w:rsidRPr="002B721A" w:rsidP="002B721A">
            <w:pPr>
              <w:pStyle w:val="ListBullet"/>
            </w:pPr>
            <w:r w:rsidRPr="002B721A">
              <w:t>push-pull output configurations</w:t>
            </w:r>
          </w:p>
          <w:p w:rsidR="00000000" w:rsidRPr="002B721A" w:rsidP="002B721A">
            <w:pPr>
              <w:pStyle w:val="ListBullet"/>
            </w:pPr>
            <w:r w:rsidRPr="002B721A">
              <w:t>output transformer</w:t>
            </w:r>
          </w:p>
          <w:p w:rsidR="00000000" w:rsidRPr="002B721A" w:rsidP="002B721A">
            <w:pPr>
              <w:pStyle w:val="ListBullet"/>
            </w:pPr>
            <w:r w:rsidRPr="002B721A">
              <w:t>output impedance selection</w:t>
            </w:r>
          </w:p>
          <w:p w:rsidR="00000000" w:rsidRPr="002B721A" w:rsidP="002B721A">
            <w:pPr>
              <w:pStyle w:val="ListBullet"/>
            </w:pPr>
            <w:r w:rsidRPr="002B721A">
              <w:t>speaker connections</w:t>
            </w:r>
          </w:p>
          <w:p w:rsidR="00000000" w:rsidRPr="002B721A" w:rsidP="002B721A">
            <w:pPr>
              <w:pStyle w:val="ListBullet"/>
            </w:pPr>
            <w:r w:rsidRPr="002B721A">
              <w:t>local and global feedback arrangements</w:t>
            </w:r>
          </w:p>
          <w:p w:rsidR="00000000" w:rsidRPr="002B721A" w:rsidP="002B721A">
            <w:pPr>
              <w:pStyle w:val="BodyText"/>
            </w:pPr>
            <w:r w:rsidRPr="002B721A">
              <w:t>T7 Valve amplifier troubleshooting and servicing encompassing:</w:t>
            </w:r>
          </w:p>
          <w:p w:rsidR="00000000" w:rsidRPr="002B721A" w:rsidP="002B721A">
            <w:pPr>
              <w:pStyle w:val="ListBullet"/>
            </w:pPr>
            <w:r w:rsidRPr="002B721A">
              <w:t>safety considerations: high voltages, heat and glass</w:t>
            </w:r>
          </w:p>
          <w:p w:rsidR="00000000" w:rsidRPr="002B721A" w:rsidP="002B721A">
            <w:pPr>
              <w:pStyle w:val="ListBullet"/>
            </w:pPr>
            <w:r w:rsidRPr="002B721A">
              <w:t>testing procedures and importance of testing with a l</w:t>
            </w:r>
            <w:r w:rsidRPr="002B721A">
              <w:t>oad</w:t>
            </w:r>
          </w:p>
          <w:p w:rsidR="00000000" w:rsidRPr="002B721A" w:rsidP="002B721A">
            <w:pPr>
              <w:pStyle w:val="ListBullet"/>
            </w:pPr>
            <w:r w:rsidRPr="002B721A">
              <w:t>troubleshooting techniques</w:t>
            </w:r>
          </w:p>
          <w:p w:rsidR="00000000" w:rsidRPr="002B721A" w:rsidP="002B721A">
            <w:pPr>
              <w:pStyle w:val="ListBullet"/>
            </w:pPr>
            <w:r w:rsidRPr="002B721A">
              <w:t>typical faults</w:t>
            </w:r>
          </w:p>
          <w:p w:rsidR="00000000" w:rsidRPr="002B721A" w:rsidP="002B721A">
            <w:pPr>
              <w:pStyle w:val="ListBullet"/>
            </w:pPr>
            <w:r w:rsidRPr="002B721A">
              <w:t>locating and replacing faulty components</w:t>
            </w:r>
          </w:p>
          <w:p w:rsidR="00000000" w:rsidRPr="002B721A" w:rsidP="002B721A">
            <w:pPr>
              <w:pStyle w:val="BodyText"/>
            </w:pPr>
            <w:r w:rsidRPr="002B721A">
              <w:t xml:space="preserve">T8 Electronic musical instruments encompassing: </w:t>
            </w:r>
          </w:p>
          <w:p w:rsidR="00000000" w:rsidRPr="002B721A" w:rsidP="002B721A">
            <w:pPr>
              <w:pStyle w:val="ListBullet"/>
            </w:pPr>
            <w:r w:rsidRPr="002B721A">
              <w:t>Electric guitar and bass wiring systems</w:t>
            </w:r>
          </w:p>
          <w:p w:rsidR="00000000" w:rsidRPr="002B721A" w:rsidP="002B721A">
            <w:pPr>
              <w:pStyle w:val="ListBullet"/>
            </w:pPr>
            <w:r w:rsidRPr="002B721A">
              <w:t>Active pickups</w:t>
            </w:r>
          </w:p>
          <w:p w:rsidR="00000000" w:rsidRPr="002B721A" w:rsidP="002B721A">
            <w:pPr>
              <w:pStyle w:val="ListBullet"/>
            </w:pPr>
            <w:r w:rsidRPr="002B721A">
              <w:t>Effects pedals and racks - principles of operation and basic cir</w:t>
            </w:r>
            <w:r w:rsidRPr="002B721A">
              <w:t>cuits</w:t>
            </w:r>
          </w:p>
          <w:p w:rsidR="00000000" w:rsidRPr="002B721A" w:rsidP="002B721A">
            <w:pPr>
              <w:pStyle w:val="ListBullet"/>
            </w:pPr>
            <w:r w:rsidRPr="002B721A">
              <w:t>Electric keyboards, basic operation and circuits</w:t>
            </w:r>
          </w:p>
          <w:p w:rsidR="00000000" w:rsidRPr="002B721A" w:rsidP="002B721A">
            <w:pPr>
              <w:pStyle w:val="ListBullet"/>
            </w:pPr>
            <w:r w:rsidRPr="002B721A">
              <w:t>Troubleshooting and repairing musician instruments</w:t>
            </w:r>
          </w:p>
          <w:p w:rsidR="00000000" w:rsidRPr="002B721A" w:rsidP="002B721A">
            <w:pPr>
              <w:pStyle w:val="BodyText"/>
            </w:pPr>
            <w:r w:rsidRPr="002B721A">
              <w:t xml:space="preserve">T9 Advance electronic measuring instruments encompassing: </w:t>
            </w:r>
          </w:p>
          <w:p w:rsidR="00000000" w:rsidRPr="002B721A" w:rsidP="002B721A">
            <w:pPr>
              <w:pStyle w:val="ListBullet"/>
            </w:pPr>
            <w:r w:rsidRPr="002B721A">
              <w:t>Test/measuring devices and their application - examples are frequency counters, and sy</w:t>
            </w:r>
            <w:r w:rsidRPr="002B721A">
              <w:t>nthesisers, spectrum analysers, noise and distortion meters and RF communications service monitor.</w:t>
            </w:r>
          </w:p>
          <w:p w:rsidR="00000000" w:rsidRPr="002B721A" w:rsidP="002B721A">
            <w:pPr>
              <w:pStyle w:val="BodyText"/>
            </w:pPr>
            <w:r w:rsidRPr="002B721A">
              <w:t>T10 Connection of test/measuring devices into a circuit encompassing:</w:t>
            </w:r>
          </w:p>
          <w:p w:rsidR="00000000" w:rsidRPr="002B721A" w:rsidP="002B721A">
            <w:pPr>
              <w:pStyle w:val="ListBullet"/>
            </w:pPr>
            <w:r w:rsidRPr="002B721A">
              <w:t>safety procedures</w:t>
            </w:r>
          </w:p>
          <w:p w:rsidR="00000000" w:rsidRPr="002B721A" w:rsidP="002B721A">
            <w:pPr>
              <w:pStyle w:val="ListBullet"/>
            </w:pPr>
            <w:r w:rsidRPr="002B721A">
              <w:t>loading and matching</w:t>
            </w:r>
          </w:p>
          <w:p w:rsidR="00000000" w:rsidRPr="002B721A" w:rsidP="002B721A">
            <w:pPr>
              <w:pStyle w:val="ListBullet"/>
            </w:pPr>
            <w:r w:rsidRPr="002B721A">
              <w:t>storage and delay</w:t>
            </w:r>
          </w:p>
          <w:p w:rsidR="00000000" w:rsidRPr="002B721A" w:rsidP="002B721A">
            <w:pPr>
              <w:pStyle w:val="ListBullet"/>
            </w:pPr>
            <w:r w:rsidRPr="002B721A">
              <w:t>circuit arrangement of test/m</w:t>
            </w:r>
            <w:r w:rsidRPr="002B721A">
              <w:t>easuring devices</w:t>
            </w:r>
          </w:p>
          <w:p w:rsidR="00000000" w:rsidRPr="002B721A" w:rsidP="002B721A">
            <w:pPr>
              <w:pStyle w:val="BodyText"/>
            </w:pPr>
            <w:r w:rsidRPr="002B721A">
              <w:t>T11 Taking and interpreting readings</w:t>
            </w:r>
          </w:p>
          <w:p w:rsidR="00000000" w:rsidRPr="002B721A" w:rsidP="002B721A">
            <w:pPr>
              <w:pStyle w:val="BodyText"/>
            </w:pPr>
            <w:r w:rsidRPr="002B721A">
              <w:t>T12 Notion of decibels including dBm, dBr, dBu, dBo</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10" w:name="O_588625"/>
      <w:bookmarkEnd w:id="10"/>
      <w:r w:rsidRPr="002B721A">
        <w:t>Evidence Guide</w:t>
      </w:r>
    </w:p>
    <w:tbl>
      <w:tblPr>
        <w:tblW w:w="0" w:type="auto"/>
        <w:tblLayout w:type="fixed"/>
        <w:tblCellMar>
          <w:left w:w="62" w:type="dxa"/>
          <w:right w:w="62" w:type="dxa"/>
        </w:tblCellMar>
        <w:tblLook w:val="0000"/>
      </w:tblPr>
      <w:tblGrid>
        <w:gridCol w:w="8460"/>
      </w:tblGrid>
      <w:tr w:rsidTr="003419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EVIDENCE GUIDE</w:t>
            </w:r>
          </w:p>
        </w:tc>
      </w:tr>
      <w:tr w:rsidTr="003419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9)</w:t>
            </w:r>
            <w:r w:rsidRPr="002B721A">
              <w:t xml:space="preserve">  The evidence guide provides advice on assessment and </w:t>
            </w:r>
            <w:r w:rsidRPr="002B721A">
              <w:t>must be read in conjunction with the Performance Criteria, Required Skills and Knowledge, the Range Statement and the Assessment Guidelines for this Training Package..</w:t>
            </w:r>
          </w:p>
          <w:p w:rsidR="00000000" w:rsidRPr="002B721A" w:rsidP="002B721A">
            <w:pPr>
              <w:pStyle w:val="BodyText"/>
            </w:pPr>
            <w:r w:rsidRPr="002B721A">
              <w:t>The Evidence Guide forms an integral part of this unit. It must be used in conjunction w</w:t>
            </w:r>
            <w:r w:rsidRPr="002B721A">
              <w:t>ith all parts of the unit and performed in accordance with the Assessment Guidelines of this Training Package.</w:t>
            </w:r>
          </w:p>
        </w:tc>
      </w:tr>
    </w:tbl>
    <w:p w:rsidR="00000000" w:rsidRPr="002B721A" w:rsidP="002B721A">
      <w:pPr>
        <w:pStyle w:val="BodyText"/>
      </w:pPr>
    </w:p>
    <w:tbl>
      <w:tblPr>
        <w:tblW w:w="0" w:type="auto"/>
        <w:tblLayout w:type="fixed"/>
        <w:tblCellMar>
          <w:left w:w="62" w:type="dxa"/>
          <w:right w:w="62" w:type="dxa"/>
        </w:tblCellMar>
        <w:tblLook w:val="0000"/>
      </w:tblPr>
      <w:tblGrid>
        <w:gridCol w:w="1890"/>
        <w:gridCol w:w="6570"/>
      </w:tblGrid>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9.1)</w:t>
            </w:r>
          </w:p>
        </w:tc>
      </w:tr>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Longitudinal competency development approaches to assessment, such as Profiling, require data to be reliably gath</w:t>
            </w:r>
            <w:r w:rsidRPr="002B721A">
              <w:t>ered in a form that can be consistently interpreted over time. This approach is best utilised in Apprenticeship programs and reduces assessment intervention. It is the Industry’s preferred model for apprenticeships. However, where summative (or final) asse</w:t>
            </w:r>
            <w:r w:rsidRPr="002B721A">
              <w:t xml:space="preserve">ssment is used it is to include the application of the competency in the normal work environment or, at a minimum, the application of the competency in a realistically simulated work environment. It is recognised that, in some circumstances, assessment in </w:t>
            </w:r>
            <w:r w:rsidRPr="002B721A">
              <w:t>part or full can occur outside the workplace. However, it must be in accord with Industry and, Regulatory policy in this regard.</w:t>
            </w:r>
          </w:p>
          <w:p w:rsidR="00000000" w:rsidRPr="002B721A" w:rsidP="002B721A">
            <w:pPr>
              <w:pStyle w:val="BodyText"/>
            </w:pPr>
            <w:r w:rsidRPr="002B721A">
              <w:t>Methods chosen for a particular assessment will be influenced by various factors. These include the extent of the assessment, the most effective locations for the assessment activities to take place, access to physical resources, additional safety measures</w:t>
            </w:r>
            <w:r w:rsidRPr="002B721A">
              <w:t xml:space="preserve"> that may be required and the critical nature of the competencies being assessed.</w:t>
            </w:r>
          </w:p>
          <w:p w:rsidR="00000000" w:rsidRPr="002B721A" w:rsidP="002B721A">
            <w:pPr>
              <w:pStyle w:val="BodyText"/>
            </w:pPr>
            <w:r w:rsidRPr="002B721A">
              <w:t>The critical safety nature of working with electricity, electrical equipment, gas or any other hazardous substance/material carries risk in deeming a person competent. Hence,</w:t>
            </w:r>
            <w:r w:rsidRPr="002B721A">
              <w:t xml:space="preserve"> sources of evidence need to be ‘rich’ in nature so as to minimise error in judgment.</w:t>
            </w:r>
          </w:p>
          <w:p w:rsidR="00000000" w:rsidRPr="002B721A" w:rsidP="002B721A">
            <w:pPr>
              <w:pStyle w:val="BodyText"/>
            </w:pPr>
            <w:r w:rsidRPr="002B721A">
              <w:t xml:space="preserve">Activities associated with normal every day work have a bearing on the decision as to how much and how detailed the data gathered will contribute to its ‘richness’. Some </w:t>
            </w:r>
            <w:r w:rsidRPr="002B721A">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2B721A">
              <w:t>Sample assessment instruments are included for Assessors in the Assessment Guidelines of this Training Package.</w:t>
            </w:r>
          </w:p>
        </w:tc>
      </w:tr>
    </w:tbl>
    <w:p w:rsidR="00000000" w:rsidRPr="002B721A" w:rsidP="002B721A">
      <w:pPr>
        <w:pStyle w:val="BodyText"/>
      </w:pPr>
    </w:p>
    <w:tbl>
      <w:tblPr>
        <w:tblW w:w="0" w:type="auto"/>
        <w:tblLayout w:type="fixed"/>
        <w:tblCellMar>
          <w:left w:w="62" w:type="dxa"/>
          <w:right w:w="62" w:type="dxa"/>
        </w:tblCellMar>
        <w:tblLook w:val="0000"/>
      </w:tblPr>
      <w:tblGrid>
        <w:gridCol w:w="1890"/>
        <w:gridCol w:w="6570"/>
      </w:tblGrid>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9.2)</w:t>
            </w:r>
          </w:p>
        </w:tc>
      </w:tr>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Before the critical aspects of evidence are considered all</w:t>
            </w:r>
            <w:r w:rsidRPr="002B721A">
              <w:t xml:space="preserve"> prerequisites shall be met.</w:t>
            </w:r>
          </w:p>
          <w:p w:rsidR="00000000" w:rsidRPr="002B721A" w:rsidP="002B721A">
            <w:pPr>
              <w:pStyle w:val="BodyText"/>
            </w:pPr>
            <w:r w:rsidRPr="002B721A">
              <w:t>Evidence for competence in this unit shall be considered holistically.  Each Element and associated performance criteria shall be demonstrated on at least two occasions in accordance with the ‘Assessment Guidelines – UEE11’.  E</w:t>
            </w:r>
            <w:r w:rsidRPr="002B721A">
              <w:t>vidence shall also comprise:</w:t>
            </w:r>
          </w:p>
          <w:p w:rsidR="00000000" w:rsidRPr="002B721A" w:rsidP="002B721A">
            <w:pPr>
              <w:pStyle w:val="ListBullet"/>
            </w:pPr>
            <w:r w:rsidRPr="002B721A">
              <w:t xml:space="preserve">A representative body of work performance demonstrated within the timeframes typically expected of the discipline, work function and industrial environment. In particular this shall incorporate evidence that shows a candidate </w:t>
            </w:r>
            <w:r w:rsidRPr="002B721A">
              <w:t>is able to:</w:t>
            </w:r>
          </w:p>
          <w:p w:rsidR="00000000" w:rsidRPr="002B721A" w:rsidP="002B721A">
            <w:pPr>
              <w:pStyle w:val="ListBullet2"/>
            </w:pPr>
            <w:r w:rsidRPr="002B721A">
              <w:t>Implement Occupational Health and Safety workplace procedures and practices, including the use of risk control measures as specified in the performance criteria and range statement</w:t>
            </w:r>
          </w:p>
          <w:p w:rsidR="00000000" w:rsidRPr="002B721A" w:rsidP="002B721A">
            <w:pPr>
              <w:pStyle w:val="ListBullet2"/>
            </w:pPr>
            <w:r w:rsidRPr="002B721A">
              <w:t>Apply sustainable energy principles and practices as specified in the performance criteria and range statement</w:t>
            </w:r>
          </w:p>
          <w:p w:rsidR="00000000" w:rsidRPr="002B721A" w:rsidP="002B721A">
            <w:pPr>
              <w:pStyle w:val="ListBullet2"/>
            </w:pPr>
            <w:r w:rsidRPr="002B721A">
              <w:t>Demonstrate an understanding of the essential knowledge and associated skills as described in this unit.  It may be required by some jurisdiction</w:t>
            </w:r>
            <w:r w:rsidRPr="002B721A">
              <w:t>s that RTOs provide a percentile graded result for the purpose of regulatory or licensing requirements.</w:t>
            </w:r>
          </w:p>
          <w:p w:rsidR="00000000" w:rsidRPr="002B721A" w:rsidP="002B721A">
            <w:pPr>
              <w:pStyle w:val="ListBullet2"/>
            </w:pPr>
            <w:r w:rsidRPr="002B721A">
              <w:t>Demonstrate an appropriate level of skills enabling employment</w:t>
            </w:r>
          </w:p>
          <w:p w:rsidR="00000000" w:rsidRPr="002B721A" w:rsidP="002B721A">
            <w:pPr>
              <w:pStyle w:val="ListBullet2"/>
            </w:pPr>
            <w:r w:rsidRPr="002B721A">
              <w:t>Conduct work observing the relevant Anti Discrimination legislation, regulations, polices</w:t>
            </w:r>
            <w:r w:rsidRPr="002B721A">
              <w:t xml:space="preserve"> and workplace procedures</w:t>
            </w:r>
          </w:p>
          <w:p w:rsidR="00000000" w:rsidRPr="002B721A" w:rsidP="002B721A">
            <w:pPr>
              <w:pStyle w:val="ListBullet"/>
            </w:pPr>
            <w:r w:rsidRPr="002B721A">
              <w:t>Demonstrated performance across a representative range of contexts from the prescribed items below:</w:t>
            </w:r>
          </w:p>
          <w:p w:rsidR="00000000" w:rsidRPr="002B721A" w:rsidP="002B721A">
            <w:pPr>
              <w:pStyle w:val="ListBullet2"/>
            </w:pPr>
            <w:r w:rsidRPr="002B721A">
              <w:t>Solve problems in musical equipment circuits as described in 8) Range: and including:</w:t>
            </w:r>
          </w:p>
          <w:p w:rsidR="00000000" w:rsidRPr="002B721A" w:rsidP="002B721A">
            <w:pPr>
              <w:pStyle w:val="ListAlpha2"/>
            </w:pPr>
            <w:r w:rsidRPr="002B721A">
              <w:t>Using methodical prob</w:t>
            </w:r>
            <w:r w:rsidRPr="002B721A">
              <w:t>lem solving methods.</w:t>
            </w:r>
          </w:p>
          <w:p w:rsidR="00000000" w:rsidRPr="002B721A" w:rsidP="002B721A">
            <w:pPr>
              <w:pStyle w:val="ListAlpha2"/>
            </w:pPr>
            <w:r w:rsidRPr="002B721A">
              <w:t>Taking measurements correctly and accurately.</w:t>
            </w:r>
          </w:p>
          <w:p w:rsidR="00000000" w:rsidRPr="002B721A" w:rsidP="002B721A">
            <w:pPr>
              <w:pStyle w:val="ListAlpha2"/>
            </w:pPr>
            <w:r w:rsidRPr="002B721A">
              <w:t>Calculating parameters correctly and accurately.</w:t>
            </w:r>
          </w:p>
          <w:p w:rsidR="00000000" w:rsidRPr="002B721A" w:rsidP="002B721A">
            <w:pPr>
              <w:pStyle w:val="ListAlpha2"/>
            </w:pPr>
            <w:r w:rsidRPr="002B721A">
              <w:t>Providing solution to component/circuit problems.</w:t>
            </w:r>
          </w:p>
          <w:p w:rsidR="00000000" w:rsidRPr="002B721A" w:rsidP="002B721A">
            <w:pPr>
              <w:pStyle w:val="ListAlpha2"/>
            </w:pPr>
            <w:r w:rsidRPr="002B721A">
              <w:t>Providing written justification for the solutions to problems.</w:t>
            </w:r>
          </w:p>
          <w:p w:rsidR="00000000" w:rsidRPr="002B721A" w:rsidP="002B721A">
            <w:pPr>
              <w:pStyle w:val="ListAlpha2"/>
            </w:pPr>
            <w:r w:rsidRPr="002B721A">
              <w:t>Dealing with unplanned events by drawing on essential knowledge and skills to provide appropriate solutions incorporated in the holistic assessment with the above listed items.</w:t>
            </w:r>
          </w:p>
          <w:p w:rsidR="00000000" w:rsidRPr="002B721A" w:rsidP="002B721A">
            <w:pPr>
              <w:pStyle w:val="BodyText"/>
            </w:pPr>
            <w:r w:rsidRPr="002B721A">
              <w:t>Note:</w:t>
            </w:r>
          </w:p>
          <w:p w:rsidR="00000000" w:rsidRPr="002B721A" w:rsidP="002B721A">
            <w:pPr>
              <w:pStyle w:val="BodyText"/>
            </w:pPr>
            <w:r w:rsidRPr="002B721A">
              <w:t>Successful completion of relevant vendor training may be used to contribu</w:t>
            </w:r>
            <w:r w:rsidRPr="002B721A">
              <w:t>te to evidence on which competency is deemed. In these cases the alignment of outcomes of vendor training with performance criteria and critical aspects of evidence shall be clearly identified.</w:t>
            </w:r>
          </w:p>
        </w:tc>
      </w:tr>
    </w:tbl>
    <w:p w:rsidR="00000000" w:rsidRPr="002B721A" w:rsidP="002B721A">
      <w:pPr>
        <w:pStyle w:val="BodyText"/>
      </w:pPr>
    </w:p>
    <w:tbl>
      <w:tblPr>
        <w:tblW w:w="0" w:type="auto"/>
        <w:tblLayout w:type="fixed"/>
        <w:tblCellMar>
          <w:left w:w="62" w:type="dxa"/>
          <w:right w:w="62" w:type="dxa"/>
        </w:tblCellMar>
        <w:tblLook w:val="0000"/>
      </w:tblPr>
      <w:tblGrid>
        <w:gridCol w:w="1890"/>
        <w:gridCol w:w="6570"/>
      </w:tblGrid>
      <w:tr w:rsidTr="0034198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9.3)</w:t>
            </w:r>
          </w:p>
        </w:tc>
      </w:tr>
      <w:tr w:rsidTr="0034198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This unit contains Employability Skills</w:t>
            </w:r>
          </w:p>
          <w:p w:rsidR="00000000" w:rsidRPr="002B721A" w:rsidP="002B721A">
            <w:pPr>
              <w:pStyle w:val="BodyText"/>
            </w:pPr>
            <w:r w:rsidRPr="002B721A">
              <w:t>This unit should be assessed as it relates to normal work practice using procedures, information and resources typical of a workplace. This should include:</w:t>
            </w:r>
          </w:p>
          <w:p w:rsidR="00000000" w:rsidRPr="002B721A" w:rsidP="002B721A">
            <w:pPr>
              <w:pStyle w:val="ListBullet"/>
            </w:pPr>
            <w:r w:rsidRPr="002B721A">
              <w:t>OHS policy and work procedures and instructions.</w:t>
            </w:r>
          </w:p>
          <w:p w:rsidR="00000000" w:rsidRPr="002B721A" w:rsidP="002B721A">
            <w:pPr>
              <w:pStyle w:val="ListBullet"/>
            </w:pPr>
            <w:r w:rsidRPr="002B721A">
              <w:t>Suitable w</w:t>
            </w:r>
            <w:r w:rsidRPr="002B721A">
              <w:t>ork environment, facilities, equipment and materials to undertake actual work as prescribed by this competency standard unit.</w:t>
            </w:r>
          </w:p>
          <w:p w:rsidR="00000000" w:rsidRPr="002B721A" w:rsidP="002B721A">
            <w:pPr>
              <w:pStyle w:val="BodyText"/>
            </w:pPr>
            <w:r w:rsidRPr="002B721A">
              <w:t>These should be part of the formal learning/assessment environment.</w:t>
            </w:r>
          </w:p>
          <w:p w:rsidR="00000000" w:rsidRPr="002B721A" w:rsidP="002B721A">
            <w:pPr>
              <w:pStyle w:val="BodyText"/>
            </w:pPr>
            <w:r w:rsidRPr="002B721A">
              <w:t>Note:</w:t>
            </w:r>
          </w:p>
          <w:p w:rsidR="00000000" w:rsidRPr="002B721A" w:rsidP="002B721A">
            <w:pPr>
              <w:pStyle w:val="BodyText"/>
            </w:pPr>
            <w:r w:rsidRPr="002B721A">
              <w:t>Where simulation is considered a suitable strategy for a</w:t>
            </w:r>
            <w:r w:rsidRPr="002B721A">
              <w:t>ssessment it must ensure that the conditions for assessment are authentic and as far as possible reproduce and replicate the workplace and is consistent with the approved industry simulation policy.</w:t>
            </w:r>
          </w:p>
          <w:p w:rsidR="00000000" w:rsidRPr="002B721A" w:rsidP="002B721A">
            <w:pPr>
              <w:pStyle w:val="BodyText"/>
            </w:pPr>
            <w:r w:rsidRPr="002B721A">
              <w:t xml:space="preserve">The resources used for assessment should reflect current </w:t>
            </w:r>
            <w:r w:rsidRPr="002B721A">
              <w:t>industry practices in relation to solving problems in musical equipment circuits.</w:t>
            </w:r>
          </w:p>
        </w:tc>
      </w:tr>
    </w:tbl>
    <w:p w:rsidR="00000000" w:rsidRPr="002B721A" w:rsidP="002B721A">
      <w:pPr>
        <w:pStyle w:val="BodyText"/>
      </w:pPr>
    </w:p>
    <w:tbl>
      <w:tblPr>
        <w:tblW w:w="0" w:type="auto"/>
        <w:tblLayout w:type="fixed"/>
        <w:tblCellMar>
          <w:left w:w="62" w:type="dxa"/>
          <w:right w:w="62" w:type="dxa"/>
        </w:tblCellMar>
        <w:tblLook w:val="0000"/>
      </w:tblPr>
      <w:tblGrid>
        <w:gridCol w:w="1890"/>
        <w:gridCol w:w="6570"/>
      </w:tblGrid>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9.4)</w:t>
            </w:r>
          </w:p>
        </w:tc>
      </w:tr>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This unit shall be assessed by methods given in Volume 1, Part 3 ‘Assessment Guidelines’.</w:t>
            </w:r>
          </w:p>
          <w:p w:rsidR="00000000" w:rsidRPr="002B721A" w:rsidP="002B721A">
            <w:pPr>
              <w:pStyle w:val="BodyText"/>
            </w:pPr>
            <w:r w:rsidRPr="002B721A">
              <w:t>Note:</w:t>
            </w:r>
          </w:p>
          <w:p w:rsidR="00000000" w:rsidRPr="002B721A" w:rsidP="002B721A">
            <w:pPr>
              <w:pStyle w:val="BodyText"/>
            </w:pPr>
            <w:r w:rsidRPr="002B721A">
              <w:t>Competent performance with inherent safe working practices is expected in the Industry to which this competency standard unit applies. This requires that the specified essential knowledge and associated skills are assessed in a structured environment which</w:t>
            </w:r>
            <w:r w:rsidRPr="002B721A">
              <w:t xml:space="preserve"> is primarily intended for learning/assessment and incorporates all necessary equipment and facilities for learners to develop and demonstrate the essential knowledge and skills described in this unit.</w:t>
            </w:r>
          </w:p>
        </w:tc>
      </w:tr>
    </w:tbl>
    <w:p w:rsidR="00000000" w:rsidRPr="002B721A" w:rsidP="002B721A">
      <w:pPr>
        <w:pStyle w:val="BodyText"/>
      </w:pPr>
    </w:p>
    <w:tbl>
      <w:tblPr>
        <w:tblW w:w="0" w:type="auto"/>
        <w:tblLayout w:type="fixed"/>
        <w:tblCellMar>
          <w:left w:w="62" w:type="dxa"/>
          <w:right w:w="62" w:type="dxa"/>
        </w:tblCellMar>
        <w:tblLook w:val="0000"/>
      </w:tblPr>
      <w:tblGrid>
        <w:gridCol w:w="1890"/>
        <w:gridCol w:w="6570"/>
      </w:tblGrid>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Concurrent assessment and relationship with other un</w:t>
            </w:r>
            <w:r w:rsidRPr="002B721A">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9.5)</w:t>
            </w:r>
          </w:p>
        </w:tc>
      </w:tr>
      <w:tr w:rsidTr="003419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For optimisation of training and assessment effort, competence in this unit may be assessed concurrently with unit:</w:t>
            </w:r>
          </w:p>
          <w:p w:rsidR="00000000" w:rsidRPr="002B721A" w:rsidP="002B721A">
            <w:pPr>
              <w:pStyle w:val="BodyText"/>
            </w:pPr>
            <w:r w:rsidRPr="002B721A">
              <w:t>UEENEEH102A</w:t>
            </w:r>
            <w:r w:rsidRPr="002B721A">
              <w:tab/>
              <w:t>Repairs basic electronic apparatus faults by replacement of components</w:t>
            </w:r>
          </w:p>
          <w:p w:rsidR="00000000" w:rsidRPr="002B721A" w:rsidP="002B721A">
            <w:pPr>
              <w:pStyle w:val="BodyText"/>
            </w:pPr>
            <w:r w:rsidRPr="002B721A">
              <w:t>UEENEEH112A</w:t>
            </w:r>
            <w:r w:rsidRPr="002B721A">
              <w:tab/>
              <w:t>Troubleshoot digital sub-systems</w:t>
            </w:r>
          </w:p>
          <w:p w:rsidR="00000000" w:rsidRPr="002B721A" w:rsidP="002B721A">
            <w:pPr>
              <w:pStyle w:val="BodyText"/>
            </w:pPr>
            <w:r w:rsidRPr="002B721A">
              <w:t>UEENEEH114A</w:t>
            </w:r>
            <w:r w:rsidRPr="002B721A">
              <w:tab/>
              <w:t>Troubleshoot resonance circuits in an electronic apparatus</w:t>
            </w:r>
          </w:p>
          <w:p w:rsidR="00000000" w:rsidRPr="002B721A" w:rsidP="002B721A">
            <w:pPr>
              <w:pStyle w:val="BodyText"/>
            </w:pPr>
            <w:r w:rsidRPr="002B721A">
              <w:t>UEENEEH115A</w:t>
            </w:r>
            <w:r w:rsidRPr="002B721A">
              <w:tab/>
              <w:t>Develop software solutions for microcontroller based systems</w:t>
            </w:r>
          </w:p>
          <w:p w:rsidR="00000000" w:rsidRPr="002B721A" w:rsidP="002B721A">
            <w:pPr>
              <w:pStyle w:val="BodyText"/>
            </w:pPr>
            <w:r w:rsidRPr="002B721A">
              <w:t>UEENEEH116A</w:t>
            </w:r>
            <w:r w:rsidRPr="002B721A">
              <w:tab/>
              <w:t>Find and repair microwave amplifier section faults in electronic apparatus</w:t>
            </w:r>
          </w:p>
          <w:p w:rsidR="00000000" w:rsidRPr="002B721A" w:rsidP="002B721A">
            <w:pPr>
              <w:pStyle w:val="BodyText"/>
            </w:pPr>
            <w:r w:rsidRPr="002B721A">
              <w:t>UEENEEH139A</w:t>
            </w:r>
            <w:r w:rsidRPr="002B721A">
              <w:tab/>
              <w:t xml:space="preserve">Troubleshoot </w:t>
            </w:r>
            <w:r w:rsidRPr="002B721A">
              <w:t>basic amplifier circuits</w:t>
            </w:r>
          </w:p>
          <w:p w:rsidR="00000000" w:rsidRPr="002B721A" w:rsidP="002B721A">
            <w:pPr>
              <w:pStyle w:val="BodyText"/>
            </w:pPr>
            <w:r w:rsidRPr="002B721A">
              <w:t>The critical aspects of occupational health and safety covered in unit UEENEEE101A and other discipline specific occupational health and safety units shall be incorporated in relation to this unit.</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11" w:name="O_588624"/>
      <w:bookmarkEnd w:id="11"/>
      <w:r w:rsidRPr="002B721A">
        <w:t>Range Statemen</w:t>
      </w:r>
      <w:r w:rsidRPr="002B721A">
        <w:t>t</w:t>
      </w:r>
    </w:p>
    <w:tbl>
      <w:tblPr>
        <w:tblW w:w="0" w:type="auto"/>
        <w:tblLayout w:type="fixed"/>
        <w:tblCellMar>
          <w:left w:w="62" w:type="dxa"/>
          <w:right w:w="62" w:type="dxa"/>
        </w:tblCellMar>
        <w:tblLook w:val="0000"/>
      </w:tblPr>
      <w:tblGrid>
        <w:gridCol w:w="8460"/>
      </w:tblGrid>
      <w:tr w:rsidTr="003419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RANGE STATEMENT</w:t>
            </w:r>
          </w:p>
        </w:tc>
      </w:tr>
      <w:tr w:rsidTr="003419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10)</w:t>
            </w:r>
            <w:r w:rsidRPr="002B721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B721A" w:rsidP="002B721A">
            <w:pPr>
              <w:pStyle w:val="BodyText"/>
            </w:pPr>
            <w:r w:rsidRPr="002B721A">
              <w:t>This co</w:t>
            </w:r>
            <w:r w:rsidRPr="002B721A">
              <w:t>mpetency standard unit shall be demonstrated using a representative range of musical equipment circuits in solving at least two of the following types of musical equipment circuits problems:</w:t>
            </w:r>
          </w:p>
          <w:p w:rsidR="00000000" w:rsidRPr="002B721A" w:rsidP="002B721A">
            <w:pPr>
              <w:pStyle w:val="ListBullet"/>
            </w:pPr>
            <w:r w:rsidRPr="002B721A">
              <w:t>Determining the operating parameters of a valve amplifier and mu</w:t>
            </w:r>
            <w:r w:rsidRPr="002B721A">
              <w:t>sical instrument circuit.</w:t>
            </w:r>
          </w:p>
          <w:p w:rsidR="00000000" w:rsidRPr="002B721A" w:rsidP="002B721A">
            <w:pPr>
              <w:pStyle w:val="ListBullet"/>
            </w:pPr>
            <w:r w:rsidRPr="002B721A">
              <w:t>Altering an existing valve amplifier or musical instrument circuit section to comply with specified operating parameters</w:t>
            </w:r>
          </w:p>
          <w:p w:rsidR="00000000" w:rsidRPr="002B721A" w:rsidP="002B721A">
            <w:pPr>
              <w:pStyle w:val="ListBullet"/>
            </w:pPr>
            <w:r w:rsidRPr="002B721A">
              <w:t xml:space="preserve">Developing a valve amplifier section or musical </w:t>
            </w:r>
            <w:r w:rsidRPr="002B721A">
              <w:t>instrument circuit to comply with a specified function and operating parameters</w:t>
            </w:r>
          </w:p>
          <w:p w:rsidR="00000000" w:rsidRPr="002B721A" w:rsidP="002B721A">
            <w:pPr>
              <w:pStyle w:val="ListBullet"/>
            </w:pPr>
            <w:r w:rsidRPr="002B721A">
              <w:t>Finding and repairing a fault in a valve amplifier and musical instrument circuit section of an electronic apparatus</w:t>
            </w:r>
          </w:p>
          <w:p w:rsidR="00000000" w:rsidRPr="002B721A" w:rsidP="002B721A">
            <w:pPr>
              <w:pStyle w:val="BodyText"/>
            </w:pPr>
            <w:r w:rsidRPr="002B721A">
              <w:t xml:space="preserve">Generic terms are used throughout this Vocational Standard </w:t>
            </w:r>
            <w:r w:rsidRPr="002B721A">
              <w:t>shall be regarded as part of the Range of Variables in which competency is demonstrated. The definition of these and other terms that apply are given in Volume 2, Part 2.1.</w:t>
            </w:r>
          </w:p>
        </w:tc>
      </w:tr>
    </w:tbl>
    <w:p w:rsidR="00000000" w:rsidRPr="002B721A" w:rsidP="002B721A">
      <w:pPr>
        <w:pStyle w:val="BodyText"/>
      </w:pPr>
    </w:p>
    <w:p w:rsidR="00000000" w:rsidRPr="002B721A" w:rsidP="002B721A">
      <w:pPr>
        <w:pStyle w:val="AllowPageBreak"/>
      </w:pPr>
    </w:p>
    <w:p w:rsidR="00000000" w:rsidRPr="002B721A" w:rsidP="002B721A">
      <w:pPr>
        <w:pStyle w:val="Heading1"/>
      </w:pPr>
      <w:bookmarkStart w:id="12" w:name="O_588623"/>
      <w:bookmarkEnd w:id="12"/>
      <w:r w:rsidRPr="002B721A">
        <w:t>Unit Sector(s)</w:t>
      </w:r>
    </w:p>
    <w:p w:rsidR="00000000" w:rsidRPr="002B721A" w:rsidP="002B721A">
      <w:pPr>
        <w:pStyle w:val="BodyText"/>
      </w:pPr>
      <w:r w:rsidRPr="002B721A">
        <w:t>Not applicable.</w:t>
      </w:r>
    </w:p>
    <w:p w:rsidR="00000000" w:rsidRPr="002B721A" w:rsidP="002B721A">
      <w:pPr>
        <w:pStyle w:val="AllowPageBreak"/>
      </w:pPr>
    </w:p>
    <w:p w:rsidR="00000000" w:rsidRPr="002B721A" w:rsidP="002B721A">
      <w:pPr>
        <w:pStyle w:val="Heading1"/>
      </w:pPr>
      <w:bookmarkStart w:id="13" w:name="O_588622"/>
      <w:bookmarkEnd w:id="13"/>
      <w:r w:rsidRPr="002B721A">
        <w:t>Competency Field</w:t>
      </w:r>
    </w:p>
    <w:tbl>
      <w:tblPr>
        <w:tblW w:w="0" w:type="auto"/>
        <w:tblLayout w:type="fixed"/>
        <w:tblCellMar>
          <w:left w:w="62" w:type="dxa"/>
          <w:right w:w="62" w:type="dxa"/>
        </w:tblCellMar>
        <w:tblLook w:val="0000"/>
      </w:tblPr>
      <w:tblGrid>
        <w:gridCol w:w="2700"/>
        <w:gridCol w:w="5760"/>
      </w:tblGrid>
      <w:tr w:rsidTr="00341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721A">
            <w:pPr>
              <w:pStyle w:val="BodyText"/>
              <w:rPr>
                <w:lang w:val="en-NZ"/>
              </w:rPr>
            </w:pPr>
            <w:r w:rsidRPr="002B721A">
              <w:rPr>
                <w:rStyle w:val="SpecialBold"/>
              </w:rPr>
              <w:t xml:space="preserve">11) </w:t>
            </w:r>
          </w:p>
        </w:tc>
      </w:tr>
      <w:tr w:rsidTr="00341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21A" w:rsidP="002B721A">
            <w:pPr>
              <w:pStyle w:val="BodyText"/>
            </w:pPr>
            <w:r w:rsidRPr="002B721A">
              <w:t>Electronics</w:t>
            </w:r>
          </w:p>
        </w:tc>
      </w:tr>
    </w:tbl>
    <w:p w:rsidR="00000000" w:rsidRPr="002B721A" w:rsidP="002B721A">
      <w:pPr>
        <w:pStyle w:val="BodyText"/>
      </w:pPr>
    </w:p>
    <w:p w:rsidR="00000000" w:rsidRPr="002B721A" w:rsidP="002B721A"/>
    <w:sectPr w:rsidSect="002B7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A" w:rsidRPr="00341987" w:rsidP="00341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87" w:rsidP="002B7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1987" w:rsidP="002B72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41987" w:rsidP="002B7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A" w:rsidRPr="00341987" w:rsidP="003419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87" w:rsidRPr="002D2AF8" w:rsidP="002B721A">
    <w:pPr>
      <w:pStyle w:val="Header"/>
      <w:framePr w:wrap="around"/>
    </w:pPr>
    <w:r>
      <w:fldChar w:fldCharType="begin"/>
    </w:r>
    <w:r>
      <w:instrText xml:space="preserve"> TITLE   \* MERGEFORMAT </w:instrText>
    </w:r>
    <w:r>
      <w:fldChar w:fldCharType="separate"/>
    </w:r>
    <w:r>
      <w:t>UEENEEH187A Solve problems in electronic musical equipment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41987" w:rsidP="002B7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89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B2D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0E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EE27434"/>
    <w:multiLevelType w:val="multilevel"/>
    <w:tmpl w:val="7BCA94D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21A"/>
    <w:pPr>
      <w:spacing w:before="360" w:after="60"/>
      <w:outlineLvl w:val="0"/>
    </w:pPr>
    <w:rPr>
      <w:sz w:val="32"/>
    </w:rPr>
  </w:style>
  <w:style w:type="paragraph" w:styleId="Heading2">
    <w:name w:val="heading 2"/>
    <w:basedOn w:val="HeadingBase"/>
    <w:next w:val="BodyText"/>
    <w:link w:val="Heading2Char"/>
    <w:qFormat/>
    <w:rsid w:val="002B721A"/>
    <w:pPr>
      <w:keepLines/>
      <w:spacing w:before="240" w:after="120"/>
      <w:outlineLvl w:val="1"/>
    </w:pPr>
    <w:rPr>
      <w:sz w:val="28"/>
      <w:szCs w:val="40"/>
    </w:rPr>
  </w:style>
  <w:style w:type="paragraph" w:styleId="Heading3">
    <w:name w:val="heading 3"/>
    <w:basedOn w:val="HeadingBase"/>
    <w:next w:val="BodyText"/>
    <w:link w:val="Heading3Char"/>
    <w:qFormat/>
    <w:rsid w:val="002B721A"/>
    <w:pPr>
      <w:spacing w:before="180" w:after="120"/>
      <w:outlineLvl w:val="2"/>
    </w:pPr>
    <w:rPr>
      <w:spacing w:val="-10"/>
      <w:kern w:val="32"/>
    </w:rPr>
  </w:style>
  <w:style w:type="paragraph" w:styleId="Heading4">
    <w:name w:val="heading 4"/>
    <w:basedOn w:val="HeadingBase"/>
    <w:next w:val="BodyText"/>
    <w:link w:val="Heading4Char"/>
    <w:qFormat/>
    <w:rsid w:val="002B721A"/>
    <w:pPr>
      <w:spacing w:before="160" w:after="120"/>
      <w:outlineLvl w:val="3"/>
    </w:pPr>
    <w:rPr>
      <w:sz w:val="22"/>
    </w:rPr>
  </w:style>
  <w:style w:type="paragraph" w:styleId="Heading5">
    <w:name w:val="heading 5"/>
    <w:basedOn w:val="HeadingBase"/>
    <w:next w:val="Normal"/>
    <w:link w:val="Heading5Char"/>
    <w:qFormat/>
    <w:rsid w:val="002B721A"/>
    <w:pPr>
      <w:spacing w:before="80"/>
      <w:outlineLvl w:val="4"/>
    </w:pPr>
    <w:rPr>
      <w:color w:val="918585"/>
      <w:sz w:val="20"/>
    </w:rPr>
  </w:style>
  <w:style w:type="paragraph" w:styleId="Heading6">
    <w:name w:val="heading 6"/>
    <w:basedOn w:val="HeadingBase"/>
    <w:next w:val="Normal"/>
    <w:link w:val="Heading6Char"/>
    <w:qFormat/>
    <w:rsid w:val="002B721A"/>
    <w:pPr>
      <w:spacing w:before="60"/>
      <w:outlineLvl w:val="5"/>
    </w:pPr>
    <w:rPr>
      <w:color w:val="918585"/>
      <w:sz w:val="20"/>
    </w:rPr>
  </w:style>
  <w:style w:type="paragraph" w:styleId="Heading7">
    <w:name w:val="heading 7"/>
    <w:basedOn w:val="Normal"/>
    <w:next w:val="Normal"/>
    <w:link w:val="Heading7Char"/>
    <w:qFormat/>
    <w:rsid w:val="002B721A"/>
    <w:pPr>
      <w:ind w:left="720"/>
      <w:outlineLvl w:val="6"/>
    </w:pPr>
    <w:rPr>
      <w:i/>
    </w:rPr>
  </w:style>
  <w:style w:type="paragraph" w:styleId="Heading8">
    <w:name w:val="heading 8"/>
    <w:basedOn w:val="Normal"/>
    <w:next w:val="Normal"/>
    <w:link w:val="Heading8Char"/>
    <w:qFormat/>
    <w:rsid w:val="002B721A"/>
    <w:pPr>
      <w:ind w:left="720"/>
      <w:outlineLvl w:val="7"/>
    </w:pPr>
    <w:rPr>
      <w:i/>
    </w:rPr>
  </w:style>
  <w:style w:type="paragraph" w:styleId="Heading9">
    <w:name w:val="heading 9"/>
    <w:basedOn w:val="Normal"/>
    <w:next w:val="Normal"/>
    <w:link w:val="Heading9Char"/>
    <w:qFormat/>
    <w:rsid w:val="002B721A"/>
    <w:pPr>
      <w:ind w:left="720"/>
      <w:outlineLvl w:val="8"/>
    </w:pPr>
    <w:rPr>
      <w:i/>
    </w:rPr>
  </w:style>
  <w:style w:type="character" w:default="1" w:styleId="DefaultParagraphFont">
    <w:name w:val="Default Paragraph Font"/>
    <w:uiPriority w:val="1"/>
    <w:unhideWhenUsed/>
    <w:rsid w:val="002B7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21A"/>
  </w:style>
  <w:style w:type="character" w:customStyle="1" w:styleId="Heading1Char">
    <w:name w:val="Heading 1 Char"/>
    <w:basedOn w:val="DefaultParagraphFont"/>
    <w:link w:val="Heading1"/>
    <w:rsid w:val="002B721A"/>
    <w:rPr>
      <w:rFonts w:ascii="Times New Roman" w:eastAsia="Times New Roman" w:hAnsi="Times New Roman" w:cs="Times New Roman"/>
      <w:b/>
      <w:sz w:val="32"/>
      <w:szCs w:val="20"/>
      <w:lang w:eastAsia="en-US"/>
    </w:rPr>
  </w:style>
  <w:style w:type="paragraph" w:styleId="BodyText">
    <w:name w:val="Body Text"/>
    <w:basedOn w:val="Normal"/>
    <w:link w:val="BodyTextChar"/>
    <w:rsid w:val="002B7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21A"/>
    <w:rPr>
      <w:rFonts w:ascii="Times New Roman" w:eastAsia="Times New Roman" w:hAnsi="Times New Roman" w:cs="Times New Roman"/>
      <w:sz w:val="24"/>
      <w:lang w:eastAsia="en-US"/>
    </w:rPr>
  </w:style>
  <w:style w:type="paragraph" w:styleId="ListBullet">
    <w:name w:val="List Bullet"/>
    <w:basedOn w:val="List"/>
    <w:rsid w:val="002B721A"/>
    <w:pPr>
      <w:numPr>
        <w:numId w:val="13"/>
      </w:numPr>
      <w:tabs>
        <w:tab w:val="clear" w:pos="340"/>
      </w:tabs>
      <w:spacing w:before="40" w:after="40"/>
    </w:pPr>
  </w:style>
  <w:style w:type="character" w:customStyle="1" w:styleId="SpecialBold">
    <w:name w:val="Special Bold"/>
    <w:basedOn w:val="DefaultParagraphFont"/>
    <w:rsid w:val="002B721A"/>
    <w:rPr>
      <w:b/>
      <w:spacing w:val="0"/>
    </w:rPr>
  </w:style>
  <w:style w:type="paragraph" w:styleId="ListBullet2">
    <w:name w:val="List Bullet 2"/>
    <w:basedOn w:val="List2"/>
    <w:rsid w:val="002B721A"/>
    <w:pPr>
      <w:numPr>
        <w:numId w:val="14"/>
      </w:numPr>
      <w:tabs>
        <w:tab w:val="clear" w:pos="680"/>
      </w:tabs>
    </w:pPr>
  </w:style>
  <w:style w:type="paragraph" w:customStyle="1" w:styleId="SuperHeading">
    <w:name w:val="SuperHeading"/>
    <w:basedOn w:val="Normal"/>
    <w:rsid w:val="002B721A"/>
    <w:pPr>
      <w:spacing w:before="240" w:after="120"/>
      <w:outlineLvl w:val="0"/>
    </w:pPr>
    <w:rPr>
      <w:rFonts w:ascii="Times New Roman" w:hAnsi="Times New Roman"/>
      <w:b/>
      <w:sz w:val="32"/>
    </w:rPr>
  </w:style>
  <w:style w:type="paragraph" w:customStyle="1" w:styleId="AllowPageBreak">
    <w:name w:val="AllowPageBreak"/>
    <w:rsid w:val="002B72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2B721A"/>
    <w:pPr>
      <w:numPr>
        <w:numId w:val="8"/>
      </w:numPr>
    </w:pPr>
  </w:style>
  <w:style w:type="character" w:customStyle="1" w:styleId="Heading2Char">
    <w:name w:val="Heading 2 Char"/>
    <w:basedOn w:val="DefaultParagraphFont"/>
    <w:link w:val="Heading2"/>
    <w:rsid w:val="002B7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21A"/>
    <w:rPr>
      <w:rFonts w:ascii="Courier New" w:eastAsia="Times New Roman" w:hAnsi="Courier New" w:cs="Times New Roman"/>
      <w:i/>
      <w:szCs w:val="20"/>
      <w:lang w:eastAsia="en-US"/>
    </w:rPr>
  </w:style>
  <w:style w:type="paragraph" w:customStyle="1" w:styleId="HeadingBase">
    <w:name w:val="Heading Base"/>
    <w:rsid w:val="002B7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21A"/>
    <w:pPr>
      <w:tabs>
        <w:tab w:val="right" w:leader="dot" w:pos="9072"/>
      </w:tabs>
      <w:ind w:left="567"/>
    </w:pPr>
    <w:rPr>
      <w:szCs w:val="22"/>
    </w:rPr>
  </w:style>
  <w:style w:type="paragraph" w:customStyle="1" w:styleId="TOCBase">
    <w:name w:val="TOC Base"/>
    <w:rsid w:val="002B7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21A"/>
    <w:pPr>
      <w:tabs>
        <w:tab w:val="right" w:leader="dot" w:pos="9072"/>
      </w:tabs>
      <w:spacing w:before="40" w:after="40"/>
      <w:ind w:left="284"/>
    </w:pPr>
    <w:rPr>
      <w:rFonts w:ascii="Times New Roman" w:hAnsi="Times New Roman"/>
    </w:rPr>
  </w:style>
  <w:style w:type="paragraph" w:styleId="TOC1">
    <w:name w:val="toc 1"/>
    <w:basedOn w:val="TOCBase"/>
    <w:next w:val="Normal"/>
    <w:rsid w:val="002B7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21A"/>
    <w:rPr>
      <w:rFonts w:ascii="Times New Roman" w:eastAsia="Times New Roman" w:hAnsi="Times New Roman" w:cs="Times New Roman"/>
      <w:sz w:val="16"/>
      <w:lang w:eastAsia="en-US"/>
    </w:rPr>
  </w:style>
  <w:style w:type="paragraph" w:styleId="Title">
    <w:name w:val="Title"/>
    <w:basedOn w:val="HeadingBase"/>
    <w:link w:val="TitleChar"/>
    <w:qFormat/>
    <w:rsid w:val="002B721A"/>
    <w:pPr>
      <w:spacing w:before="5040"/>
      <w:jc w:val="center"/>
    </w:pPr>
    <w:rPr>
      <w:sz w:val="48"/>
      <w:szCs w:val="72"/>
      <w:lang w:val="en-US"/>
    </w:rPr>
  </w:style>
  <w:style w:type="character" w:customStyle="1" w:styleId="TitleChar">
    <w:name w:val="Title Char"/>
    <w:basedOn w:val="DefaultParagraphFont"/>
    <w:link w:val="Title"/>
    <w:rsid w:val="002B7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21A"/>
    <w:pPr>
      <w:tabs>
        <w:tab w:val="left" w:pos="3600"/>
        <w:tab w:val="left" w:pos="3958"/>
      </w:tabs>
    </w:pPr>
  </w:style>
  <w:style w:type="paragraph" w:styleId="List">
    <w:name w:val="List"/>
    <w:basedOn w:val="BodyText"/>
    <w:next w:val="BodyText"/>
    <w:rsid w:val="002B721A"/>
    <w:pPr>
      <w:tabs>
        <w:tab w:val="left" w:pos="340"/>
      </w:tabs>
      <w:spacing w:before="60" w:after="60"/>
      <w:ind w:left="340" w:hanging="340"/>
    </w:pPr>
  </w:style>
  <w:style w:type="paragraph" w:customStyle="1" w:styleId="Note">
    <w:name w:val="Note"/>
    <w:basedOn w:val="BodyText"/>
    <w:rsid w:val="002B7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21A"/>
    <w:pPr>
      <w:framePr w:wrap="auto" w:hAnchor="text" w:y="6049"/>
    </w:pPr>
    <w:rPr>
      <w:color w:val="000000"/>
      <w:sz w:val="40"/>
    </w:rPr>
  </w:style>
  <w:style w:type="paragraph" w:customStyle="1" w:styleId="TOCTitle">
    <w:name w:val="TOCTitle"/>
    <w:basedOn w:val="Heading1"/>
    <w:rsid w:val="002B721A"/>
    <w:pPr>
      <w:spacing w:after="240"/>
      <w:jc w:val="center"/>
      <w:outlineLvl w:val="9"/>
    </w:pPr>
    <w:rPr>
      <w:caps/>
    </w:rPr>
  </w:style>
  <w:style w:type="paragraph" w:customStyle="1" w:styleId="Version">
    <w:name w:val="Version"/>
    <w:rsid w:val="002B7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21A"/>
    <w:pPr>
      <w:keepNext w:val="0"/>
      <w:tabs>
        <w:tab w:val="right" w:pos="4176"/>
      </w:tabs>
      <w:ind w:left="198" w:hanging="198"/>
    </w:pPr>
    <w:rPr>
      <w:rFonts w:ascii="Garamond" w:hAnsi="Garamond"/>
    </w:rPr>
  </w:style>
  <w:style w:type="paragraph" w:styleId="IndexHeading">
    <w:name w:val="index heading"/>
    <w:basedOn w:val="Normal"/>
    <w:next w:val="Index1"/>
    <w:semiHidden/>
    <w:rsid w:val="002B721A"/>
    <w:pPr>
      <w:spacing w:before="120" w:after="120"/>
    </w:pPr>
    <w:rPr>
      <w:rFonts w:ascii="Arial" w:hAnsi="Arial"/>
      <w:b/>
      <w:color w:val="918585"/>
      <w:sz w:val="24"/>
    </w:rPr>
  </w:style>
  <w:style w:type="paragraph" w:styleId="Header">
    <w:name w:val="header"/>
    <w:basedOn w:val="Normal"/>
    <w:link w:val="HeaderChar"/>
    <w:rsid w:val="002B7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21A"/>
    <w:rPr>
      <w:rFonts w:ascii="Times New Roman" w:eastAsia="Times New Roman" w:hAnsi="Times New Roman" w:cs="Times New Roman"/>
      <w:sz w:val="16"/>
      <w:szCs w:val="20"/>
      <w:lang w:val="en-GB" w:eastAsia="en-US"/>
    </w:rPr>
  </w:style>
  <w:style w:type="paragraph" w:customStyle="1" w:styleId="Chapter">
    <w:name w:val="Chapter"/>
    <w:basedOn w:val="Normal"/>
    <w:rsid w:val="002B721A"/>
    <w:pPr>
      <w:spacing w:before="240"/>
    </w:pPr>
    <w:rPr>
      <w:rFonts w:ascii="Times New Roman" w:hAnsi="Times New Roman"/>
      <w:smallCaps/>
      <w:spacing w:val="80"/>
      <w:sz w:val="28"/>
    </w:rPr>
  </w:style>
  <w:style w:type="paragraph" w:customStyle="1" w:styleId="InChapter">
    <w:name w:val="InChapter"/>
    <w:basedOn w:val="Heading3"/>
    <w:rsid w:val="002B721A"/>
    <w:pPr>
      <w:spacing w:after="240"/>
      <w:outlineLvl w:val="9"/>
    </w:pPr>
    <w:rPr>
      <w:noProof/>
    </w:rPr>
  </w:style>
  <w:style w:type="paragraph" w:styleId="Index2">
    <w:name w:val="index 2"/>
    <w:basedOn w:val="Normal"/>
    <w:next w:val="Normal"/>
    <w:semiHidden/>
    <w:rsid w:val="002B721A"/>
    <w:pPr>
      <w:tabs>
        <w:tab w:val="right" w:pos="4176"/>
      </w:tabs>
      <w:ind w:left="568" w:hanging="284"/>
    </w:pPr>
    <w:rPr>
      <w:rFonts w:ascii="Garamond" w:hAnsi="Garamond"/>
    </w:rPr>
  </w:style>
  <w:style w:type="paragraph" w:customStyle="1" w:styleId="Byline">
    <w:name w:val="Byline"/>
    <w:rsid w:val="002B7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21A"/>
    <w:pPr>
      <w:tabs>
        <w:tab w:val="clear" w:pos="3600"/>
        <w:tab w:val="clear" w:pos="3958"/>
      </w:tabs>
      <w:jc w:val="right"/>
    </w:pPr>
  </w:style>
  <w:style w:type="character" w:styleId="Emphasis">
    <w:name w:val="Emphasis"/>
    <w:basedOn w:val="DefaultParagraphFont"/>
    <w:qFormat/>
    <w:rsid w:val="002B721A"/>
    <w:rPr>
      <w:i/>
    </w:rPr>
  </w:style>
  <w:style w:type="paragraph" w:styleId="Caption">
    <w:name w:val="caption"/>
    <w:basedOn w:val="BodyText"/>
    <w:next w:val="Normal"/>
    <w:qFormat/>
    <w:rsid w:val="002B721A"/>
    <w:pPr>
      <w:framePr w:w="2268" w:hSpace="181" w:vSpace="181" w:wrap="around" w:vAnchor="text" w:hAnchor="page" w:x="1135" w:y="285" w:anchorLock="1"/>
    </w:pPr>
    <w:rPr>
      <w:i/>
    </w:rPr>
  </w:style>
  <w:style w:type="paragraph" w:customStyle="1" w:styleId="MiniTOCTitle">
    <w:name w:val="MiniTOCTitle"/>
    <w:basedOn w:val="Heading4"/>
    <w:rsid w:val="002B721A"/>
    <w:pPr>
      <w:spacing w:before="240"/>
      <w:outlineLvl w:val="9"/>
    </w:pPr>
    <w:rPr>
      <w:noProof/>
      <w:sz w:val="24"/>
    </w:rPr>
  </w:style>
  <w:style w:type="paragraph" w:customStyle="1" w:styleId="MiniTOCItem">
    <w:name w:val="MiniTOCItem"/>
    <w:basedOn w:val="ListBullet"/>
    <w:rsid w:val="002B721A"/>
    <w:pPr>
      <w:numPr>
        <w:numId w:val="0"/>
      </w:numPr>
      <w:tabs>
        <w:tab w:val="right" w:leader="dot" w:pos="6521"/>
      </w:tabs>
      <w:spacing w:before="0" w:after="0"/>
    </w:pPr>
  </w:style>
  <w:style w:type="paragraph" w:customStyle="1" w:styleId="TOFTitle">
    <w:name w:val="TOFTitle"/>
    <w:basedOn w:val="TOCTitle"/>
    <w:rsid w:val="002B721A"/>
  </w:style>
  <w:style w:type="paragraph" w:styleId="TableofFigures">
    <w:name w:val="table of figures"/>
    <w:basedOn w:val="Normal"/>
    <w:next w:val="Normal"/>
    <w:semiHidden/>
    <w:rsid w:val="002B721A"/>
    <w:pPr>
      <w:tabs>
        <w:tab w:val="right" w:leader="dot" w:pos="9072"/>
      </w:tabs>
      <w:ind w:left="970" w:hanging="403"/>
    </w:pPr>
    <w:rPr>
      <w:rFonts w:ascii="Times New Roman" w:hAnsi="Times New Roman"/>
      <w:b/>
    </w:rPr>
  </w:style>
  <w:style w:type="paragraph" w:styleId="ListNumber">
    <w:name w:val="List Number"/>
    <w:basedOn w:val="List"/>
    <w:rsid w:val="002B721A"/>
    <w:pPr>
      <w:numPr>
        <w:numId w:val="11"/>
      </w:numPr>
    </w:pPr>
  </w:style>
  <w:style w:type="character" w:customStyle="1" w:styleId="WingdingSymbols">
    <w:name w:val="Wingding Symbols"/>
    <w:rsid w:val="002B721A"/>
    <w:rPr>
      <w:rFonts w:ascii="Wingdings" w:hAnsi="Wingdings"/>
    </w:rPr>
  </w:style>
  <w:style w:type="paragraph" w:customStyle="1" w:styleId="TableHeading">
    <w:name w:val="Table Heading"/>
    <w:basedOn w:val="HeadingBase"/>
    <w:rsid w:val="002B721A"/>
    <w:pPr>
      <w:keepLines/>
      <w:pBdr>
        <w:bottom w:val="single" w:sz="6" w:space="1" w:color="918585"/>
      </w:pBdr>
      <w:spacing w:before="240"/>
    </w:pPr>
  </w:style>
  <w:style w:type="character" w:customStyle="1" w:styleId="HotSpot">
    <w:name w:val="HotSpot"/>
    <w:rsid w:val="002B721A"/>
    <w:rPr>
      <w:color w:val="0033CC"/>
      <w:u w:val="none"/>
    </w:rPr>
  </w:style>
  <w:style w:type="paragraph" w:customStyle="1" w:styleId="BodyTextRight">
    <w:name w:val="Body Text Right"/>
    <w:basedOn w:val="BodyText"/>
    <w:rsid w:val="002B721A"/>
    <w:pPr>
      <w:spacing w:before="0" w:after="0"/>
      <w:jc w:val="right"/>
    </w:pPr>
  </w:style>
  <w:style w:type="paragraph" w:styleId="Index3">
    <w:name w:val="index 3"/>
    <w:basedOn w:val="ListNumber2"/>
    <w:next w:val="Normal"/>
    <w:semiHidden/>
    <w:rsid w:val="002B721A"/>
    <w:pPr>
      <w:numPr>
        <w:numId w:val="0"/>
      </w:numPr>
      <w:tabs>
        <w:tab w:val="right" w:leader="dot" w:pos="4176"/>
      </w:tabs>
    </w:pPr>
  </w:style>
  <w:style w:type="paragraph" w:styleId="ListNumber2">
    <w:name w:val="List Number 2"/>
    <w:basedOn w:val="List2"/>
    <w:rsid w:val="002B721A"/>
    <w:pPr>
      <w:numPr>
        <w:numId w:val="10"/>
      </w:numPr>
      <w:tabs>
        <w:tab w:val="clear" w:pos="1060"/>
      </w:tabs>
    </w:pPr>
  </w:style>
  <w:style w:type="paragraph" w:customStyle="1" w:styleId="MarginNote">
    <w:name w:val="Margin Note"/>
    <w:basedOn w:val="BodyText"/>
    <w:rsid w:val="002B7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21A"/>
    <w:rPr>
      <w:sz w:val="32"/>
    </w:rPr>
  </w:style>
  <w:style w:type="paragraph" w:customStyle="1" w:styleId="HeadingProcedure">
    <w:name w:val="Heading Procedure"/>
    <w:basedOn w:val="HeadingBase"/>
    <w:next w:val="Normal"/>
    <w:rsid w:val="002B721A"/>
    <w:pPr>
      <w:tabs>
        <w:tab w:val="left" w:pos="0"/>
      </w:tabs>
      <w:spacing w:before="120" w:after="60"/>
    </w:pPr>
    <w:rPr>
      <w:i/>
      <w:color w:val="918585"/>
      <w:sz w:val="22"/>
    </w:rPr>
  </w:style>
  <w:style w:type="paragraph" w:customStyle="1" w:styleId="TableBodyText">
    <w:name w:val="Table Body Text"/>
    <w:basedOn w:val="BodyText"/>
    <w:rsid w:val="002B721A"/>
    <w:pPr>
      <w:spacing w:before="60" w:after="60"/>
    </w:pPr>
  </w:style>
  <w:style w:type="paragraph" w:styleId="ListContinue">
    <w:name w:val="List Continue"/>
    <w:basedOn w:val="List"/>
    <w:rsid w:val="002B721A"/>
    <w:pPr>
      <w:ind w:firstLine="0"/>
    </w:pPr>
  </w:style>
  <w:style w:type="paragraph" w:customStyle="1" w:styleId="ListNote">
    <w:name w:val="List Note"/>
    <w:basedOn w:val="List"/>
    <w:rsid w:val="002B721A"/>
    <w:pPr>
      <w:pBdr>
        <w:top w:val="single" w:sz="6" w:space="2" w:color="918585"/>
        <w:bottom w:val="single" w:sz="6" w:space="2" w:color="918585"/>
      </w:pBdr>
      <w:tabs>
        <w:tab w:val="left" w:pos="1021"/>
      </w:tabs>
      <w:ind w:firstLine="0"/>
    </w:pPr>
  </w:style>
  <w:style w:type="paragraph" w:customStyle="1" w:styleId="Warning">
    <w:name w:val="Warning"/>
    <w:basedOn w:val="BodyText"/>
    <w:rsid w:val="002B721A"/>
    <w:pPr>
      <w:shd w:val="clear" w:color="auto" w:fill="D9D9D9"/>
      <w:tabs>
        <w:tab w:val="left" w:pos="992"/>
      </w:tabs>
      <w:ind w:left="119" w:right="119"/>
    </w:pPr>
    <w:rPr>
      <w:sz w:val="20"/>
    </w:rPr>
  </w:style>
  <w:style w:type="paragraph" w:customStyle="1" w:styleId="MarginIcons">
    <w:name w:val="Margin Icons"/>
    <w:basedOn w:val="BodyText"/>
    <w:rsid w:val="002B7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21A"/>
    <w:rPr>
      <w:rFonts w:ascii="Courier New" w:hAnsi="Courier New"/>
    </w:rPr>
  </w:style>
  <w:style w:type="paragraph" w:customStyle="1" w:styleId="NoteBullet">
    <w:name w:val="Note Bullet"/>
    <w:basedOn w:val="Note"/>
    <w:rsid w:val="002B721A"/>
    <w:pPr>
      <w:tabs>
        <w:tab w:val="clear" w:pos="680"/>
      </w:tabs>
      <w:spacing w:before="60" w:after="60"/>
    </w:pPr>
  </w:style>
  <w:style w:type="paragraph" w:customStyle="1" w:styleId="SubHeading2">
    <w:name w:val="SubHeading2"/>
    <w:basedOn w:val="HeadingBase"/>
    <w:rsid w:val="002B721A"/>
    <w:pPr>
      <w:spacing w:before="240" w:after="60"/>
    </w:pPr>
    <w:rPr>
      <w:sz w:val="20"/>
    </w:rPr>
  </w:style>
  <w:style w:type="paragraph" w:customStyle="1" w:styleId="SubHeading1">
    <w:name w:val="SubHeading1"/>
    <w:basedOn w:val="HeadingBase"/>
    <w:rsid w:val="002B721A"/>
    <w:pPr>
      <w:spacing w:before="240" w:after="60"/>
    </w:pPr>
    <w:rPr>
      <w:color w:val="918585"/>
      <w:sz w:val="22"/>
    </w:rPr>
  </w:style>
  <w:style w:type="paragraph" w:customStyle="1" w:styleId="SideHeading">
    <w:name w:val="Side Heading"/>
    <w:basedOn w:val="HeadingBase"/>
    <w:rsid w:val="002B7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21A"/>
    <w:pPr>
      <w:numPr>
        <w:numId w:val="12"/>
      </w:numPr>
    </w:pPr>
  </w:style>
  <w:style w:type="paragraph" w:styleId="PlainText">
    <w:name w:val="Plain Text"/>
    <w:basedOn w:val="Normal"/>
    <w:link w:val="PlainTextChar"/>
    <w:rsid w:val="002B721A"/>
    <w:rPr>
      <w:sz w:val="20"/>
    </w:rPr>
  </w:style>
  <w:style w:type="character" w:customStyle="1" w:styleId="PlainTextChar">
    <w:name w:val="Plain Text Char"/>
    <w:basedOn w:val="DefaultParagraphFont"/>
    <w:link w:val="PlainText"/>
    <w:rsid w:val="002B721A"/>
    <w:rPr>
      <w:rFonts w:ascii="Courier New" w:eastAsia="Times New Roman" w:hAnsi="Courier New" w:cs="Times New Roman"/>
      <w:sz w:val="20"/>
      <w:szCs w:val="20"/>
      <w:lang w:eastAsia="en-US"/>
    </w:rPr>
  </w:style>
  <w:style w:type="character" w:customStyle="1" w:styleId="MenuOption">
    <w:name w:val="Menu Option"/>
    <w:basedOn w:val="DefaultParagraphFont"/>
    <w:rsid w:val="002B721A"/>
    <w:rPr>
      <w:b/>
      <w:smallCaps/>
    </w:rPr>
  </w:style>
  <w:style w:type="paragraph" w:customStyle="1" w:styleId="TableListNumber">
    <w:name w:val="Table List Number"/>
    <w:basedOn w:val="ListNumber"/>
    <w:rsid w:val="002B721A"/>
    <w:pPr>
      <w:numPr>
        <w:numId w:val="0"/>
      </w:numPr>
    </w:pPr>
  </w:style>
  <w:style w:type="paragraph" w:styleId="TOC4">
    <w:name w:val="toc 4"/>
    <w:basedOn w:val="TOCBase"/>
    <w:next w:val="Normal"/>
    <w:semiHidden/>
    <w:rsid w:val="002B721A"/>
    <w:pPr>
      <w:tabs>
        <w:tab w:val="right" w:leader="dot" w:pos="9071"/>
      </w:tabs>
      <w:ind w:left="1701"/>
    </w:pPr>
  </w:style>
  <w:style w:type="paragraph" w:customStyle="1" w:styleId="ListAlpha">
    <w:name w:val="List Alpha"/>
    <w:basedOn w:val="List"/>
    <w:rsid w:val="002B721A"/>
    <w:pPr>
      <w:numPr>
        <w:numId w:val="9"/>
      </w:numPr>
    </w:pPr>
  </w:style>
  <w:style w:type="paragraph" w:styleId="List2">
    <w:name w:val="List 2"/>
    <w:basedOn w:val="BodyText"/>
    <w:rsid w:val="002B721A"/>
    <w:pPr>
      <w:tabs>
        <w:tab w:val="left" w:pos="680"/>
      </w:tabs>
      <w:spacing w:before="60" w:after="60"/>
      <w:ind w:left="680" w:hanging="340"/>
    </w:pPr>
  </w:style>
  <w:style w:type="paragraph" w:styleId="List3">
    <w:name w:val="List 3"/>
    <w:basedOn w:val="BodyText"/>
    <w:rsid w:val="002B721A"/>
    <w:pPr>
      <w:tabs>
        <w:tab w:val="left" w:pos="1021"/>
      </w:tabs>
      <w:spacing w:before="60" w:after="60"/>
      <w:ind w:left="1020" w:hanging="340"/>
    </w:pPr>
  </w:style>
  <w:style w:type="paragraph" w:styleId="List4">
    <w:name w:val="List 4"/>
    <w:basedOn w:val="BodyText"/>
    <w:rsid w:val="002B721A"/>
    <w:pPr>
      <w:tabs>
        <w:tab w:val="left" w:pos="1361"/>
      </w:tabs>
      <w:spacing w:before="60" w:after="60"/>
      <w:ind w:left="1361" w:hanging="340"/>
    </w:pPr>
  </w:style>
  <w:style w:type="paragraph" w:styleId="List5">
    <w:name w:val="List 5"/>
    <w:basedOn w:val="BodyText"/>
    <w:rsid w:val="002B721A"/>
    <w:pPr>
      <w:tabs>
        <w:tab w:val="left" w:pos="1701"/>
      </w:tabs>
      <w:spacing w:before="60" w:after="60"/>
      <w:ind w:left="1701" w:hanging="340"/>
    </w:pPr>
  </w:style>
  <w:style w:type="paragraph" w:styleId="ListBullet3">
    <w:name w:val="List Bullet 3"/>
    <w:basedOn w:val="List3"/>
    <w:rsid w:val="002B721A"/>
    <w:pPr>
      <w:numPr>
        <w:numId w:val="15"/>
      </w:numPr>
      <w:tabs>
        <w:tab w:val="clear" w:pos="1021"/>
      </w:tabs>
      <w:ind w:left="1037" w:hanging="357"/>
    </w:pPr>
  </w:style>
  <w:style w:type="paragraph" w:styleId="ListBullet4">
    <w:name w:val="List Bullet 4"/>
    <w:basedOn w:val="List4"/>
    <w:rsid w:val="002B721A"/>
    <w:pPr>
      <w:numPr>
        <w:numId w:val="3"/>
      </w:numPr>
    </w:pPr>
  </w:style>
  <w:style w:type="paragraph" w:styleId="ListBullet5">
    <w:name w:val="List Bullet 5"/>
    <w:basedOn w:val="List5"/>
    <w:rsid w:val="002B721A"/>
    <w:pPr>
      <w:numPr>
        <w:numId w:val="4"/>
      </w:numPr>
    </w:pPr>
  </w:style>
  <w:style w:type="paragraph" w:styleId="ListContinue2">
    <w:name w:val="List Continue 2"/>
    <w:basedOn w:val="List2"/>
    <w:rsid w:val="002B721A"/>
    <w:pPr>
      <w:ind w:firstLine="0"/>
    </w:pPr>
  </w:style>
  <w:style w:type="paragraph" w:styleId="ListContinue3">
    <w:name w:val="List Continue 3"/>
    <w:basedOn w:val="List3"/>
    <w:rsid w:val="002B721A"/>
    <w:pPr>
      <w:ind w:left="1021" w:firstLine="0"/>
    </w:pPr>
  </w:style>
  <w:style w:type="paragraph" w:styleId="ListContinue4">
    <w:name w:val="List Continue 4"/>
    <w:basedOn w:val="List4"/>
    <w:rsid w:val="002B721A"/>
    <w:pPr>
      <w:ind w:firstLine="0"/>
    </w:pPr>
  </w:style>
  <w:style w:type="paragraph" w:styleId="ListContinue5">
    <w:name w:val="List Continue 5"/>
    <w:basedOn w:val="List5"/>
    <w:rsid w:val="002B721A"/>
    <w:pPr>
      <w:ind w:firstLine="0"/>
    </w:pPr>
  </w:style>
  <w:style w:type="paragraph" w:styleId="ListNumber3">
    <w:name w:val="List Number 3"/>
    <w:basedOn w:val="List3"/>
    <w:rsid w:val="002B721A"/>
    <w:pPr>
      <w:numPr>
        <w:numId w:val="5"/>
      </w:numPr>
    </w:pPr>
  </w:style>
  <w:style w:type="paragraph" w:styleId="ListNumber4">
    <w:name w:val="List Number 4"/>
    <w:basedOn w:val="List4"/>
    <w:rsid w:val="002B721A"/>
    <w:pPr>
      <w:numPr>
        <w:numId w:val="6"/>
      </w:numPr>
    </w:pPr>
  </w:style>
  <w:style w:type="paragraph" w:styleId="ListNumber5">
    <w:name w:val="List Number 5"/>
    <w:basedOn w:val="List5"/>
    <w:rsid w:val="002B721A"/>
    <w:pPr>
      <w:numPr>
        <w:numId w:val="7"/>
      </w:numPr>
    </w:pPr>
  </w:style>
  <w:style w:type="paragraph" w:styleId="BlockText">
    <w:name w:val="Block Text"/>
    <w:basedOn w:val="Normal"/>
    <w:rsid w:val="002B721A"/>
    <w:pPr>
      <w:spacing w:after="120"/>
      <w:ind w:left="1440" w:right="1440"/>
    </w:pPr>
  </w:style>
  <w:style w:type="character" w:customStyle="1" w:styleId="Subscript">
    <w:name w:val="Subscript"/>
    <w:basedOn w:val="DefaultParagraphFont"/>
    <w:rsid w:val="002B721A"/>
    <w:rPr>
      <w:sz w:val="16"/>
      <w:vertAlign w:val="subscript"/>
    </w:rPr>
  </w:style>
  <w:style w:type="character" w:customStyle="1" w:styleId="Superscript">
    <w:name w:val="Superscript"/>
    <w:basedOn w:val="DefaultParagraphFont"/>
    <w:rsid w:val="002B721A"/>
    <w:rPr>
      <w:sz w:val="16"/>
      <w:vertAlign w:val="superscript"/>
    </w:rPr>
  </w:style>
  <w:style w:type="character" w:customStyle="1" w:styleId="Symbols">
    <w:name w:val="Symbols"/>
    <w:basedOn w:val="DefaultParagraphFont"/>
    <w:rsid w:val="002B721A"/>
    <w:rPr>
      <w:rFonts w:ascii="Symbol" w:hAnsi="Symbol"/>
    </w:rPr>
  </w:style>
  <w:style w:type="character" w:customStyle="1" w:styleId="MenuOptions">
    <w:name w:val="Menu Options"/>
    <w:basedOn w:val="DefaultParagraphFont"/>
    <w:rsid w:val="002B721A"/>
    <w:rPr>
      <w:rFonts w:ascii="Arial Narrow" w:hAnsi="Arial Narrow"/>
      <w:smallCaps/>
    </w:rPr>
  </w:style>
  <w:style w:type="character" w:customStyle="1" w:styleId="Buttons">
    <w:name w:val="Buttons"/>
    <w:basedOn w:val="DefaultParagraphFont"/>
    <w:rsid w:val="002B721A"/>
    <w:rPr>
      <w:b/>
    </w:rPr>
  </w:style>
  <w:style w:type="character" w:customStyle="1" w:styleId="Underlined">
    <w:name w:val="Underlined"/>
    <w:basedOn w:val="DefaultParagraphFont"/>
    <w:rsid w:val="002B721A"/>
    <w:rPr>
      <w:u w:val="single"/>
    </w:rPr>
  </w:style>
  <w:style w:type="paragraph" w:customStyle="1" w:styleId="TableBodyTextRight">
    <w:name w:val="Table Body Text Right"/>
    <w:basedOn w:val="TableBodyText"/>
    <w:rsid w:val="002B721A"/>
    <w:pPr>
      <w:widowControl w:val="0"/>
      <w:autoSpaceDE w:val="0"/>
      <w:autoSpaceDN w:val="0"/>
      <w:adjustRightInd w:val="0"/>
      <w:jc w:val="right"/>
    </w:pPr>
    <w:rPr>
      <w:rFonts w:cs="Arial"/>
      <w:szCs w:val="18"/>
    </w:rPr>
  </w:style>
  <w:style w:type="paragraph" w:customStyle="1" w:styleId="CopyrightText">
    <w:name w:val="Copyright Text"/>
    <w:basedOn w:val="BodyText"/>
    <w:rsid w:val="002B721A"/>
    <w:rPr>
      <w:sz w:val="18"/>
    </w:rPr>
  </w:style>
  <w:style w:type="paragraph" w:customStyle="1" w:styleId="BodySmallRight">
    <w:name w:val="Body Small Right"/>
    <w:basedOn w:val="BodyTextRight"/>
    <w:rsid w:val="002B721A"/>
    <w:rPr>
      <w:sz w:val="18"/>
      <w:szCs w:val="18"/>
    </w:rPr>
  </w:style>
  <w:style w:type="paragraph" w:customStyle="1" w:styleId="MarginEdition">
    <w:name w:val="Margin Edition"/>
    <w:basedOn w:val="MarginNote"/>
    <w:rsid w:val="002B721A"/>
    <w:pPr>
      <w:spacing w:before="0" w:after="0"/>
    </w:pPr>
    <w:rPr>
      <w:rFonts w:ascii="Times New Roman" w:hAnsi="Times New Roman"/>
      <w:color w:val="999999"/>
    </w:rPr>
  </w:style>
  <w:style w:type="paragraph" w:customStyle="1" w:styleId="Spacer">
    <w:name w:val="Spacer"/>
    <w:basedOn w:val="Normal"/>
    <w:rsid w:val="002B721A"/>
    <w:rPr>
      <w:sz w:val="2"/>
      <w:szCs w:val="2"/>
    </w:rPr>
  </w:style>
  <w:style w:type="character" w:customStyle="1" w:styleId="Small">
    <w:name w:val="Small"/>
    <w:basedOn w:val="DefaultParagraphFont"/>
    <w:rsid w:val="002B721A"/>
    <w:rPr>
      <w:sz w:val="16"/>
    </w:rPr>
  </w:style>
  <w:style w:type="paragraph" w:customStyle="1" w:styleId="WideTable">
    <w:name w:val="Wide Table"/>
    <w:basedOn w:val="Normal"/>
    <w:rsid w:val="002B721A"/>
    <w:pPr>
      <w:ind w:left="-1418"/>
    </w:pPr>
    <w:rPr>
      <w:sz w:val="2"/>
      <w:szCs w:val="2"/>
    </w:rPr>
  </w:style>
  <w:style w:type="character" w:styleId="PageNumber">
    <w:name w:val="page number"/>
    <w:basedOn w:val="DefaultParagraphFont"/>
    <w:rsid w:val="002B721A"/>
  </w:style>
  <w:style w:type="paragraph" w:styleId="Quote">
    <w:name w:val="Quote"/>
    <w:basedOn w:val="Heading1"/>
    <w:link w:val="QuoteChar"/>
    <w:qFormat/>
    <w:rsid w:val="002B721A"/>
    <w:rPr>
      <w:b w:val="0"/>
      <w:sz w:val="72"/>
      <w:szCs w:val="72"/>
      <w:lang w:val="en-NZ"/>
    </w:rPr>
  </w:style>
  <w:style w:type="character" w:customStyle="1" w:styleId="QuoteChar">
    <w:name w:val="Quote Char"/>
    <w:basedOn w:val="DefaultParagraphFont"/>
    <w:link w:val="Quote"/>
    <w:rsid w:val="002B7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21A"/>
    <w:pPr>
      <w:pageBreakBefore/>
    </w:pPr>
  </w:style>
  <w:style w:type="paragraph" w:customStyle="1" w:styleId="Border">
    <w:name w:val="Border"/>
    <w:basedOn w:val="Normal"/>
    <w:qFormat/>
    <w:rsid w:val="002B7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21A"/>
    <w:rPr>
      <w:b/>
      <w:bCs/>
      <w:i/>
      <w:iCs/>
      <w:color w:val="auto"/>
    </w:rPr>
  </w:style>
  <w:style w:type="paragraph" w:styleId="IntenseQuote">
    <w:name w:val="Intense Quote"/>
    <w:basedOn w:val="Normal"/>
    <w:next w:val="Normal"/>
    <w:link w:val="IntenseQuoteChar"/>
    <w:uiPriority w:val="30"/>
    <w:qFormat/>
    <w:rsid w:val="002B7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21A"/>
    <w:rPr>
      <w:smallCaps/>
      <w:color w:val="auto"/>
      <w:u w:val="single"/>
    </w:rPr>
  </w:style>
  <w:style w:type="character" w:styleId="IntenseReference">
    <w:name w:val="Intense Reference"/>
    <w:basedOn w:val="DefaultParagraphFont"/>
    <w:uiPriority w:val="32"/>
    <w:qFormat/>
    <w:rsid w:val="002B721A"/>
    <w:rPr>
      <w:b/>
      <w:bCs/>
      <w:smallCaps/>
      <w:color w:val="auto"/>
      <w:spacing w:val="5"/>
      <w:u w:val="single"/>
    </w:rPr>
  </w:style>
  <w:style w:type="paragraph" w:customStyle="1" w:styleId="2ColumnHeading">
    <w:name w:val="2Column Heading"/>
    <w:basedOn w:val="BodyText"/>
    <w:qFormat/>
    <w:rsid w:val="002B721A"/>
    <w:pPr>
      <w:spacing w:after="60"/>
      <w:ind w:left="-2268"/>
    </w:pPr>
    <w:rPr>
      <w:b/>
    </w:rPr>
  </w:style>
  <w:style w:type="paragraph" w:customStyle="1" w:styleId="Heading1TOC">
    <w:name w:val="Heading1 TOC"/>
    <w:basedOn w:val="Normal"/>
    <w:qFormat/>
    <w:rsid w:val="002B721A"/>
    <w:pPr>
      <w:spacing w:before="240" w:after="120"/>
    </w:pPr>
    <w:rPr>
      <w:rFonts w:ascii="Times New Roman" w:hAnsi="Times New Roman"/>
      <w:b/>
      <w:sz w:val="32"/>
    </w:rPr>
  </w:style>
  <w:style w:type="paragraph" w:customStyle="1" w:styleId="Heading2TOC">
    <w:name w:val="Heading2 TOC"/>
    <w:basedOn w:val="Normal"/>
    <w:qFormat/>
    <w:rsid w:val="002B721A"/>
    <w:pPr>
      <w:spacing w:before="240" w:after="60"/>
    </w:pPr>
    <w:rPr>
      <w:rFonts w:ascii="Times New Roman" w:hAnsi="Times New Roman"/>
      <w:b/>
      <w:sz w:val="28"/>
    </w:rPr>
  </w:style>
  <w:style w:type="character" w:customStyle="1" w:styleId="Underline">
    <w:name w:val="Underline"/>
    <w:basedOn w:val="DefaultParagraphFont"/>
    <w:qFormat/>
    <w:rsid w:val="002B721A"/>
    <w:rPr>
      <w:u w:val="single"/>
    </w:rPr>
  </w:style>
  <w:style w:type="character" w:customStyle="1" w:styleId="BoldandItalics">
    <w:name w:val="Bold and Italics"/>
    <w:qFormat/>
    <w:rsid w:val="002B721A"/>
    <w:rPr>
      <w:b/>
      <w:i/>
      <w:u w:val="none"/>
    </w:rPr>
  </w:style>
  <w:style w:type="paragraph" w:styleId="BalloonText">
    <w:name w:val="Balloon Text"/>
    <w:basedOn w:val="Normal"/>
    <w:link w:val="BalloonTextChar"/>
    <w:rsid w:val="002B721A"/>
    <w:rPr>
      <w:rFonts w:ascii="Tahoma" w:hAnsi="Tahoma" w:cs="Tahoma"/>
      <w:sz w:val="16"/>
      <w:szCs w:val="16"/>
    </w:rPr>
  </w:style>
  <w:style w:type="character" w:customStyle="1" w:styleId="BalloonTextChar">
    <w:name w:val="Balloon Text Char"/>
    <w:basedOn w:val="DefaultParagraphFont"/>
    <w:link w:val="BalloonText"/>
    <w:rsid w:val="002B7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21A"/>
    <w:rPr>
      <w:b/>
      <w:color w:val="660033"/>
      <w:spacing w:val="0"/>
    </w:rPr>
  </w:style>
  <w:style w:type="paragraph" w:customStyle="1" w:styleId="Nameditemlist">
    <w:name w:val="Named item list"/>
    <w:basedOn w:val="BodyText"/>
    <w:qFormat/>
    <w:rsid w:val="002B72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2309</Words>
  <Characters>14161</Characters>
  <Application>Microsoft Office Word</Application>
  <DocSecurity>0</DocSecurity>
  <Lines>505</Lines>
  <Paragraphs>236</Paragraphs>
  <ScaleCrop>false</ScaleCrop>
  <Company>Author-it Software Corporation Ltd.</Company>
  <LinksUpToDate>false</LinksUpToDate>
  <CharactersWithSpaces>16337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UEENEEH187A Solve problems in electronic musical equipment circuits</dc:title>
  <dc:subject>Approved</dc:subject>
  <dc:creator>E-OZ Training Standards</dc:creator>
  <cp:keywords>Release: 2</cp:keywords>
  <dc:description>Review Date: 12 April 2008</dc:description>
  <cp:lastModifiedBy>HSD_TPCMSd.prod</cp:lastModifiedBy>
  <cp:revision>3</cp:revision>
  <dcterms:created xsi:type="dcterms:W3CDTF">2013-08-14T07:56:00Z</dcterms:created>
  <dcterms:modified xsi:type="dcterms:W3CDTF">2013-08-14T07:56:00Z</dcterms:modified>
</cp:coreProperties>
</file>