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A81" w:rsidP="004A1A81">
      <w:pPr>
        <w:pStyle w:val="Title"/>
      </w:pPr>
      <w:r>
        <w:fldChar w:fldCharType="begin"/>
      </w:r>
      <w:r>
        <w:instrText xml:space="preserve"> TITLE   \* MERGEFORMAT </w:instrText>
      </w:r>
      <w:r>
        <w:fldChar w:fldCharType="separate"/>
      </w:r>
      <w:r>
        <w:t>UEENEEH186A Commission satellite and microwave communication systems</w:t>
      </w:r>
      <w:r>
        <w:fldChar w:fldCharType="end"/>
      </w:r>
    </w:p>
    <w:p w:rsidR="004A1A81" w:rsidP="004A1A81">
      <w:pPr>
        <w:pStyle w:val="Version"/>
        <w:sectPr w:rsidSect="007120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204D" w:rsidP="0071204D">
      <w:pPr>
        <w:pStyle w:val="SuperHeading"/>
      </w:pPr>
      <w:r w:rsidRPr="0071204D">
        <w:t>UEENEEH186A Commission satellite and microwave communication systems</w:t>
      </w:r>
    </w:p>
    <w:p w:rsidR="00000000" w:rsidRPr="0071204D" w:rsidP="0071204D">
      <w:pPr>
        <w:pStyle w:val="Heading1"/>
      </w:pPr>
      <w:bookmarkStart w:id="1" w:name="O_588605"/>
      <w:bookmarkEnd w:id="1"/>
      <w:r w:rsidRPr="0071204D">
        <w:t>Modification History</w:t>
      </w:r>
    </w:p>
    <w:p w:rsidR="00000000" w:rsidRPr="0071204D" w:rsidP="0071204D">
      <w:pPr>
        <w:pStyle w:val="BodyText"/>
      </w:pPr>
      <w:r w:rsidRPr="0071204D">
        <w:t>Not applicable.</w:t>
      </w:r>
    </w:p>
    <w:p w:rsidR="00000000" w:rsidRPr="0071204D" w:rsidP="0071204D">
      <w:pPr>
        <w:pStyle w:val="AllowPageBreak"/>
      </w:pPr>
    </w:p>
    <w:p w:rsidR="00000000" w:rsidRPr="0071204D" w:rsidP="0071204D">
      <w:pPr>
        <w:pStyle w:val="Heading1"/>
      </w:pPr>
      <w:bookmarkStart w:id="2" w:name="O_588604"/>
      <w:bookmarkEnd w:id="2"/>
      <w:r w:rsidRPr="0071204D">
        <w:t>Unit Descriptor</w:t>
      </w:r>
    </w:p>
    <w:tbl>
      <w:tblPr>
        <w:tblW w:w="0" w:type="auto"/>
        <w:tblLayout w:type="fixed"/>
        <w:tblCellMar>
          <w:left w:w="62" w:type="dxa"/>
          <w:right w:w="62" w:type="dxa"/>
        </w:tblCellMar>
        <w:tblLook w:val="0000"/>
      </w:tblPr>
      <w:tblGrid>
        <w:gridCol w:w="2700"/>
        <w:gridCol w:w="5760"/>
      </w:tblGrid>
      <w:tr w:rsidTr="004A1A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1)</w:t>
            </w:r>
            <w:r w:rsidRPr="0071204D">
              <w:t xml:space="preserve"> </w:t>
            </w:r>
            <w:r w:rsidRPr="0071204D">
              <w:rPr>
                <w:rStyle w:val="SpecialBold"/>
              </w:rPr>
              <w:t>Scope:</w:t>
            </w:r>
          </w:p>
        </w:tc>
      </w:tr>
      <w:tr w:rsidTr="004A1A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1204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1.1) Descriptor</w:t>
            </w:r>
          </w:p>
        </w:tc>
      </w:tr>
      <w:tr w:rsidTr="004A1A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This unit covers the setting-up and adjusting of satellite and microwave communication systems for optimum performance. It encompasses safe working practices, signal testing and analysis, adjusting equipment, following procedures and documenting.</w:t>
            </w:r>
          </w:p>
        </w:tc>
      </w:tr>
    </w:tbl>
    <w:p w:rsidR="00000000" w:rsidRPr="0071204D" w:rsidP="0071204D">
      <w:pPr>
        <w:pStyle w:val="BodyText"/>
      </w:pPr>
    </w:p>
    <w:p w:rsidR="00000000" w:rsidRPr="0071204D" w:rsidP="0071204D">
      <w:pPr>
        <w:pStyle w:val="AllowPageBreak"/>
      </w:pPr>
    </w:p>
    <w:p w:rsidR="00000000" w:rsidRPr="0071204D" w:rsidP="0071204D">
      <w:pPr>
        <w:pStyle w:val="Heading1"/>
      </w:pPr>
      <w:bookmarkStart w:id="3" w:name="O_588603"/>
      <w:bookmarkEnd w:id="3"/>
      <w:r w:rsidRPr="0071204D">
        <w:t>Application of the Unit</w:t>
      </w:r>
    </w:p>
    <w:tbl>
      <w:tblPr>
        <w:tblW w:w="0" w:type="auto"/>
        <w:tblLayout w:type="fixed"/>
        <w:tblCellMar>
          <w:left w:w="62" w:type="dxa"/>
          <w:right w:w="62" w:type="dxa"/>
        </w:tblCellMar>
        <w:tblLook w:val="0000"/>
      </w:tblPr>
      <w:tblGrid>
        <w:gridCol w:w="2672"/>
        <w:gridCol w:w="5699"/>
      </w:tblGrid>
      <w:tr w:rsidTr="004A1A8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2)</w:t>
            </w:r>
          </w:p>
        </w:tc>
      </w:tr>
      <w:tr w:rsidTr="004A1A8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This unit is intended for competency development entry-level employment based programs incorporated in approved contracts of training or approved training programs. It may be used to augm</w:t>
            </w:r>
            <w:r w:rsidRPr="0071204D">
              <w:t>ent previously acquired competencies.</w:t>
            </w:r>
          </w:p>
        </w:tc>
      </w:tr>
    </w:tbl>
    <w:p w:rsidR="00000000" w:rsidRPr="0071204D" w:rsidP="0071204D">
      <w:pPr>
        <w:pStyle w:val="BodyText"/>
      </w:pPr>
    </w:p>
    <w:p w:rsidR="00000000" w:rsidRPr="0071204D" w:rsidP="0071204D">
      <w:pPr>
        <w:pStyle w:val="AllowPageBreak"/>
      </w:pPr>
    </w:p>
    <w:p w:rsidR="00000000" w:rsidRPr="0071204D" w:rsidP="0071204D">
      <w:pPr>
        <w:pStyle w:val="Heading1"/>
      </w:pPr>
      <w:bookmarkStart w:id="4" w:name="O_588602"/>
      <w:bookmarkEnd w:id="4"/>
      <w:r w:rsidRPr="0071204D">
        <w:t>Licensing/Regulatory Information</w:t>
      </w:r>
    </w:p>
    <w:tbl>
      <w:tblPr>
        <w:tblW w:w="0" w:type="auto"/>
        <w:tblLayout w:type="fixed"/>
        <w:tblCellMar>
          <w:left w:w="62" w:type="dxa"/>
          <w:right w:w="62" w:type="dxa"/>
        </w:tblCellMar>
        <w:tblLook w:val="0000"/>
      </w:tblPr>
      <w:tblGrid>
        <w:gridCol w:w="2700"/>
        <w:gridCol w:w="5760"/>
      </w:tblGrid>
      <w:tr w:rsidTr="004A1A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 xml:space="preserve">3) </w:t>
            </w:r>
          </w:p>
        </w:tc>
      </w:tr>
      <w:tr w:rsidTr="004A1A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The skills and knowledge described in this unit do not require a license to practice in the workplace provided equipment is not connected to</w:t>
            </w:r>
            <w:r w:rsidRPr="0071204D">
              <w:t xml:space="preserve"> installation wiring at voltage above 50 V a.c. or 120 V d.c. However, practice in this unit is subject to regulations directly related to occupational health and safety and where applicable contracts of training such as apprenticeships.</w:t>
            </w:r>
          </w:p>
          <w:p w:rsidR="00000000" w:rsidRPr="0071204D" w:rsidP="0071204D">
            <w:pPr>
              <w:pStyle w:val="BodyText"/>
            </w:pPr>
            <w:r w:rsidRPr="0071204D">
              <w:t>Note:</w:t>
            </w:r>
          </w:p>
          <w:p w:rsidR="00000000" w:rsidRPr="0071204D" w:rsidP="0071204D">
            <w:pPr>
              <w:pStyle w:val="BodyText"/>
            </w:pPr>
            <w:r w:rsidRPr="0071204D">
              <w:t>1. Compliance with permits may be required in various jurisdictions and typically relates to the operation of plant, machinery and equipment such as elevating work platforms, powder operated fixing tools, power operated tools, vehicles, road signage and tr</w:t>
            </w:r>
            <w:r w:rsidRPr="0071204D">
              <w:t>affic control, lifting equipment and the like. Permits may also be required for some work environments such as confined spaces, working aloft, near live electrical apparatus and site rehabilitation.</w:t>
            </w:r>
          </w:p>
          <w:p w:rsidR="00000000" w:rsidRPr="0071204D" w:rsidP="0071204D">
            <w:pPr>
              <w:pStyle w:val="BodyText"/>
            </w:pPr>
            <w:r w:rsidRPr="0071204D">
              <w:t>2. Compliance may be required in various jurisdictions re</w:t>
            </w:r>
            <w:r w:rsidRPr="0071204D">
              <w:t>lating to currency in First Aid, confined space, lifting and risk safety measures.</w:t>
            </w:r>
          </w:p>
        </w:tc>
      </w:tr>
    </w:tbl>
    <w:p w:rsidR="00000000" w:rsidRPr="0071204D" w:rsidP="0071204D">
      <w:pPr>
        <w:pStyle w:val="BodyText"/>
      </w:pPr>
    </w:p>
    <w:p w:rsidR="00000000" w:rsidRPr="0071204D" w:rsidP="0071204D">
      <w:pPr>
        <w:pStyle w:val="AllowPageBreak"/>
      </w:pPr>
    </w:p>
    <w:p w:rsidR="00000000" w:rsidRPr="0071204D" w:rsidP="0071204D">
      <w:pPr>
        <w:pStyle w:val="Heading1"/>
      </w:pPr>
      <w:bookmarkStart w:id="5" w:name="O_588601"/>
      <w:bookmarkEnd w:id="5"/>
      <w:r w:rsidRPr="0071204D">
        <w:t>Pre-Requisites</w:t>
      </w:r>
    </w:p>
    <w:tbl>
      <w:tblPr>
        <w:tblW w:w="0" w:type="auto"/>
        <w:tblLayout w:type="fixed"/>
        <w:tblCellMar>
          <w:left w:w="62" w:type="dxa"/>
          <w:right w:w="62" w:type="dxa"/>
        </w:tblCellMar>
        <w:tblLook w:val="0000"/>
      </w:tblPr>
      <w:tblGrid>
        <w:gridCol w:w="2700"/>
        <w:gridCol w:w="1530"/>
        <w:gridCol w:w="4230"/>
      </w:tblGrid>
      <w:tr w:rsidTr="004A1A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 xml:space="preserve">4) </w:t>
            </w:r>
          </w:p>
        </w:tc>
      </w:tr>
      <w:tr w:rsidTr="004A1A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4.1)</w:t>
            </w:r>
          </w:p>
        </w:tc>
      </w:tr>
      <w:tr w:rsidTr="004A1A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Granting competency in this unit shall be made only after competency in the following unit(s) has/have been confirmed.</w:t>
            </w:r>
          </w:p>
        </w:tc>
      </w:tr>
      <w:tr w:rsidTr="004A1A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 xml:space="preserve">UEENEEH116A </w:t>
            </w:r>
          </w:p>
        </w:tc>
        <w:tc>
          <w:tcPr>
            <w:tcW w:w="423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Find and repair microwave amplifier section faults in electronic apparatus</w:t>
            </w:r>
          </w:p>
        </w:tc>
      </w:tr>
    </w:tbl>
    <w:p w:rsidR="00000000" w:rsidRPr="0071204D" w:rsidP="0071204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A1A8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 xml:space="preserve">4.2) </w:t>
            </w:r>
          </w:p>
        </w:tc>
      </w:tr>
      <w:tr w:rsidTr="004A1A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Participants are best equipped to achieve competency in this unit if they have reading, writing and numeracy skills indicated by the following scales. Description of each scale is given in Volume 2, Part 3 ‘Literacy and Numeracy’</w:t>
            </w:r>
          </w:p>
        </w:tc>
      </w:tr>
      <w:tr w:rsidTr="004A1A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Reading</w:t>
            </w:r>
          </w:p>
        </w:tc>
        <w:tc>
          <w:tcPr>
            <w:tcW w:w="81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3</w:t>
            </w:r>
          </w:p>
        </w:tc>
        <w:tc>
          <w:tcPr>
            <w:tcW w:w="99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Writing</w:t>
            </w: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3</w:t>
            </w:r>
          </w:p>
        </w:tc>
        <w:tc>
          <w:tcPr>
            <w:tcW w:w="12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Numeracy</w:t>
            </w:r>
          </w:p>
        </w:tc>
        <w:tc>
          <w:tcPr>
            <w:tcW w:w="72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3</w:t>
            </w:r>
          </w:p>
        </w:tc>
      </w:tr>
    </w:tbl>
    <w:p w:rsidR="00000000" w:rsidRPr="0071204D" w:rsidP="0071204D">
      <w:pPr>
        <w:pStyle w:val="BodyText"/>
      </w:pPr>
    </w:p>
    <w:p w:rsidR="00000000" w:rsidRPr="0071204D" w:rsidP="0071204D">
      <w:pPr>
        <w:pStyle w:val="AllowPageBreak"/>
      </w:pPr>
    </w:p>
    <w:p w:rsidR="00000000" w:rsidRPr="0071204D" w:rsidP="0071204D">
      <w:pPr>
        <w:pStyle w:val="Heading1"/>
      </w:pPr>
      <w:bookmarkStart w:id="6" w:name="O_588600"/>
      <w:bookmarkEnd w:id="6"/>
      <w:r w:rsidRPr="0071204D">
        <w:t>Employability Skills Information</w:t>
      </w:r>
    </w:p>
    <w:tbl>
      <w:tblPr>
        <w:tblW w:w="0" w:type="auto"/>
        <w:tblLayout w:type="fixed"/>
        <w:tblCellMar>
          <w:left w:w="62" w:type="dxa"/>
          <w:right w:w="62" w:type="dxa"/>
        </w:tblCellMar>
        <w:tblLook w:val="0000"/>
      </w:tblPr>
      <w:tblGrid>
        <w:gridCol w:w="2700"/>
        <w:gridCol w:w="5760"/>
      </w:tblGrid>
      <w:tr w:rsidTr="004A1A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 xml:space="preserve">5) </w:t>
            </w:r>
          </w:p>
        </w:tc>
      </w:tr>
      <w:tr w:rsidTr="004A1A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This unit contains Employability Skills</w:t>
            </w:r>
          </w:p>
          <w:p w:rsidR="00000000" w:rsidRPr="0071204D" w:rsidP="0071204D">
            <w:pPr>
              <w:pStyle w:val="BodyText"/>
            </w:pPr>
            <w:r w:rsidRPr="0071204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1204D">
              <w:t>requirements.</w:t>
            </w:r>
          </w:p>
        </w:tc>
      </w:tr>
    </w:tbl>
    <w:p w:rsidR="00000000" w:rsidRPr="0071204D" w:rsidP="0071204D">
      <w:pPr>
        <w:pStyle w:val="BodyText"/>
      </w:pPr>
    </w:p>
    <w:p w:rsidR="00000000" w:rsidRPr="0071204D" w:rsidP="0071204D">
      <w:pPr>
        <w:pStyle w:val="AllowPageBreak"/>
      </w:pPr>
    </w:p>
    <w:p w:rsidR="00000000" w:rsidRPr="0071204D" w:rsidP="0071204D">
      <w:pPr>
        <w:pStyle w:val="Heading1"/>
      </w:pPr>
      <w:bookmarkStart w:id="7" w:name="O_588599"/>
      <w:bookmarkEnd w:id="7"/>
      <w:r w:rsidRPr="0071204D">
        <w:t>Elements and Performance Criteria Pre-Content</w:t>
      </w:r>
    </w:p>
    <w:tbl>
      <w:tblPr>
        <w:tblW w:w="0" w:type="auto"/>
        <w:tblLayout w:type="fixed"/>
        <w:tblCellMar>
          <w:left w:w="62" w:type="dxa"/>
          <w:right w:w="62" w:type="dxa"/>
        </w:tblCellMar>
        <w:tblLook w:val="0000"/>
      </w:tblPr>
      <w:tblGrid>
        <w:gridCol w:w="2700"/>
        <w:gridCol w:w="5760"/>
      </w:tblGrid>
      <w:tr w:rsidTr="004A1A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6)</w:t>
            </w:r>
            <w:r w:rsidRPr="0071204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Performance Criteria desc</w:t>
            </w:r>
            <w:r w:rsidRPr="0071204D">
              <w:t>ribe the required performance needed to demonstrate achievement of the element. Assessment of performance is to be consistent with the Evidence Guide.</w:t>
            </w:r>
          </w:p>
        </w:tc>
      </w:tr>
    </w:tbl>
    <w:p w:rsidR="00000000" w:rsidRPr="0071204D" w:rsidP="0071204D">
      <w:pPr>
        <w:pStyle w:val="BodyText"/>
      </w:pPr>
    </w:p>
    <w:p w:rsidR="00000000" w:rsidRPr="0071204D" w:rsidP="0071204D">
      <w:pPr>
        <w:pStyle w:val="AllowPageBreak"/>
      </w:pPr>
    </w:p>
    <w:p w:rsidR="00000000" w:rsidRPr="0071204D" w:rsidP="0071204D">
      <w:pPr>
        <w:pStyle w:val="Heading1"/>
      </w:pPr>
      <w:bookmarkStart w:id="8" w:name="O_588598"/>
      <w:bookmarkEnd w:id="8"/>
      <w:r w:rsidRPr="0071204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A1A8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PERFORMANCE CRITERIA</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1</w:t>
            </w:r>
          </w:p>
        </w:tc>
        <w:tc>
          <w:tcPr>
            <w:tcW w:w="2296"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Prepare to set-up process measuring instruments</w:t>
            </w: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1.1</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OHS procedures for a given work area are identified, obtained and understood.</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1.2</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Established OHS risk control measures and procedures are followed in preparation for the work.</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1.3</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Safety hazards th</w:t>
            </w:r>
            <w:r w:rsidRPr="0071204D">
              <w:t>at have not previously been identified are noted and established risk control measures are implemented.</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1.4</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Appropriate personnel are consulted to ensure the work is co-ordinated effectively with others involved on the work site.</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1.5</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Measurement parameters are identified by reviewing transmission/reception requirements and equipment manufacturer’s instructions.</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1.6</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Tools, equipment and testing devices needed for the work are obtained in accordance with established procedures and che</w:t>
            </w:r>
            <w:r w:rsidRPr="0071204D">
              <w:t>cked for correct operation and safety.</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1.7</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Preparatory work is checked to ensure no unnecessary damage has occurred and complies with requirements.</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1.8</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The need to test or measure live is determined in strict accordance with OHS requireme</w:t>
            </w:r>
            <w:r w:rsidRPr="0071204D">
              <w:t>nts and when necessary conducted within established safety procedures.</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1.9</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Circuits are checked as being isolated where necessary in strict accordance OHS requirements and procedures.</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2</w:t>
            </w:r>
          </w:p>
        </w:tc>
        <w:tc>
          <w:tcPr>
            <w:tcW w:w="2296"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Set-up process measuring instruments</w:t>
            </w: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2.1</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OHS risk control measures</w:t>
            </w:r>
            <w:r w:rsidRPr="0071204D">
              <w:t xml:space="preserve"> and procedures for carrying out the work are followed.</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2.2</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Testing/measuring devices are connected and set up in accordance with requirements for a particular control system.</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2.3</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Measuring instruments are set up and adjusted in accordance with transmission/reception requirements and equipment manufacturer’s instructions.</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2.4</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Adjustments are made to provide optimum transmission/reception performance within regulatory requirements</w:t>
            </w:r>
            <w:r w:rsidRPr="0071204D">
              <w:t>.</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2.5</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Decisions for dealing with unexpected situations are made from discussions with appropriate persons and job specifications and requirements.</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2.6</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Methods for dealing with unexpected situations are selected on the basis of safety and specified wo</w:t>
            </w:r>
            <w:r w:rsidRPr="0071204D">
              <w:t>rk outcomes.</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2.7</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Setting-up is carried out efficiently without waste of materials or damage to apparatus, the surrounding environment or services and using sustainable energy principles.</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3</w:t>
            </w:r>
          </w:p>
        </w:tc>
        <w:tc>
          <w:tcPr>
            <w:tcW w:w="2296"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Completion and report set-up activities</w:t>
            </w: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3.1</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OHS risk control work completion measures and procedures are followed.</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3.2</w:t>
            </w:r>
          </w:p>
        </w:tc>
        <w:tc>
          <w:tcPr>
            <w:tcW w:w="48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Work site is cleaned and made safe in accordance with established procedures.</w:t>
            </w:r>
          </w:p>
        </w:tc>
      </w:tr>
      <w:tr w:rsidTr="004A1A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t>3.3</w:t>
            </w:r>
          </w:p>
        </w:tc>
        <w:tc>
          <w:tcPr>
            <w:tcW w:w="486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Adjustment settings are documented and an appropriate person or persons notified in accordanc</w:t>
            </w:r>
            <w:r w:rsidRPr="0071204D">
              <w:t>e with established procedures.</w:t>
            </w:r>
          </w:p>
        </w:tc>
      </w:tr>
    </w:tbl>
    <w:p w:rsidR="00000000" w:rsidRPr="0071204D" w:rsidP="0071204D">
      <w:pPr>
        <w:pStyle w:val="BodyText"/>
      </w:pPr>
    </w:p>
    <w:p w:rsidR="00000000" w:rsidRPr="0071204D" w:rsidP="0071204D">
      <w:pPr>
        <w:pStyle w:val="AllowPageBreak"/>
      </w:pPr>
    </w:p>
    <w:p w:rsidR="00000000" w:rsidRPr="0071204D" w:rsidP="0071204D">
      <w:pPr>
        <w:pStyle w:val="Heading1"/>
      </w:pPr>
      <w:bookmarkStart w:id="9" w:name="O_588597"/>
      <w:bookmarkEnd w:id="9"/>
      <w:r w:rsidRPr="0071204D">
        <w:t>Required Skills and Knowledge</w:t>
      </w:r>
    </w:p>
    <w:tbl>
      <w:tblPr>
        <w:tblW w:w="0" w:type="auto"/>
        <w:tblLayout w:type="fixed"/>
        <w:tblCellMar>
          <w:left w:w="62" w:type="dxa"/>
          <w:right w:w="62" w:type="dxa"/>
        </w:tblCellMar>
        <w:tblLook w:val="0000"/>
      </w:tblPr>
      <w:tblGrid>
        <w:gridCol w:w="8460"/>
      </w:tblGrid>
      <w:tr w:rsidTr="004A1A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REQUIRED SKILLS AND KNOWLEDGE</w:t>
            </w:r>
          </w:p>
        </w:tc>
      </w:tr>
      <w:tr w:rsidTr="004A1A8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8)</w:t>
            </w:r>
            <w:r w:rsidRPr="0071204D">
              <w:t xml:space="preserve"> This describes the essential skills and knowledge and their level, required for this unit.</w:t>
            </w:r>
          </w:p>
          <w:p w:rsidR="00000000" w:rsidRPr="0071204D" w:rsidP="0071204D">
            <w:pPr>
              <w:pStyle w:val="BodyText"/>
            </w:pPr>
            <w:r w:rsidRPr="0071204D">
              <w:t>Evidence shall show that knowledge has been acquired of safe working practices and commissioning microwave and satellite communication systems.</w:t>
            </w:r>
          </w:p>
          <w:p w:rsidR="00000000" w:rsidRPr="0071204D" w:rsidP="0071204D">
            <w:pPr>
              <w:pStyle w:val="BodyText"/>
            </w:pPr>
            <w:r w:rsidRPr="0071204D">
              <w:t>All knowledge and skills detailed in this unit should be contextualised to current industry practices and techno</w:t>
            </w:r>
            <w:r w:rsidRPr="0071204D">
              <w:t>logies.</w:t>
            </w:r>
          </w:p>
          <w:p w:rsidR="00000000" w:rsidRPr="0071204D" w:rsidP="0071204D">
            <w:pPr>
              <w:pStyle w:val="BodyText"/>
            </w:pPr>
            <w:r w:rsidRPr="0071204D">
              <w:rPr>
                <w:rStyle w:val="SpecialBold"/>
              </w:rPr>
              <w:t>KS01-EH186A</w:t>
            </w:r>
            <w:r w:rsidRPr="0071204D">
              <w:rPr>
                <w:rStyle w:val="SpecialBold"/>
              </w:rPr>
              <w:tab/>
              <w:t xml:space="preserve">              Electronic communications, satellite and microwave </w:t>
            </w:r>
          </w:p>
          <w:p w:rsidR="00000000" w:rsidRPr="0071204D" w:rsidP="0071204D">
            <w:pPr>
              <w:pStyle w:val="BodyText"/>
            </w:pPr>
            <w:r w:rsidRPr="0071204D">
              <w:t xml:space="preserve">Evidence shall show an understanding of electronic communications, satellite and microwave, applying safe working practices and relevant Standards, Codes and Regulations </w:t>
            </w:r>
            <w:r w:rsidRPr="0071204D">
              <w:t>to an extent indicated by the following aspects:</w:t>
            </w:r>
          </w:p>
          <w:p w:rsidR="00000000" w:rsidRPr="0071204D" w:rsidP="0071204D">
            <w:pPr>
              <w:pStyle w:val="BodyText"/>
            </w:pPr>
            <w:r w:rsidRPr="0071204D">
              <w:t>T1.</w:t>
            </w:r>
            <w:r w:rsidRPr="0071204D">
              <w:tab/>
              <w:t>Propagation of electromagnetic waves through the atmosphere, transmission lines and waveguides including characteristic impedance, impedance matching, standing waves, microwave frequency bands</w:t>
            </w:r>
          </w:p>
          <w:p w:rsidR="00000000" w:rsidRPr="0071204D" w:rsidP="0071204D">
            <w:pPr>
              <w:pStyle w:val="BodyText"/>
            </w:pPr>
            <w:r w:rsidRPr="0071204D">
              <w:t>T2.</w:t>
            </w:r>
            <w:r w:rsidRPr="0071204D">
              <w:tab/>
              <w:t>Microw</w:t>
            </w:r>
            <w:r w:rsidRPr="0071204D">
              <w:t>ave device parameters involving wavelength, phase, VSWR, impedance matching, circuit parameters, amplifiers, transmission, reception, oscillation, noise figure, noise temperature</w:t>
            </w:r>
          </w:p>
          <w:p w:rsidR="00000000" w:rsidRPr="0071204D" w:rsidP="0071204D">
            <w:pPr>
              <w:pStyle w:val="BodyText"/>
            </w:pPr>
            <w:r w:rsidRPr="0071204D">
              <w:t>T3.</w:t>
            </w:r>
            <w:r w:rsidRPr="0071204D">
              <w:tab/>
              <w:t>Microwave devices and components</w:t>
            </w:r>
          </w:p>
          <w:p w:rsidR="00000000" w:rsidRPr="0071204D" w:rsidP="0071204D">
            <w:pPr>
              <w:pStyle w:val="BodyText"/>
            </w:pPr>
            <w:r w:rsidRPr="0071204D">
              <w:t>T4.</w:t>
            </w:r>
            <w:r w:rsidRPr="0071204D">
              <w:tab/>
              <w:t>Microwave operational constraints an</w:t>
            </w:r>
            <w:r w:rsidRPr="0071204D">
              <w:t>d operating parameters such as power, bandwidth, gain, efficiency, operational life, electrical parameters, stability, cooling, size, testing and device selection</w:t>
            </w:r>
          </w:p>
          <w:p w:rsidR="00000000" w:rsidRPr="0071204D" w:rsidP="0071204D">
            <w:pPr>
              <w:pStyle w:val="BodyText"/>
            </w:pPr>
            <w:r w:rsidRPr="0071204D">
              <w:t>T5.</w:t>
            </w:r>
            <w:r w:rsidRPr="0071204D">
              <w:tab/>
              <w:t>Microwave measurements, test equipment and testing techniques</w:t>
            </w:r>
          </w:p>
          <w:p w:rsidR="00000000" w:rsidRPr="0071204D" w:rsidP="0071204D">
            <w:pPr>
              <w:pStyle w:val="BodyText"/>
            </w:pPr>
            <w:r w:rsidRPr="0071204D">
              <w:t>T6.</w:t>
            </w:r>
            <w:r w:rsidRPr="0071204D">
              <w:tab/>
              <w:t>EMI/EMC, generation, su</w:t>
            </w:r>
            <w:r w:rsidRPr="0071204D">
              <w:t>ppression and reduction</w:t>
            </w:r>
          </w:p>
          <w:p w:rsidR="00000000" w:rsidRPr="0071204D" w:rsidP="0071204D">
            <w:pPr>
              <w:pStyle w:val="BodyText"/>
            </w:pPr>
            <w:r w:rsidRPr="0071204D">
              <w:t>T7.</w:t>
            </w:r>
            <w:r w:rsidRPr="0071204D">
              <w:tab/>
              <w:t>Satellite communications systems encompassing:</w:t>
            </w:r>
          </w:p>
          <w:p w:rsidR="00000000" w:rsidRPr="0071204D" w:rsidP="0071204D">
            <w:pPr>
              <w:pStyle w:val="ListBullet"/>
            </w:pPr>
            <w:r w:rsidRPr="0071204D">
              <w:t>Types of satellite systems and sub-systems</w:t>
            </w:r>
          </w:p>
          <w:p w:rsidR="00000000" w:rsidRPr="0071204D" w:rsidP="0071204D">
            <w:pPr>
              <w:pStyle w:val="ListBullet"/>
            </w:pPr>
            <w:r w:rsidRPr="0071204D">
              <w:t>Earth station locality and antenna parameters</w:t>
            </w:r>
          </w:p>
          <w:p w:rsidR="00000000" w:rsidRPr="0071204D" w:rsidP="0071204D">
            <w:pPr>
              <w:pStyle w:val="ListBullet"/>
            </w:pPr>
            <w:r w:rsidRPr="0071204D">
              <w:t>Link specifications and link calculations</w:t>
            </w:r>
          </w:p>
          <w:p w:rsidR="00000000" w:rsidRPr="0071204D" w:rsidP="0071204D">
            <w:pPr>
              <w:pStyle w:val="ListBullet"/>
            </w:pPr>
            <w:r w:rsidRPr="0071204D">
              <w:t>Base band signalling processes</w:t>
            </w:r>
          </w:p>
          <w:p w:rsidR="00000000" w:rsidRPr="0071204D" w:rsidP="0071204D">
            <w:pPr>
              <w:pStyle w:val="ListBullet"/>
            </w:pPr>
            <w:r w:rsidRPr="0071204D">
              <w:t>Modulation and system access</w:t>
            </w:r>
          </w:p>
          <w:p w:rsidR="00000000" w:rsidRPr="0071204D" w:rsidP="0071204D">
            <w:pPr>
              <w:pStyle w:val="BodyText"/>
            </w:pPr>
            <w:r w:rsidRPr="0071204D">
              <w:t>T8.</w:t>
            </w:r>
            <w:r w:rsidRPr="0071204D">
              <w:tab/>
              <w:t>Commissioning electronic communication systems encompassing:</w:t>
            </w:r>
          </w:p>
          <w:p w:rsidR="00000000" w:rsidRPr="0071204D" w:rsidP="0071204D">
            <w:pPr>
              <w:pStyle w:val="ListBullet"/>
            </w:pPr>
            <w:r w:rsidRPr="0071204D">
              <w:t>Purpose of commissioning</w:t>
            </w:r>
          </w:p>
          <w:p w:rsidR="00000000" w:rsidRPr="0071204D" w:rsidP="0071204D">
            <w:pPr>
              <w:pStyle w:val="ListBullet"/>
            </w:pPr>
            <w:r w:rsidRPr="0071204D">
              <w:t>Commissioning planning and documentation</w:t>
            </w:r>
          </w:p>
          <w:p w:rsidR="00000000" w:rsidRPr="0071204D" w:rsidP="0071204D">
            <w:pPr>
              <w:pStyle w:val="ListBullet"/>
            </w:pPr>
            <w:r w:rsidRPr="0071204D">
              <w:t>Initial tests and adjustments</w:t>
            </w:r>
          </w:p>
          <w:p w:rsidR="00000000" w:rsidRPr="0071204D" w:rsidP="0071204D">
            <w:pPr>
              <w:pStyle w:val="ListBullet"/>
            </w:pPr>
            <w:r w:rsidRPr="0071204D">
              <w:t>Commissioning procedures</w:t>
            </w:r>
          </w:p>
        </w:tc>
      </w:tr>
    </w:tbl>
    <w:p w:rsidR="00000000" w:rsidRPr="0071204D" w:rsidP="0071204D">
      <w:pPr>
        <w:pStyle w:val="BodyText"/>
      </w:pPr>
    </w:p>
    <w:p w:rsidR="00000000" w:rsidRPr="0071204D" w:rsidP="0071204D">
      <w:pPr>
        <w:pStyle w:val="AllowPageBreak"/>
      </w:pPr>
    </w:p>
    <w:p w:rsidR="00000000" w:rsidRPr="0071204D" w:rsidP="0071204D">
      <w:pPr>
        <w:pStyle w:val="Heading1"/>
      </w:pPr>
      <w:bookmarkStart w:id="10" w:name="O_588596"/>
      <w:bookmarkEnd w:id="10"/>
      <w:r w:rsidRPr="0071204D">
        <w:t>Evidence Guide</w:t>
      </w:r>
    </w:p>
    <w:tbl>
      <w:tblPr>
        <w:tblW w:w="0" w:type="auto"/>
        <w:tblLayout w:type="fixed"/>
        <w:tblCellMar>
          <w:left w:w="62" w:type="dxa"/>
          <w:right w:w="62" w:type="dxa"/>
        </w:tblCellMar>
        <w:tblLook w:val="0000"/>
      </w:tblPr>
      <w:tblGrid>
        <w:gridCol w:w="8460"/>
      </w:tblGrid>
      <w:tr w:rsidTr="004A1A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EVIDEN</w:t>
            </w:r>
            <w:r w:rsidRPr="0071204D">
              <w:rPr>
                <w:rStyle w:val="SpecialBold"/>
              </w:rPr>
              <w:t>CE GUIDE</w:t>
            </w:r>
          </w:p>
        </w:tc>
      </w:tr>
      <w:tr w:rsidTr="004A1A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9)</w:t>
            </w:r>
            <w:r w:rsidRPr="0071204D">
              <w:t xml:space="preserve">  The evidence guide provides advice on assessment and must be read in conjunction with the Performance Criteria, Required Skills and Knowledge, the Range Statement and the Assessment Guidelines for this Training Package. .</w:t>
            </w:r>
          </w:p>
          <w:p w:rsidR="00000000" w:rsidRPr="0071204D" w:rsidP="0071204D">
            <w:pPr>
              <w:pStyle w:val="BodyText"/>
            </w:pPr>
            <w:r w:rsidRPr="0071204D">
              <w:t>The Evidence Guide forms an integral part of this unit. It must be used in conjunction with all parts of the unit and performed in accordance with the Assessment Guidelines of this Training Package.</w:t>
            </w:r>
          </w:p>
        </w:tc>
      </w:tr>
    </w:tbl>
    <w:p w:rsidR="00000000" w:rsidRPr="0071204D" w:rsidP="0071204D">
      <w:pPr>
        <w:pStyle w:val="BodyText"/>
      </w:pPr>
    </w:p>
    <w:tbl>
      <w:tblPr>
        <w:tblW w:w="0" w:type="auto"/>
        <w:tblLayout w:type="fixed"/>
        <w:tblCellMar>
          <w:left w:w="62" w:type="dxa"/>
          <w:right w:w="62" w:type="dxa"/>
        </w:tblCellMar>
        <w:tblLook w:val="0000"/>
      </w:tblPr>
      <w:tblGrid>
        <w:gridCol w:w="1890"/>
        <w:gridCol w:w="6570"/>
      </w:tblGrid>
      <w:tr w:rsidTr="004A1A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9.1)</w:t>
            </w:r>
          </w:p>
        </w:tc>
      </w:tr>
      <w:tr w:rsidTr="004A1A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Longitudinal competency d</w:t>
            </w:r>
            <w:r w:rsidRPr="0071204D">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71204D">
              <w:t>Industry-preferred model for apprenticeships. However, where summative (or final) assessment is used it must include the application of the competency in the normal work environment or, at a minimum, the application of the competency in a realistically sim</w:t>
            </w:r>
            <w:r w:rsidRPr="0071204D">
              <w:t>ulated work environment. It is recognised that, in some circumstances, assessment in part or full can occur outside the workplace. However, it must be in accord with industry and regulatory policy.</w:t>
            </w:r>
          </w:p>
          <w:p w:rsidR="00000000" w:rsidRPr="0071204D" w:rsidP="0071204D">
            <w:pPr>
              <w:pStyle w:val="BodyText"/>
            </w:pPr>
            <w:r w:rsidRPr="0071204D">
              <w:t>Methods chosen for a particular assessment will be influen</w:t>
            </w:r>
            <w:r w:rsidRPr="0071204D">
              <w:t>ced by various factors. These include the extent of the assessment, the most effective locations for the assessment activities to take place, access to physical resources, additional safety measures that may be required and the critical nature of the compe</w:t>
            </w:r>
            <w:r w:rsidRPr="0071204D">
              <w:t>tencies being assessed.</w:t>
            </w:r>
          </w:p>
          <w:p w:rsidR="00000000" w:rsidRPr="0071204D" w:rsidP="0071204D">
            <w:pPr>
              <w:pStyle w:val="BodyText"/>
            </w:pPr>
            <w:r w:rsidRPr="0071204D">
              <w:t>The critical safety nature of working with electricity, electrical equipment, gas or any other hazardous substance/material carries risk in deeming a person competent. Sources of evidence need to be ‘rich’ in nature to minimise erro</w:t>
            </w:r>
            <w:r w:rsidRPr="0071204D">
              <w:t>r in judgment.</w:t>
            </w:r>
          </w:p>
          <w:p w:rsidR="00000000" w:rsidRPr="0071204D" w:rsidP="0071204D">
            <w:pPr>
              <w:pStyle w:val="BodyText"/>
            </w:pPr>
            <w:r w:rsidRPr="0071204D">
              <w:t xml:space="preserve">Activities associated with normal everyday work influence decisions about how/how much the data gathered will contribute to its ‘richness’. Some skills are more critical to safety and operational requirements while the same skills may be </w:t>
            </w:r>
            <w:r w:rsidRPr="0071204D">
              <w:t>more or less frequently practised. These points are raised for the assessors to consider when choosing an assessment method and developing assessment instruments. Sample assessment instruments are included for Assessors in the Assessment Guidelines of this</w:t>
            </w:r>
            <w:r w:rsidRPr="0071204D">
              <w:t xml:space="preserve"> Training Package.</w:t>
            </w:r>
          </w:p>
        </w:tc>
      </w:tr>
    </w:tbl>
    <w:p w:rsidR="00000000" w:rsidRPr="0071204D" w:rsidP="0071204D">
      <w:pPr>
        <w:pStyle w:val="BodyText"/>
      </w:pPr>
    </w:p>
    <w:tbl>
      <w:tblPr>
        <w:tblW w:w="0" w:type="auto"/>
        <w:tblLayout w:type="fixed"/>
        <w:tblCellMar>
          <w:left w:w="62" w:type="dxa"/>
          <w:right w:w="62" w:type="dxa"/>
        </w:tblCellMar>
        <w:tblLook w:val="0000"/>
      </w:tblPr>
      <w:tblGrid>
        <w:gridCol w:w="1890"/>
        <w:gridCol w:w="6570"/>
      </w:tblGrid>
      <w:tr w:rsidTr="004A1A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9.2)</w:t>
            </w:r>
          </w:p>
        </w:tc>
      </w:tr>
      <w:tr w:rsidTr="004A1A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Before the critical aspects of evidence are considered all prerequisites shall be met.</w:t>
            </w:r>
          </w:p>
          <w:p w:rsidR="00000000" w:rsidRPr="0071204D" w:rsidP="0071204D">
            <w:pPr>
              <w:pStyle w:val="BodyText"/>
            </w:pPr>
            <w:r w:rsidRPr="0071204D">
              <w:t>Evidence for competence in this unit shall be considered holisti</w:t>
            </w:r>
            <w:r w:rsidRPr="0071204D">
              <w:t>cally.  Each Element and associated performance criteria shall be demonstrated on at least two occasions in accordance with the ‘Assessment Guidelines – UEE11’.  Evidence shall also comprise:</w:t>
            </w:r>
          </w:p>
          <w:p w:rsidR="00000000" w:rsidRPr="0071204D" w:rsidP="0071204D">
            <w:pPr>
              <w:pStyle w:val="ListBullet"/>
            </w:pPr>
            <w:r w:rsidRPr="0071204D">
              <w:t>A representative body of work performance demonstrated within t</w:t>
            </w:r>
            <w:r w:rsidRPr="0071204D">
              <w:t>he timeframes typically expected of the discipline, work function and industrial environment. In particular this shall incorporate evidence that shows a candidate is able to:</w:t>
            </w:r>
          </w:p>
          <w:p w:rsidR="00000000" w:rsidRPr="0071204D" w:rsidP="0071204D">
            <w:pPr>
              <w:pStyle w:val="ListBullet2"/>
            </w:pPr>
            <w:r w:rsidRPr="0071204D">
              <w:t>Implement Occupational Health and Safety workplace procedures and practices, inc</w:t>
            </w:r>
            <w:r w:rsidRPr="0071204D">
              <w:t>luding the use of risk control measures as specified in the performance criteria and range statement</w:t>
            </w:r>
          </w:p>
          <w:p w:rsidR="00000000" w:rsidRPr="0071204D" w:rsidP="0071204D">
            <w:pPr>
              <w:pStyle w:val="ListBullet2"/>
            </w:pPr>
            <w:r w:rsidRPr="0071204D">
              <w:t>Apply sustainable energy principles and practices as specified in the performance criteria and range statement</w:t>
            </w:r>
          </w:p>
          <w:p w:rsidR="00000000" w:rsidRPr="0071204D" w:rsidP="0071204D">
            <w:pPr>
              <w:pStyle w:val="ListBullet2"/>
            </w:pPr>
            <w:r w:rsidRPr="0071204D">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71204D" w:rsidP="0071204D">
            <w:pPr>
              <w:pStyle w:val="ListBullet2"/>
            </w:pPr>
            <w:r w:rsidRPr="0071204D">
              <w:t>Demonst</w:t>
            </w:r>
            <w:r w:rsidRPr="0071204D">
              <w:t>rate an appropriate level of skills enabling employment</w:t>
            </w:r>
          </w:p>
          <w:p w:rsidR="00000000" w:rsidRPr="0071204D" w:rsidP="0071204D">
            <w:pPr>
              <w:pStyle w:val="ListBullet2"/>
            </w:pPr>
            <w:r w:rsidRPr="0071204D">
              <w:t>Conduct work observing the relevant Anti Discrimination legislation, regulations, polices and workplace procedures</w:t>
            </w:r>
          </w:p>
          <w:p w:rsidR="00000000" w:rsidRPr="0071204D" w:rsidP="0071204D">
            <w:pPr>
              <w:pStyle w:val="ListBullet"/>
            </w:pPr>
            <w:r w:rsidRPr="0071204D">
              <w:t>Demonstrated consistent performance across a representative range of contexts from t</w:t>
            </w:r>
            <w:r w:rsidRPr="0071204D">
              <w:t>he prescribed items below:</w:t>
            </w:r>
          </w:p>
          <w:p w:rsidR="00000000" w:rsidRPr="0071204D" w:rsidP="0071204D">
            <w:pPr>
              <w:pStyle w:val="ListBullet2"/>
            </w:pPr>
            <w:r w:rsidRPr="0071204D">
              <w:t>Commission microwave and satellite communications systems as described in 8) and including:</w:t>
            </w:r>
          </w:p>
          <w:p w:rsidR="00000000" w:rsidRPr="0071204D" w:rsidP="0071204D">
            <w:pPr>
              <w:pStyle w:val="ListAlpha2"/>
            </w:pPr>
            <w:r w:rsidRPr="0071204D">
              <w:t>Identifying measurement parameters.</w:t>
            </w:r>
          </w:p>
          <w:p w:rsidR="00000000" w:rsidRPr="0071204D" w:rsidP="0071204D">
            <w:pPr>
              <w:pStyle w:val="ListAlpha2"/>
            </w:pPr>
            <w:r w:rsidRPr="0071204D">
              <w:t>Setting-up and adjusting in accordance with communication systems requirements and equipment manufacturer’s instructions.</w:t>
            </w:r>
          </w:p>
          <w:p w:rsidR="00000000" w:rsidRPr="0071204D" w:rsidP="0071204D">
            <w:pPr>
              <w:pStyle w:val="ListAlpha2"/>
            </w:pPr>
            <w:r w:rsidRPr="0071204D">
              <w:t>Documenting adjustment settings with established procedures.</w:t>
            </w:r>
          </w:p>
          <w:p w:rsidR="00000000" w:rsidRPr="0071204D" w:rsidP="0071204D">
            <w:pPr>
              <w:pStyle w:val="ListAlpha2"/>
            </w:pPr>
            <w:r w:rsidRPr="0071204D">
              <w:t>Dealing with unplanned events by drawing on essential knowledge and skill</w:t>
            </w:r>
            <w:r w:rsidRPr="0071204D">
              <w:t>s to provide appropriate solutions incorporated in a holistic assessment with the above listed items.</w:t>
            </w:r>
          </w:p>
          <w:p w:rsidR="00000000" w:rsidRPr="0071204D" w:rsidP="0071204D">
            <w:pPr>
              <w:pStyle w:val="BodyText"/>
            </w:pPr>
            <w:r w:rsidRPr="0071204D">
              <w:t>Note:</w:t>
            </w:r>
          </w:p>
          <w:p w:rsidR="00000000" w:rsidRPr="0071204D" w:rsidP="0071204D">
            <w:pPr>
              <w:pStyle w:val="BodyText"/>
            </w:pPr>
            <w:r w:rsidRPr="0071204D">
              <w:t xml:space="preserve">Successful completion of relevant vendor training may be used to contribute to evidence on which competency is deemed. In these cases the alignment </w:t>
            </w:r>
            <w:r w:rsidRPr="0071204D">
              <w:t>of outcomes of vendor training with performance criteria and critical aspects of evidence shall be clearly identified.</w:t>
            </w:r>
          </w:p>
        </w:tc>
      </w:tr>
    </w:tbl>
    <w:p w:rsidR="00000000" w:rsidRPr="0071204D" w:rsidP="0071204D">
      <w:pPr>
        <w:pStyle w:val="BodyText"/>
      </w:pPr>
    </w:p>
    <w:tbl>
      <w:tblPr>
        <w:tblW w:w="0" w:type="auto"/>
        <w:tblLayout w:type="fixed"/>
        <w:tblCellMar>
          <w:left w:w="62" w:type="dxa"/>
          <w:right w:w="62" w:type="dxa"/>
        </w:tblCellMar>
        <w:tblLook w:val="0000"/>
      </w:tblPr>
      <w:tblGrid>
        <w:gridCol w:w="1890"/>
        <w:gridCol w:w="6570"/>
      </w:tblGrid>
      <w:tr w:rsidTr="004A1A8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9.3)</w:t>
            </w:r>
          </w:p>
        </w:tc>
      </w:tr>
      <w:tr w:rsidTr="004A1A8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This unit should be assessed as it relates to normal work practice using procedures, information and resources typical of a workplace. This should include:</w:t>
            </w:r>
          </w:p>
          <w:p w:rsidR="00000000" w:rsidRPr="0071204D" w:rsidP="0071204D">
            <w:pPr>
              <w:pStyle w:val="ListBullet"/>
            </w:pPr>
            <w:r w:rsidRPr="0071204D">
              <w:t>OHS policy and work procedures and instructions.</w:t>
            </w:r>
          </w:p>
          <w:p w:rsidR="00000000" w:rsidRPr="0071204D" w:rsidP="0071204D">
            <w:pPr>
              <w:pStyle w:val="ListBullet"/>
            </w:pPr>
            <w:r w:rsidRPr="0071204D">
              <w:t>Suitable work environment, facilities, equipment a</w:t>
            </w:r>
            <w:r w:rsidRPr="0071204D">
              <w:t>nd materials to undertake actual work as prescribed by this unit.</w:t>
            </w:r>
          </w:p>
          <w:p w:rsidR="00000000" w:rsidRPr="0071204D" w:rsidP="0071204D">
            <w:pPr>
              <w:pStyle w:val="BodyText"/>
            </w:pPr>
            <w:r w:rsidRPr="0071204D">
              <w:t>These should be part of the formal learning/assessment environment.</w:t>
            </w:r>
          </w:p>
          <w:p w:rsidR="00000000" w:rsidRPr="0071204D" w:rsidP="0071204D">
            <w:pPr>
              <w:pStyle w:val="BodyText"/>
            </w:pPr>
            <w:r w:rsidRPr="0071204D">
              <w:t>Note:</w:t>
            </w:r>
          </w:p>
          <w:p w:rsidR="00000000" w:rsidRPr="0071204D" w:rsidP="0071204D">
            <w:pPr>
              <w:pStyle w:val="BodyText"/>
            </w:pPr>
            <w:r w:rsidRPr="0071204D">
              <w:t>Where simulation is considered a suitable strategy for assessment, conditions must be authentic and as far as possib</w:t>
            </w:r>
            <w:r w:rsidRPr="0071204D">
              <w:t>le reproduce and replicate the workplace and be consistent with the approved industry simulation policy.</w:t>
            </w:r>
          </w:p>
          <w:p w:rsidR="00000000" w:rsidRPr="0071204D" w:rsidP="0071204D">
            <w:pPr>
              <w:pStyle w:val="BodyText"/>
            </w:pPr>
            <w:r w:rsidRPr="0071204D">
              <w:t>The resources used for assessment should reflect current industry practices in relation to commissioning microwave and satellite communication systems.</w:t>
            </w:r>
          </w:p>
        </w:tc>
      </w:tr>
    </w:tbl>
    <w:p w:rsidR="00000000" w:rsidRPr="0071204D" w:rsidP="0071204D">
      <w:pPr>
        <w:pStyle w:val="BodyText"/>
      </w:pPr>
    </w:p>
    <w:tbl>
      <w:tblPr>
        <w:tblW w:w="0" w:type="auto"/>
        <w:tblLayout w:type="fixed"/>
        <w:tblCellMar>
          <w:left w:w="62" w:type="dxa"/>
          <w:right w:w="62" w:type="dxa"/>
        </w:tblCellMar>
        <w:tblLook w:val="0000"/>
      </w:tblPr>
      <w:tblGrid>
        <w:gridCol w:w="1890"/>
        <w:gridCol w:w="6570"/>
      </w:tblGrid>
      <w:tr w:rsidTr="004A1A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9.4)</w:t>
            </w:r>
          </w:p>
        </w:tc>
      </w:tr>
      <w:tr w:rsidTr="004A1A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This unit shall be assessed by methods given in Volume 1, Part 3 ‘Assessment Guidelines’.</w:t>
            </w:r>
          </w:p>
          <w:p w:rsidR="00000000" w:rsidRPr="0071204D" w:rsidP="0071204D">
            <w:pPr>
              <w:pStyle w:val="BodyText"/>
            </w:pPr>
            <w:r w:rsidRPr="0071204D">
              <w:t>Note:</w:t>
            </w:r>
          </w:p>
          <w:p w:rsidR="00000000" w:rsidRPr="0071204D" w:rsidP="0071204D">
            <w:pPr>
              <w:pStyle w:val="BodyText"/>
            </w:pPr>
            <w:r w:rsidRPr="0071204D">
              <w:t>Competent performance with inherent safe working practices is expected in the industry to which this unit applies. This requires that the specified essential knowledge and associated skills are assessed in a structured environment which is primarily intend</w:t>
            </w:r>
            <w:r w:rsidRPr="0071204D">
              <w:t>ed for learning/assessment and incorporates all necessary equipment and facilities for learners to develop and demonstrate the essential knowledge and skills described in this unit.</w:t>
            </w:r>
          </w:p>
        </w:tc>
      </w:tr>
    </w:tbl>
    <w:p w:rsidR="00000000" w:rsidRPr="0071204D" w:rsidP="0071204D">
      <w:pPr>
        <w:pStyle w:val="BodyText"/>
      </w:pPr>
    </w:p>
    <w:tbl>
      <w:tblPr>
        <w:tblW w:w="0" w:type="auto"/>
        <w:tblLayout w:type="fixed"/>
        <w:tblCellMar>
          <w:left w:w="62" w:type="dxa"/>
          <w:right w:w="62" w:type="dxa"/>
        </w:tblCellMar>
        <w:tblLook w:val="0000"/>
      </w:tblPr>
      <w:tblGrid>
        <w:gridCol w:w="1890"/>
        <w:gridCol w:w="6570"/>
      </w:tblGrid>
      <w:tr w:rsidTr="004A1A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9.5)</w:t>
            </w:r>
          </w:p>
        </w:tc>
      </w:tr>
      <w:tr w:rsidTr="004A1A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There are</w:t>
            </w:r>
            <w:r w:rsidRPr="0071204D">
              <w:t xml:space="preserve"> no concurrent assessment recommendations for this unit.</w:t>
            </w:r>
          </w:p>
          <w:p w:rsidR="00000000" w:rsidRPr="0071204D" w:rsidP="0071204D">
            <w:pPr>
              <w:pStyle w:val="BodyText"/>
            </w:pPr>
            <w:r w:rsidRPr="0071204D">
              <w:t>The critical aspects of occupational health and safety covered in unit UEENEEE101A and other discipline specific occupational health and safety units shall be incorporated in relation to this unit.</w:t>
            </w:r>
          </w:p>
        </w:tc>
      </w:tr>
    </w:tbl>
    <w:p w:rsidR="00000000" w:rsidRPr="0071204D" w:rsidP="0071204D">
      <w:pPr>
        <w:pStyle w:val="BodyText"/>
      </w:pPr>
    </w:p>
    <w:p w:rsidR="00000000" w:rsidRPr="0071204D" w:rsidP="0071204D">
      <w:pPr>
        <w:pStyle w:val="AllowPageBreak"/>
      </w:pPr>
    </w:p>
    <w:p w:rsidR="00000000" w:rsidRPr="0071204D" w:rsidP="0071204D">
      <w:pPr>
        <w:pStyle w:val="Heading1"/>
      </w:pPr>
      <w:bookmarkStart w:id="11" w:name="O_588595"/>
      <w:bookmarkEnd w:id="11"/>
      <w:r w:rsidRPr="0071204D">
        <w:t>Range Statement</w:t>
      </w:r>
    </w:p>
    <w:tbl>
      <w:tblPr>
        <w:tblW w:w="0" w:type="auto"/>
        <w:tblLayout w:type="fixed"/>
        <w:tblCellMar>
          <w:left w:w="62" w:type="dxa"/>
          <w:right w:w="62" w:type="dxa"/>
        </w:tblCellMar>
        <w:tblLook w:val="0000"/>
      </w:tblPr>
      <w:tblGrid>
        <w:gridCol w:w="8460"/>
      </w:tblGrid>
      <w:tr w:rsidTr="004A1A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RANGE STATEMENT</w:t>
            </w:r>
          </w:p>
        </w:tc>
      </w:tr>
      <w:tr w:rsidTr="004A1A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10)</w:t>
            </w:r>
            <w:r w:rsidRPr="0071204D">
              <w:t xml:space="preserve">  This relates to the unit as a whole providing the range of contexts and conditions to which the performance criteria apply. It allows for different work environments and situations that will affect pe</w:t>
            </w:r>
            <w:r w:rsidRPr="0071204D">
              <w:t>rformance.</w:t>
            </w:r>
          </w:p>
          <w:p w:rsidR="00000000" w:rsidRPr="0071204D" w:rsidP="0071204D">
            <w:pPr>
              <w:pStyle w:val="BodyText"/>
            </w:pPr>
            <w:r w:rsidRPr="0071204D">
              <w:t>This unit shall be demonstrated using a representative range of microwave and satellite communication systems in setting-up and adjusting two microwave/satellite communication systems. It may include test plans.</w:t>
            </w:r>
          </w:p>
          <w:p w:rsidR="00000000" w:rsidRPr="0071204D" w:rsidP="0071204D">
            <w:pPr>
              <w:pStyle w:val="BodyText"/>
            </w:pPr>
            <w:r w:rsidRPr="0071204D">
              <w:t>Generic terms used throughout thi</w:t>
            </w:r>
            <w:r w:rsidRPr="0071204D">
              <w:t>s Vocational Standard shall be regarded as part of the Range Statement in which competency is demonstrated. The definition of these and other terms that apply are given in Volume 2, Part 2.1.</w:t>
            </w:r>
          </w:p>
        </w:tc>
      </w:tr>
    </w:tbl>
    <w:p w:rsidR="00000000" w:rsidRPr="0071204D" w:rsidP="0071204D">
      <w:pPr>
        <w:pStyle w:val="BodyText"/>
      </w:pPr>
    </w:p>
    <w:p w:rsidR="00000000" w:rsidRPr="0071204D" w:rsidP="0071204D">
      <w:pPr>
        <w:pStyle w:val="AllowPageBreak"/>
      </w:pPr>
    </w:p>
    <w:p w:rsidR="00000000" w:rsidRPr="0071204D" w:rsidP="0071204D">
      <w:pPr>
        <w:pStyle w:val="Heading1"/>
      </w:pPr>
      <w:bookmarkStart w:id="12" w:name="O_588594"/>
      <w:bookmarkEnd w:id="12"/>
      <w:r w:rsidRPr="0071204D">
        <w:t>Unit Sector(s)</w:t>
      </w:r>
    </w:p>
    <w:p w:rsidR="00000000" w:rsidRPr="0071204D" w:rsidP="0071204D">
      <w:pPr>
        <w:pStyle w:val="BodyText"/>
      </w:pPr>
      <w:r w:rsidRPr="0071204D">
        <w:t>Not applicable.</w:t>
      </w:r>
    </w:p>
    <w:p w:rsidR="00000000" w:rsidRPr="0071204D" w:rsidP="0071204D">
      <w:pPr>
        <w:pStyle w:val="AllowPageBreak"/>
      </w:pPr>
    </w:p>
    <w:p w:rsidR="00000000" w:rsidRPr="0071204D" w:rsidP="0071204D">
      <w:pPr>
        <w:pStyle w:val="Heading1"/>
      </w:pPr>
      <w:bookmarkStart w:id="13" w:name="O_588593"/>
      <w:bookmarkEnd w:id="13"/>
      <w:r w:rsidRPr="0071204D">
        <w:t>Competency Field</w:t>
      </w:r>
    </w:p>
    <w:tbl>
      <w:tblPr>
        <w:tblW w:w="0" w:type="auto"/>
        <w:tblLayout w:type="fixed"/>
        <w:tblCellMar>
          <w:left w:w="62" w:type="dxa"/>
          <w:right w:w="62" w:type="dxa"/>
        </w:tblCellMar>
        <w:tblLook w:val="0000"/>
      </w:tblPr>
      <w:tblGrid>
        <w:gridCol w:w="2700"/>
        <w:gridCol w:w="5760"/>
      </w:tblGrid>
      <w:tr w:rsidTr="004A1A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1204D">
            <w:pPr>
              <w:pStyle w:val="BodyText"/>
              <w:rPr>
                <w:lang w:val="en-NZ"/>
              </w:rPr>
            </w:pPr>
            <w:r w:rsidRPr="0071204D">
              <w:rPr>
                <w:rStyle w:val="SpecialBold"/>
              </w:rPr>
              <w:t xml:space="preserve">11) </w:t>
            </w:r>
          </w:p>
        </w:tc>
      </w:tr>
      <w:tr w:rsidTr="004A1A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204D" w:rsidP="0071204D">
            <w:pPr>
              <w:pStyle w:val="BodyText"/>
            </w:pPr>
            <w:r w:rsidRPr="0071204D">
              <w:t>Electronics</w:t>
            </w:r>
          </w:p>
        </w:tc>
      </w:tr>
    </w:tbl>
    <w:p w:rsidR="00000000" w:rsidRPr="0071204D" w:rsidP="0071204D">
      <w:pPr>
        <w:pStyle w:val="BodyText"/>
      </w:pPr>
    </w:p>
    <w:p w:rsidR="00000000" w:rsidRPr="0071204D" w:rsidP="0071204D"/>
    <w:sectPr w:rsidSect="007120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4D" w:rsidRPr="004A1A81" w:rsidP="004A1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81" w:rsidP="00712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A1A81" w:rsidP="007120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A1A81" w:rsidP="00712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4D" w:rsidRPr="004A1A81" w:rsidP="004A1A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81" w:rsidRPr="002D2AF8" w:rsidP="0071204D">
    <w:pPr>
      <w:pStyle w:val="Header"/>
      <w:framePr w:wrap="around"/>
    </w:pPr>
    <w:r>
      <w:fldChar w:fldCharType="begin"/>
    </w:r>
    <w:r>
      <w:instrText xml:space="preserve"> TITLE   \* MERGEFORMAT </w:instrText>
    </w:r>
    <w:r>
      <w:fldChar w:fldCharType="separate"/>
    </w:r>
    <w:r>
      <w:t>UEENEEH186A Commission satellite and microwave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A1A81" w:rsidP="00712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406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B28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F05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0597887"/>
    <w:multiLevelType w:val="multilevel"/>
    <w:tmpl w:val="50645D6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04D"/>
    <w:pPr>
      <w:spacing w:before="360" w:after="60"/>
      <w:outlineLvl w:val="0"/>
    </w:pPr>
    <w:rPr>
      <w:sz w:val="32"/>
    </w:rPr>
  </w:style>
  <w:style w:type="paragraph" w:styleId="Heading2">
    <w:name w:val="heading 2"/>
    <w:basedOn w:val="HeadingBase"/>
    <w:next w:val="BodyText"/>
    <w:link w:val="Heading2Char"/>
    <w:qFormat/>
    <w:rsid w:val="0071204D"/>
    <w:pPr>
      <w:keepLines/>
      <w:spacing w:before="240" w:after="120"/>
      <w:outlineLvl w:val="1"/>
    </w:pPr>
    <w:rPr>
      <w:sz w:val="28"/>
      <w:szCs w:val="40"/>
    </w:rPr>
  </w:style>
  <w:style w:type="paragraph" w:styleId="Heading3">
    <w:name w:val="heading 3"/>
    <w:basedOn w:val="HeadingBase"/>
    <w:next w:val="BodyText"/>
    <w:link w:val="Heading3Char"/>
    <w:qFormat/>
    <w:rsid w:val="0071204D"/>
    <w:pPr>
      <w:spacing w:before="180" w:after="120"/>
      <w:outlineLvl w:val="2"/>
    </w:pPr>
    <w:rPr>
      <w:spacing w:val="-10"/>
      <w:kern w:val="32"/>
    </w:rPr>
  </w:style>
  <w:style w:type="paragraph" w:styleId="Heading4">
    <w:name w:val="heading 4"/>
    <w:basedOn w:val="HeadingBase"/>
    <w:next w:val="BodyText"/>
    <w:link w:val="Heading4Char"/>
    <w:qFormat/>
    <w:rsid w:val="0071204D"/>
    <w:pPr>
      <w:spacing w:before="160" w:after="120"/>
      <w:outlineLvl w:val="3"/>
    </w:pPr>
    <w:rPr>
      <w:sz w:val="22"/>
    </w:rPr>
  </w:style>
  <w:style w:type="paragraph" w:styleId="Heading5">
    <w:name w:val="heading 5"/>
    <w:basedOn w:val="HeadingBase"/>
    <w:next w:val="Normal"/>
    <w:link w:val="Heading5Char"/>
    <w:qFormat/>
    <w:rsid w:val="0071204D"/>
    <w:pPr>
      <w:spacing w:before="80"/>
      <w:outlineLvl w:val="4"/>
    </w:pPr>
    <w:rPr>
      <w:color w:val="918585"/>
      <w:sz w:val="20"/>
    </w:rPr>
  </w:style>
  <w:style w:type="paragraph" w:styleId="Heading6">
    <w:name w:val="heading 6"/>
    <w:basedOn w:val="HeadingBase"/>
    <w:next w:val="Normal"/>
    <w:link w:val="Heading6Char"/>
    <w:qFormat/>
    <w:rsid w:val="0071204D"/>
    <w:pPr>
      <w:spacing w:before="60"/>
      <w:outlineLvl w:val="5"/>
    </w:pPr>
    <w:rPr>
      <w:color w:val="918585"/>
      <w:sz w:val="20"/>
    </w:rPr>
  </w:style>
  <w:style w:type="paragraph" w:styleId="Heading7">
    <w:name w:val="heading 7"/>
    <w:basedOn w:val="Normal"/>
    <w:next w:val="Normal"/>
    <w:link w:val="Heading7Char"/>
    <w:qFormat/>
    <w:rsid w:val="0071204D"/>
    <w:pPr>
      <w:ind w:left="720"/>
      <w:outlineLvl w:val="6"/>
    </w:pPr>
    <w:rPr>
      <w:i/>
    </w:rPr>
  </w:style>
  <w:style w:type="paragraph" w:styleId="Heading8">
    <w:name w:val="heading 8"/>
    <w:basedOn w:val="Normal"/>
    <w:next w:val="Normal"/>
    <w:link w:val="Heading8Char"/>
    <w:qFormat/>
    <w:rsid w:val="0071204D"/>
    <w:pPr>
      <w:ind w:left="720"/>
      <w:outlineLvl w:val="7"/>
    </w:pPr>
    <w:rPr>
      <w:i/>
    </w:rPr>
  </w:style>
  <w:style w:type="paragraph" w:styleId="Heading9">
    <w:name w:val="heading 9"/>
    <w:basedOn w:val="Normal"/>
    <w:next w:val="Normal"/>
    <w:link w:val="Heading9Char"/>
    <w:qFormat/>
    <w:rsid w:val="0071204D"/>
    <w:pPr>
      <w:ind w:left="720"/>
      <w:outlineLvl w:val="8"/>
    </w:pPr>
    <w:rPr>
      <w:i/>
    </w:rPr>
  </w:style>
  <w:style w:type="character" w:default="1" w:styleId="DefaultParagraphFont">
    <w:name w:val="Default Paragraph Font"/>
    <w:uiPriority w:val="1"/>
    <w:unhideWhenUsed/>
    <w:rsid w:val="00712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04D"/>
  </w:style>
  <w:style w:type="character" w:customStyle="1" w:styleId="Heading1Char">
    <w:name w:val="Heading 1 Char"/>
    <w:basedOn w:val="DefaultParagraphFont"/>
    <w:link w:val="Heading1"/>
    <w:rsid w:val="0071204D"/>
    <w:rPr>
      <w:rFonts w:ascii="Times New Roman" w:eastAsia="Times New Roman" w:hAnsi="Times New Roman" w:cs="Times New Roman"/>
      <w:b/>
      <w:sz w:val="32"/>
      <w:szCs w:val="20"/>
      <w:lang w:eastAsia="en-US"/>
    </w:rPr>
  </w:style>
  <w:style w:type="paragraph" w:styleId="BodyText">
    <w:name w:val="Body Text"/>
    <w:basedOn w:val="Normal"/>
    <w:link w:val="BodyTextChar"/>
    <w:rsid w:val="007120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04D"/>
    <w:rPr>
      <w:rFonts w:ascii="Times New Roman" w:eastAsia="Times New Roman" w:hAnsi="Times New Roman" w:cs="Times New Roman"/>
      <w:sz w:val="24"/>
      <w:lang w:eastAsia="en-US"/>
    </w:rPr>
  </w:style>
  <w:style w:type="paragraph" w:styleId="ListBullet">
    <w:name w:val="List Bullet"/>
    <w:basedOn w:val="List"/>
    <w:rsid w:val="0071204D"/>
    <w:pPr>
      <w:numPr>
        <w:numId w:val="13"/>
      </w:numPr>
      <w:tabs>
        <w:tab w:val="clear" w:pos="340"/>
      </w:tabs>
      <w:spacing w:before="40" w:after="40"/>
    </w:pPr>
  </w:style>
  <w:style w:type="character" w:customStyle="1" w:styleId="SpecialBold">
    <w:name w:val="Special Bold"/>
    <w:basedOn w:val="DefaultParagraphFont"/>
    <w:rsid w:val="0071204D"/>
    <w:rPr>
      <w:b/>
      <w:spacing w:val="0"/>
    </w:rPr>
  </w:style>
  <w:style w:type="paragraph" w:styleId="ListBullet2">
    <w:name w:val="List Bullet 2"/>
    <w:basedOn w:val="List2"/>
    <w:rsid w:val="0071204D"/>
    <w:pPr>
      <w:numPr>
        <w:numId w:val="14"/>
      </w:numPr>
      <w:tabs>
        <w:tab w:val="clear" w:pos="680"/>
      </w:tabs>
    </w:pPr>
  </w:style>
  <w:style w:type="paragraph" w:customStyle="1" w:styleId="SuperHeading">
    <w:name w:val="SuperHeading"/>
    <w:basedOn w:val="Normal"/>
    <w:rsid w:val="0071204D"/>
    <w:pPr>
      <w:spacing w:before="240" w:after="120"/>
      <w:outlineLvl w:val="0"/>
    </w:pPr>
    <w:rPr>
      <w:rFonts w:ascii="Times New Roman" w:hAnsi="Times New Roman"/>
      <w:b/>
      <w:sz w:val="32"/>
    </w:rPr>
  </w:style>
  <w:style w:type="paragraph" w:customStyle="1" w:styleId="AllowPageBreak">
    <w:name w:val="AllowPageBreak"/>
    <w:rsid w:val="007120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71204D"/>
    <w:pPr>
      <w:numPr>
        <w:numId w:val="8"/>
      </w:numPr>
    </w:pPr>
  </w:style>
  <w:style w:type="character" w:customStyle="1" w:styleId="Heading2Char">
    <w:name w:val="Heading 2 Char"/>
    <w:basedOn w:val="DefaultParagraphFont"/>
    <w:link w:val="Heading2"/>
    <w:rsid w:val="00712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04D"/>
    <w:rPr>
      <w:rFonts w:ascii="Courier New" w:eastAsia="Times New Roman" w:hAnsi="Courier New" w:cs="Times New Roman"/>
      <w:i/>
      <w:szCs w:val="20"/>
      <w:lang w:eastAsia="en-US"/>
    </w:rPr>
  </w:style>
  <w:style w:type="paragraph" w:customStyle="1" w:styleId="HeadingBase">
    <w:name w:val="Heading Base"/>
    <w:rsid w:val="00712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04D"/>
    <w:pPr>
      <w:tabs>
        <w:tab w:val="right" w:leader="dot" w:pos="9072"/>
      </w:tabs>
      <w:ind w:left="567"/>
    </w:pPr>
    <w:rPr>
      <w:szCs w:val="22"/>
    </w:rPr>
  </w:style>
  <w:style w:type="paragraph" w:customStyle="1" w:styleId="TOCBase">
    <w:name w:val="TOC Base"/>
    <w:rsid w:val="00712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04D"/>
    <w:pPr>
      <w:tabs>
        <w:tab w:val="right" w:leader="dot" w:pos="9072"/>
      </w:tabs>
      <w:spacing w:before="40" w:after="40"/>
      <w:ind w:left="284"/>
    </w:pPr>
    <w:rPr>
      <w:rFonts w:ascii="Times New Roman" w:hAnsi="Times New Roman"/>
    </w:rPr>
  </w:style>
  <w:style w:type="paragraph" w:styleId="TOC1">
    <w:name w:val="toc 1"/>
    <w:basedOn w:val="TOCBase"/>
    <w:next w:val="Normal"/>
    <w:rsid w:val="00712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04D"/>
    <w:rPr>
      <w:rFonts w:ascii="Times New Roman" w:eastAsia="Times New Roman" w:hAnsi="Times New Roman" w:cs="Times New Roman"/>
      <w:sz w:val="16"/>
      <w:lang w:eastAsia="en-US"/>
    </w:rPr>
  </w:style>
  <w:style w:type="paragraph" w:styleId="Title">
    <w:name w:val="Title"/>
    <w:basedOn w:val="HeadingBase"/>
    <w:link w:val="TitleChar"/>
    <w:qFormat/>
    <w:rsid w:val="0071204D"/>
    <w:pPr>
      <w:spacing w:before="5040"/>
      <w:jc w:val="center"/>
    </w:pPr>
    <w:rPr>
      <w:sz w:val="48"/>
      <w:szCs w:val="72"/>
      <w:lang w:val="en-US"/>
    </w:rPr>
  </w:style>
  <w:style w:type="character" w:customStyle="1" w:styleId="TitleChar">
    <w:name w:val="Title Char"/>
    <w:basedOn w:val="DefaultParagraphFont"/>
    <w:link w:val="Title"/>
    <w:rsid w:val="00712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04D"/>
    <w:pPr>
      <w:tabs>
        <w:tab w:val="left" w:pos="3600"/>
        <w:tab w:val="left" w:pos="3958"/>
      </w:tabs>
    </w:pPr>
  </w:style>
  <w:style w:type="paragraph" w:styleId="List">
    <w:name w:val="List"/>
    <w:basedOn w:val="BodyText"/>
    <w:next w:val="BodyText"/>
    <w:rsid w:val="0071204D"/>
    <w:pPr>
      <w:tabs>
        <w:tab w:val="left" w:pos="340"/>
      </w:tabs>
      <w:spacing w:before="60" w:after="60"/>
      <w:ind w:left="340" w:hanging="340"/>
    </w:pPr>
  </w:style>
  <w:style w:type="paragraph" w:customStyle="1" w:styleId="Note">
    <w:name w:val="Note"/>
    <w:basedOn w:val="BodyText"/>
    <w:rsid w:val="00712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04D"/>
    <w:pPr>
      <w:framePr w:wrap="auto" w:hAnchor="text" w:y="6049"/>
    </w:pPr>
    <w:rPr>
      <w:color w:val="000000"/>
      <w:sz w:val="40"/>
    </w:rPr>
  </w:style>
  <w:style w:type="paragraph" w:customStyle="1" w:styleId="TOCTitle">
    <w:name w:val="TOCTitle"/>
    <w:basedOn w:val="Heading1"/>
    <w:rsid w:val="0071204D"/>
    <w:pPr>
      <w:spacing w:after="240"/>
      <w:jc w:val="center"/>
      <w:outlineLvl w:val="9"/>
    </w:pPr>
    <w:rPr>
      <w:caps/>
    </w:rPr>
  </w:style>
  <w:style w:type="paragraph" w:customStyle="1" w:styleId="Version">
    <w:name w:val="Version"/>
    <w:rsid w:val="00712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04D"/>
    <w:pPr>
      <w:keepNext w:val="0"/>
      <w:tabs>
        <w:tab w:val="right" w:pos="4176"/>
      </w:tabs>
      <w:ind w:left="198" w:hanging="198"/>
    </w:pPr>
    <w:rPr>
      <w:rFonts w:ascii="Garamond" w:hAnsi="Garamond"/>
    </w:rPr>
  </w:style>
  <w:style w:type="paragraph" w:styleId="IndexHeading">
    <w:name w:val="index heading"/>
    <w:basedOn w:val="Normal"/>
    <w:next w:val="Index1"/>
    <w:semiHidden/>
    <w:rsid w:val="0071204D"/>
    <w:pPr>
      <w:spacing w:before="120" w:after="120"/>
    </w:pPr>
    <w:rPr>
      <w:rFonts w:ascii="Arial" w:hAnsi="Arial"/>
      <w:b/>
      <w:color w:val="918585"/>
      <w:sz w:val="24"/>
    </w:rPr>
  </w:style>
  <w:style w:type="paragraph" w:styleId="Header">
    <w:name w:val="header"/>
    <w:basedOn w:val="Normal"/>
    <w:link w:val="HeaderChar"/>
    <w:rsid w:val="00712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04D"/>
    <w:rPr>
      <w:rFonts w:ascii="Times New Roman" w:eastAsia="Times New Roman" w:hAnsi="Times New Roman" w:cs="Times New Roman"/>
      <w:sz w:val="16"/>
      <w:szCs w:val="20"/>
      <w:lang w:val="en-GB" w:eastAsia="en-US"/>
    </w:rPr>
  </w:style>
  <w:style w:type="paragraph" w:customStyle="1" w:styleId="Chapter">
    <w:name w:val="Chapter"/>
    <w:basedOn w:val="Normal"/>
    <w:rsid w:val="0071204D"/>
    <w:pPr>
      <w:spacing w:before="240"/>
    </w:pPr>
    <w:rPr>
      <w:rFonts w:ascii="Times New Roman" w:hAnsi="Times New Roman"/>
      <w:smallCaps/>
      <w:spacing w:val="80"/>
      <w:sz w:val="28"/>
    </w:rPr>
  </w:style>
  <w:style w:type="paragraph" w:customStyle="1" w:styleId="InChapter">
    <w:name w:val="InChapter"/>
    <w:basedOn w:val="Heading3"/>
    <w:rsid w:val="0071204D"/>
    <w:pPr>
      <w:spacing w:after="240"/>
      <w:outlineLvl w:val="9"/>
    </w:pPr>
    <w:rPr>
      <w:noProof/>
    </w:rPr>
  </w:style>
  <w:style w:type="paragraph" w:styleId="Index2">
    <w:name w:val="index 2"/>
    <w:basedOn w:val="Normal"/>
    <w:next w:val="Normal"/>
    <w:semiHidden/>
    <w:rsid w:val="0071204D"/>
    <w:pPr>
      <w:tabs>
        <w:tab w:val="right" w:pos="4176"/>
      </w:tabs>
      <w:ind w:left="568" w:hanging="284"/>
    </w:pPr>
    <w:rPr>
      <w:rFonts w:ascii="Garamond" w:hAnsi="Garamond"/>
    </w:rPr>
  </w:style>
  <w:style w:type="paragraph" w:customStyle="1" w:styleId="Byline">
    <w:name w:val="Byline"/>
    <w:rsid w:val="00712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04D"/>
    <w:pPr>
      <w:tabs>
        <w:tab w:val="clear" w:pos="3600"/>
        <w:tab w:val="clear" w:pos="3958"/>
      </w:tabs>
      <w:jc w:val="right"/>
    </w:pPr>
  </w:style>
  <w:style w:type="character" w:styleId="Emphasis">
    <w:name w:val="Emphasis"/>
    <w:basedOn w:val="DefaultParagraphFont"/>
    <w:qFormat/>
    <w:rsid w:val="0071204D"/>
    <w:rPr>
      <w:i/>
    </w:rPr>
  </w:style>
  <w:style w:type="paragraph" w:styleId="Caption">
    <w:name w:val="caption"/>
    <w:basedOn w:val="BodyText"/>
    <w:next w:val="Normal"/>
    <w:qFormat/>
    <w:rsid w:val="0071204D"/>
    <w:pPr>
      <w:framePr w:w="2268" w:hSpace="181" w:vSpace="181" w:wrap="around" w:vAnchor="text" w:hAnchor="page" w:x="1135" w:y="285" w:anchorLock="1"/>
    </w:pPr>
    <w:rPr>
      <w:i/>
    </w:rPr>
  </w:style>
  <w:style w:type="paragraph" w:customStyle="1" w:styleId="MiniTOCTitle">
    <w:name w:val="MiniTOCTitle"/>
    <w:basedOn w:val="Heading4"/>
    <w:rsid w:val="0071204D"/>
    <w:pPr>
      <w:spacing w:before="240"/>
      <w:outlineLvl w:val="9"/>
    </w:pPr>
    <w:rPr>
      <w:noProof/>
      <w:sz w:val="24"/>
    </w:rPr>
  </w:style>
  <w:style w:type="paragraph" w:customStyle="1" w:styleId="MiniTOCItem">
    <w:name w:val="MiniTOCItem"/>
    <w:basedOn w:val="ListBullet"/>
    <w:rsid w:val="0071204D"/>
    <w:pPr>
      <w:numPr>
        <w:numId w:val="0"/>
      </w:numPr>
      <w:tabs>
        <w:tab w:val="right" w:leader="dot" w:pos="6521"/>
      </w:tabs>
      <w:spacing w:before="0" w:after="0"/>
    </w:pPr>
  </w:style>
  <w:style w:type="paragraph" w:customStyle="1" w:styleId="TOFTitle">
    <w:name w:val="TOFTitle"/>
    <w:basedOn w:val="TOCTitle"/>
    <w:rsid w:val="0071204D"/>
  </w:style>
  <w:style w:type="paragraph" w:styleId="TableofFigures">
    <w:name w:val="table of figures"/>
    <w:basedOn w:val="Normal"/>
    <w:next w:val="Normal"/>
    <w:semiHidden/>
    <w:rsid w:val="0071204D"/>
    <w:pPr>
      <w:tabs>
        <w:tab w:val="right" w:leader="dot" w:pos="9072"/>
      </w:tabs>
      <w:ind w:left="970" w:hanging="403"/>
    </w:pPr>
    <w:rPr>
      <w:rFonts w:ascii="Times New Roman" w:hAnsi="Times New Roman"/>
      <w:b/>
    </w:rPr>
  </w:style>
  <w:style w:type="paragraph" w:styleId="ListNumber">
    <w:name w:val="List Number"/>
    <w:basedOn w:val="List"/>
    <w:rsid w:val="0071204D"/>
    <w:pPr>
      <w:numPr>
        <w:numId w:val="11"/>
      </w:numPr>
    </w:pPr>
  </w:style>
  <w:style w:type="character" w:customStyle="1" w:styleId="WingdingSymbols">
    <w:name w:val="Wingding Symbols"/>
    <w:rsid w:val="0071204D"/>
    <w:rPr>
      <w:rFonts w:ascii="Wingdings" w:hAnsi="Wingdings"/>
    </w:rPr>
  </w:style>
  <w:style w:type="paragraph" w:customStyle="1" w:styleId="TableHeading">
    <w:name w:val="Table Heading"/>
    <w:basedOn w:val="HeadingBase"/>
    <w:rsid w:val="0071204D"/>
    <w:pPr>
      <w:keepLines/>
      <w:pBdr>
        <w:bottom w:val="single" w:sz="6" w:space="1" w:color="918585"/>
      </w:pBdr>
      <w:spacing w:before="240"/>
    </w:pPr>
  </w:style>
  <w:style w:type="character" w:customStyle="1" w:styleId="HotSpot">
    <w:name w:val="HotSpot"/>
    <w:rsid w:val="0071204D"/>
    <w:rPr>
      <w:color w:val="0033CC"/>
      <w:u w:val="none"/>
    </w:rPr>
  </w:style>
  <w:style w:type="paragraph" w:customStyle="1" w:styleId="BodyTextRight">
    <w:name w:val="Body Text Right"/>
    <w:basedOn w:val="BodyText"/>
    <w:rsid w:val="0071204D"/>
    <w:pPr>
      <w:spacing w:before="0" w:after="0"/>
      <w:jc w:val="right"/>
    </w:pPr>
  </w:style>
  <w:style w:type="paragraph" w:styleId="Index3">
    <w:name w:val="index 3"/>
    <w:basedOn w:val="ListNumber2"/>
    <w:next w:val="Normal"/>
    <w:semiHidden/>
    <w:rsid w:val="0071204D"/>
    <w:pPr>
      <w:numPr>
        <w:numId w:val="0"/>
      </w:numPr>
      <w:tabs>
        <w:tab w:val="right" w:leader="dot" w:pos="4176"/>
      </w:tabs>
    </w:pPr>
  </w:style>
  <w:style w:type="paragraph" w:styleId="ListNumber2">
    <w:name w:val="List Number 2"/>
    <w:basedOn w:val="List2"/>
    <w:rsid w:val="0071204D"/>
    <w:pPr>
      <w:numPr>
        <w:numId w:val="10"/>
      </w:numPr>
      <w:tabs>
        <w:tab w:val="clear" w:pos="1060"/>
      </w:tabs>
    </w:pPr>
  </w:style>
  <w:style w:type="paragraph" w:customStyle="1" w:styleId="MarginNote">
    <w:name w:val="Margin Note"/>
    <w:basedOn w:val="BodyText"/>
    <w:rsid w:val="00712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04D"/>
    <w:rPr>
      <w:sz w:val="32"/>
    </w:rPr>
  </w:style>
  <w:style w:type="paragraph" w:customStyle="1" w:styleId="HeadingProcedure">
    <w:name w:val="Heading Procedure"/>
    <w:basedOn w:val="HeadingBase"/>
    <w:next w:val="Normal"/>
    <w:rsid w:val="0071204D"/>
    <w:pPr>
      <w:tabs>
        <w:tab w:val="left" w:pos="0"/>
      </w:tabs>
      <w:spacing w:before="120" w:after="60"/>
    </w:pPr>
    <w:rPr>
      <w:i/>
      <w:color w:val="918585"/>
      <w:sz w:val="22"/>
    </w:rPr>
  </w:style>
  <w:style w:type="paragraph" w:customStyle="1" w:styleId="TableBodyText">
    <w:name w:val="Table Body Text"/>
    <w:basedOn w:val="BodyText"/>
    <w:rsid w:val="0071204D"/>
    <w:pPr>
      <w:spacing w:before="60" w:after="60"/>
    </w:pPr>
  </w:style>
  <w:style w:type="paragraph" w:styleId="ListContinue">
    <w:name w:val="List Continue"/>
    <w:basedOn w:val="List"/>
    <w:rsid w:val="0071204D"/>
    <w:pPr>
      <w:ind w:firstLine="0"/>
    </w:pPr>
  </w:style>
  <w:style w:type="paragraph" w:customStyle="1" w:styleId="ListNote">
    <w:name w:val="List Note"/>
    <w:basedOn w:val="List"/>
    <w:rsid w:val="0071204D"/>
    <w:pPr>
      <w:pBdr>
        <w:top w:val="single" w:sz="6" w:space="2" w:color="918585"/>
        <w:bottom w:val="single" w:sz="6" w:space="2" w:color="918585"/>
      </w:pBdr>
      <w:tabs>
        <w:tab w:val="left" w:pos="1021"/>
      </w:tabs>
      <w:ind w:firstLine="0"/>
    </w:pPr>
  </w:style>
  <w:style w:type="paragraph" w:customStyle="1" w:styleId="Warning">
    <w:name w:val="Warning"/>
    <w:basedOn w:val="BodyText"/>
    <w:rsid w:val="0071204D"/>
    <w:pPr>
      <w:shd w:val="clear" w:color="auto" w:fill="D9D9D9"/>
      <w:tabs>
        <w:tab w:val="left" w:pos="992"/>
      </w:tabs>
      <w:ind w:left="119" w:right="119"/>
    </w:pPr>
    <w:rPr>
      <w:sz w:val="20"/>
    </w:rPr>
  </w:style>
  <w:style w:type="paragraph" w:customStyle="1" w:styleId="MarginIcons">
    <w:name w:val="Margin Icons"/>
    <w:basedOn w:val="BodyText"/>
    <w:rsid w:val="00712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04D"/>
    <w:rPr>
      <w:rFonts w:ascii="Courier New" w:hAnsi="Courier New"/>
    </w:rPr>
  </w:style>
  <w:style w:type="paragraph" w:customStyle="1" w:styleId="NoteBullet">
    <w:name w:val="Note Bullet"/>
    <w:basedOn w:val="Note"/>
    <w:rsid w:val="0071204D"/>
    <w:pPr>
      <w:tabs>
        <w:tab w:val="clear" w:pos="680"/>
      </w:tabs>
      <w:spacing w:before="60" w:after="60"/>
    </w:pPr>
  </w:style>
  <w:style w:type="paragraph" w:customStyle="1" w:styleId="SubHeading2">
    <w:name w:val="SubHeading2"/>
    <w:basedOn w:val="HeadingBase"/>
    <w:rsid w:val="0071204D"/>
    <w:pPr>
      <w:spacing w:before="240" w:after="60"/>
    </w:pPr>
    <w:rPr>
      <w:sz w:val="20"/>
    </w:rPr>
  </w:style>
  <w:style w:type="paragraph" w:customStyle="1" w:styleId="SubHeading1">
    <w:name w:val="SubHeading1"/>
    <w:basedOn w:val="HeadingBase"/>
    <w:rsid w:val="0071204D"/>
    <w:pPr>
      <w:spacing w:before="240" w:after="60"/>
    </w:pPr>
    <w:rPr>
      <w:color w:val="918585"/>
      <w:sz w:val="22"/>
    </w:rPr>
  </w:style>
  <w:style w:type="paragraph" w:customStyle="1" w:styleId="SideHeading">
    <w:name w:val="Side Heading"/>
    <w:basedOn w:val="HeadingBase"/>
    <w:rsid w:val="00712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04D"/>
    <w:pPr>
      <w:numPr>
        <w:numId w:val="12"/>
      </w:numPr>
    </w:pPr>
  </w:style>
  <w:style w:type="paragraph" w:styleId="PlainText">
    <w:name w:val="Plain Text"/>
    <w:basedOn w:val="Normal"/>
    <w:link w:val="PlainTextChar"/>
    <w:rsid w:val="0071204D"/>
    <w:rPr>
      <w:sz w:val="20"/>
    </w:rPr>
  </w:style>
  <w:style w:type="character" w:customStyle="1" w:styleId="PlainTextChar">
    <w:name w:val="Plain Text Char"/>
    <w:basedOn w:val="DefaultParagraphFont"/>
    <w:link w:val="PlainText"/>
    <w:rsid w:val="0071204D"/>
    <w:rPr>
      <w:rFonts w:ascii="Courier New" w:eastAsia="Times New Roman" w:hAnsi="Courier New" w:cs="Times New Roman"/>
      <w:sz w:val="20"/>
      <w:szCs w:val="20"/>
      <w:lang w:eastAsia="en-US"/>
    </w:rPr>
  </w:style>
  <w:style w:type="character" w:customStyle="1" w:styleId="MenuOption">
    <w:name w:val="Menu Option"/>
    <w:basedOn w:val="DefaultParagraphFont"/>
    <w:rsid w:val="0071204D"/>
    <w:rPr>
      <w:b/>
      <w:smallCaps/>
    </w:rPr>
  </w:style>
  <w:style w:type="paragraph" w:customStyle="1" w:styleId="TableListNumber">
    <w:name w:val="Table List Number"/>
    <w:basedOn w:val="ListNumber"/>
    <w:rsid w:val="0071204D"/>
    <w:pPr>
      <w:numPr>
        <w:numId w:val="0"/>
      </w:numPr>
    </w:pPr>
  </w:style>
  <w:style w:type="paragraph" w:styleId="TOC4">
    <w:name w:val="toc 4"/>
    <w:basedOn w:val="TOCBase"/>
    <w:next w:val="Normal"/>
    <w:semiHidden/>
    <w:rsid w:val="0071204D"/>
    <w:pPr>
      <w:tabs>
        <w:tab w:val="right" w:leader="dot" w:pos="9071"/>
      </w:tabs>
      <w:ind w:left="1701"/>
    </w:pPr>
  </w:style>
  <w:style w:type="paragraph" w:customStyle="1" w:styleId="ListAlpha">
    <w:name w:val="List Alpha"/>
    <w:basedOn w:val="List"/>
    <w:rsid w:val="0071204D"/>
    <w:pPr>
      <w:numPr>
        <w:numId w:val="9"/>
      </w:numPr>
    </w:pPr>
  </w:style>
  <w:style w:type="paragraph" w:styleId="List2">
    <w:name w:val="List 2"/>
    <w:basedOn w:val="BodyText"/>
    <w:rsid w:val="0071204D"/>
    <w:pPr>
      <w:tabs>
        <w:tab w:val="left" w:pos="680"/>
      </w:tabs>
      <w:spacing w:before="60" w:after="60"/>
      <w:ind w:left="680" w:hanging="340"/>
    </w:pPr>
  </w:style>
  <w:style w:type="paragraph" w:styleId="List3">
    <w:name w:val="List 3"/>
    <w:basedOn w:val="BodyText"/>
    <w:rsid w:val="0071204D"/>
    <w:pPr>
      <w:tabs>
        <w:tab w:val="left" w:pos="1021"/>
      </w:tabs>
      <w:spacing w:before="60" w:after="60"/>
      <w:ind w:left="1020" w:hanging="340"/>
    </w:pPr>
  </w:style>
  <w:style w:type="paragraph" w:styleId="List4">
    <w:name w:val="List 4"/>
    <w:basedOn w:val="BodyText"/>
    <w:rsid w:val="0071204D"/>
    <w:pPr>
      <w:tabs>
        <w:tab w:val="left" w:pos="1361"/>
      </w:tabs>
      <w:spacing w:before="60" w:after="60"/>
      <w:ind w:left="1361" w:hanging="340"/>
    </w:pPr>
  </w:style>
  <w:style w:type="paragraph" w:styleId="List5">
    <w:name w:val="List 5"/>
    <w:basedOn w:val="BodyText"/>
    <w:rsid w:val="0071204D"/>
    <w:pPr>
      <w:tabs>
        <w:tab w:val="left" w:pos="1701"/>
      </w:tabs>
      <w:spacing w:before="60" w:after="60"/>
      <w:ind w:left="1701" w:hanging="340"/>
    </w:pPr>
  </w:style>
  <w:style w:type="paragraph" w:styleId="ListBullet3">
    <w:name w:val="List Bullet 3"/>
    <w:basedOn w:val="List3"/>
    <w:rsid w:val="0071204D"/>
    <w:pPr>
      <w:numPr>
        <w:numId w:val="15"/>
      </w:numPr>
      <w:tabs>
        <w:tab w:val="clear" w:pos="1021"/>
      </w:tabs>
      <w:ind w:left="1037" w:hanging="357"/>
    </w:pPr>
  </w:style>
  <w:style w:type="paragraph" w:styleId="ListBullet4">
    <w:name w:val="List Bullet 4"/>
    <w:basedOn w:val="List4"/>
    <w:rsid w:val="0071204D"/>
    <w:pPr>
      <w:numPr>
        <w:numId w:val="3"/>
      </w:numPr>
    </w:pPr>
  </w:style>
  <w:style w:type="paragraph" w:styleId="ListBullet5">
    <w:name w:val="List Bullet 5"/>
    <w:basedOn w:val="List5"/>
    <w:rsid w:val="0071204D"/>
    <w:pPr>
      <w:numPr>
        <w:numId w:val="4"/>
      </w:numPr>
    </w:pPr>
  </w:style>
  <w:style w:type="paragraph" w:styleId="ListContinue2">
    <w:name w:val="List Continue 2"/>
    <w:basedOn w:val="List2"/>
    <w:rsid w:val="0071204D"/>
    <w:pPr>
      <w:ind w:firstLine="0"/>
    </w:pPr>
  </w:style>
  <w:style w:type="paragraph" w:styleId="ListContinue3">
    <w:name w:val="List Continue 3"/>
    <w:basedOn w:val="List3"/>
    <w:rsid w:val="0071204D"/>
    <w:pPr>
      <w:ind w:left="1021" w:firstLine="0"/>
    </w:pPr>
  </w:style>
  <w:style w:type="paragraph" w:styleId="ListContinue4">
    <w:name w:val="List Continue 4"/>
    <w:basedOn w:val="List4"/>
    <w:rsid w:val="0071204D"/>
    <w:pPr>
      <w:ind w:firstLine="0"/>
    </w:pPr>
  </w:style>
  <w:style w:type="paragraph" w:styleId="ListContinue5">
    <w:name w:val="List Continue 5"/>
    <w:basedOn w:val="List5"/>
    <w:rsid w:val="0071204D"/>
    <w:pPr>
      <w:ind w:firstLine="0"/>
    </w:pPr>
  </w:style>
  <w:style w:type="paragraph" w:styleId="ListNumber3">
    <w:name w:val="List Number 3"/>
    <w:basedOn w:val="List3"/>
    <w:rsid w:val="0071204D"/>
    <w:pPr>
      <w:numPr>
        <w:numId w:val="5"/>
      </w:numPr>
    </w:pPr>
  </w:style>
  <w:style w:type="paragraph" w:styleId="ListNumber4">
    <w:name w:val="List Number 4"/>
    <w:basedOn w:val="List4"/>
    <w:rsid w:val="0071204D"/>
    <w:pPr>
      <w:numPr>
        <w:numId w:val="6"/>
      </w:numPr>
    </w:pPr>
  </w:style>
  <w:style w:type="paragraph" w:styleId="ListNumber5">
    <w:name w:val="List Number 5"/>
    <w:basedOn w:val="List5"/>
    <w:rsid w:val="0071204D"/>
    <w:pPr>
      <w:numPr>
        <w:numId w:val="7"/>
      </w:numPr>
    </w:pPr>
  </w:style>
  <w:style w:type="paragraph" w:styleId="BlockText">
    <w:name w:val="Block Text"/>
    <w:basedOn w:val="Normal"/>
    <w:rsid w:val="0071204D"/>
    <w:pPr>
      <w:spacing w:after="120"/>
      <w:ind w:left="1440" w:right="1440"/>
    </w:pPr>
  </w:style>
  <w:style w:type="character" w:customStyle="1" w:styleId="Subscript">
    <w:name w:val="Subscript"/>
    <w:basedOn w:val="DefaultParagraphFont"/>
    <w:rsid w:val="0071204D"/>
    <w:rPr>
      <w:sz w:val="16"/>
      <w:vertAlign w:val="subscript"/>
    </w:rPr>
  </w:style>
  <w:style w:type="character" w:customStyle="1" w:styleId="Superscript">
    <w:name w:val="Superscript"/>
    <w:basedOn w:val="DefaultParagraphFont"/>
    <w:rsid w:val="0071204D"/>
    <w:rPr>
      <w:sz w:val="16"/>
      <w:vertAlign w:val="superscript"/>
    </w:rPr>
  </w:style>
  <w:style w:type="character" w:customStyle="1" w:styleId="Symbols">
    <w:name w:val="Symbols"/>
    <w:basedOn w:val="DefaultParagraphFont"/>
    <w:rsid w:val="0071204D"/>
    <w:rPr>
      <w:rFonts w:ascii="Symbol" w:hAnsi="Symbol"/>
    </w:rPr>
  </w:style>
  <w:style w:type="character" w:customStyle="1" w:styleId="MenuOptions">
    <w:name w:val="Menu Options"/>
    <w:basedOn w:val="DefaultParagraphFont"/>
    <w:rsid w:val="0071204D"/>
    <w:rPr>
      <w:rFonts w:ascii="Arial Narrow" w:hAnsi="Arial Narrow"/>
      <w:smallCaps/>
    </w:rPr>
  </w:style>
  <w:style w:type="character" w:customStyle="1" w:styleId="Buttons">
    <w:name w:val="Buttons"/>
    <w:basedOn w:val="DefaultParagraphFont"/>
    <w:rsid w:val="0071204D"/>
    <w:rPr>
      <w:b/>
    </w:rPr>
  </w:style>
  <w:style w:type="character" w:customStyle="1" w:styleId="Underlined">
    <w:name w:val="Underlined"/>
    <w:basedOn w:val="DefaultParagraphFont"/>
    <w:rsid w:val="0071204D"/>
    <w:rPr>
      <w:u w:val="single"/>
    </w:rPr>
  </w:style>
  <w:style w:type="paragraph" w:customStyle="1" w:styleId="TableBodyTextRight">
    <w:name w:val="Table Body Text Right"/>
    <w:basedOn w:val="TableBodyText"/>
    <w:rsid w:val="0071204D"/>
    <w:pPr>
      <w:widowControl w:val="0"/>
      <w:autoSpaceDE w:val="0"/>
      <w:autoSpaceDN w:val="0"/>
      <w:adjustRightInd w:val="0"/>
      <w:jc w:val="right"/>
    </w:pPr>
    <w:rPr>
      <w:rFonts w:cs="Arial"/>
      <w:szCs w:val="18"/>
    </w:rPr>
  </w:style>
  <w:style w:type="paragraph" w:customStyle="1" w:styleId="CopyrightText">
    <w:name w:val="Copyright Text"/>
    <w:basedOn w:val="BodyText"/>
    <w:rsid w:val="0071204D"/>
    <w:rPr>
      <w:sz w:val="18"/>
    </w:rPr>
  </w:style>
  <w:style w:type="paragraph" w:customStyle="1" w:styleId="BodySmallRight">
    <w:name w:val="Body Small Right"/>
    <w:basedOn w:val="BodyTextRight"/>
    <w:rsid w:val="0071204D"/>
    <w:rPr>
      <w:sz w:val="18"/>
      <w:szCs w:val="18"/>
    </w:rPr>
  </w:style>
  <w:style w:type="paragraph" w:customStyle="1" w:styleId="MarginEdition">
    <w:name w:val="Margin Edition"/>
    <w:basedOn w:val="MarginNote"/>
    <w:rsid w:val="0071204D"/>
    <w:pPr>
      <w:spacing w:before="0" w:after="0"/>
    </w:pPr>
    <w:rPr>
      <w:rFonts w:ascii="Times New Roman" w:hAnsi="Times New Roman"/>
      <w:color w:val="999999"/>
    </w:rPr>
  </w:style>
  <w:style w:type="paragraph" w:customStyle="1" w:styleId="Spacer">
    <w:name w:val="Spacer"/>
    <w:basedOn w:val="Normal"/>
    <w:rsid w:val="0071204D"/>
    <w:rPr>
      <w:sz w:val="2"/>
      <w:szCs w:val="2"/>
    </w:rPr>
  </w:style>
  <w:style w:type="character" w:customStyle="1" w:styleId="Small">
    <w:name w:val="Small"/>
    <w:basedOn w:val="DefaultParagraphFont"/>
    <w:rsid w:val="0071204D"/>
    <w:rPr>
      <w:sz w:val="16"/>
    </w:rPr>
  </w:style>
  <w:style w:type="paragraph" w:customStyle="1" w:styleId="WideTable">
    <w:name w:val="Wide Table"/>
    <w:basedOn w:val="Normal"/>
    <w:rsid w:val="0071204D"/>
    <w:pPr>
      <w:ind w:left="-1418"/>
    </w:pPr>
    <w:rPr>
      <w:sz w:val="2"/>
      <w:szCs w:val="2"/>
    </w:rPr>
  </w:style>
  <w:style w:type="character" w:styleId="PageNumber">
    <w:name w:val="page number"/>
    <w:basedOn w:val="DefaultParagraphFont"/>
    <w:rsid w:val="0071204D"/>
  </w:style>
  <w:style w:type="paragraph" w:styleId="Quote">
    <w:name w:val="Quote"/>
    <w:basedOn w:val="Heading1"/>
    <w:link w:val="QuoteChar"/>
    <w:qFormat/>
    <w:rsid w:val="0071204D"/>
    <w:rPr>
      <w:b w:val="0"/>
      <w:sz w:val="72"/>
      <w:szCs w:val="72"/>
      <w:lang w:val="en-NZ"/>
    </w:rPr>
  </w:style>
  <w:style w:type="character" w:customStyle="1" w:styleId="QuoteChar">
    <w:name w:val="Quote Char"/>
    <w:basedOn w:val="DefaultParagraphFont"/>
    <w:link w:val="Quote"/>
    <w:rsid w:val="00712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04D"/>
    <w:pPr>
      <w:pageBreakBefore/>
    </w:pPr>
  </w:style>
  <w:style w:type="paragraph" w:customStyle="1" w:styleId="Border">
    <w:name w:val="Border"/>
    <w:basedOn w:val="Normal"/>
    <w:qFormat/>
    <w:rsid w:val="00712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04D"/>
    <w:rPr>
      <w:b/>
      <w:bCs/>
      <w:i/>
      <w:iCs/>
      <w:color w:val="auto"/>
    </w:rPr>
  </w:style>
  <w:style w:type="paragraph" w:styleId="IntenseQuote">
    <w:name w:val="Intense Quote"/>
    <w:basedOn w:val="Normal"/>
    <w:next w:val="Normal"/>
    <w:link w:val="IntenseQuoteChar"/>
    <w:uiPriority w:val="30"/>
    <w:qFormat/>
    <w:rsid w:val="00712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04D"/>
    <w:rPr>
      <w:smallCaps/>
      <w:color w:val="auto"/>
      <w:u w:val="single"/>
    </w:rPr>
  </w:style>
  <w:style w:type="character" w:styleId="IntenseReference">
    <w:name w:val="Intense Reference"/>
    <w:basedOn w:val="DefaultParagraphFont"/>
    <w:uiPriority w:val="32"/>
    <w:qFormat/>
    <w:rsid w:val="0071204D"/>
    <w:rPr>
      <w:b/>
      <w:bCs/>
      <w:smallCaps/>
      <w:color w:val="auto"/>
      <w:spacing w:val="5"/>
      <w:u w:val="single"/>
    </w:rPr>
  </w:style>
  <w:style w:type="paragraph" w:customStyle="1" w:styleId="2ColumnHeading">
    <w:name w:val="2Column Heading"/>
    <w:basedOn w:val="BodyText"/>
    <w:qFormat/>
    <w:rsid w:val="0071204D"/>
    <w:pPr>
      <w:spacing w:after="60"/>
      <w:ind w:left="-2268"/>
    </w:pPr>
    <w:rPr>
      <w:b/>
    </w:rPr>
  </w:style>
  <w:style w:type="paragraph" w:customStyle="1" w:styleId="Heading1TOC">
    <w:name w:val="Heading1 TOC"/>
    <w:basedOn w:val="Normal"/>
    <w:qFormat/>
    <w:rsid w:val="0071204D"/>
    <w:pPr>
      <w:spacing w:before="240" w:after="120"/>
    </w:pPr>
    <w:rPr>
      <w:rFonts w:ascii="Times New Roman" w:hAnsi="Times New Roman"/>
      <w:b/>
      <w:sz w:val="32"/>
    </w:rPr>
  </w:style>
  <w:style w:type="paragraph" w:customStyle="1" w:styleId="Heading2TOC">
    <w:name w:val="Heading2 TOC"/>
    <w:basedOn w:val="Normal"/>
    <w:qFormat/>
    <w:rsid w:val="0071204D"/>
    <w:pPr>
      <w:spacing w:before="240" w:after="60"/>
    </w:pPr>
    <w:rPr>
      <w:rFonts w:ascii="Times New Roman" w:hAnsi="Times New Roman"/>
      <w:b/>
      <w:sz w:val="28"/>
    </w:rPr>
  </w:style>
  <w:style w:type="character" w:customStyle="1" w:styleId="Underline">
    <w:name w:val="Underline"/>
    <w:basedOn w:val="DefaultParagraphFont"/>
    <w:qFormat/>
    <w:rsid w:val="0071204D"/>
    <w:rPr>
      <w:u w:val="single"/>
    </w:rPr>
  </w:style>
  <w:style w:type="character" w:customStyle="1" w:styleId="BoldandItalics">
    <w:name w:val="Bold and Italics"/>
    <w:qFormat/>
    <w:rsid w:val="0071204D"/>
    <w:rPr>
      <w:b/>
      <w:i/>
      <w:u w:val="none"/>
    </w:rPr>
  </w:style>
  <w:style w:type="paragraph" w:styleId="BalloonText">
    <w:name w:val="Balloon Text"/>
    <w:basedOn w:val="Normal"/>
    <w:link w:val="BalloonTextChar"/>
    <w:rsid w:val="0071204D"/>
    <w:rPr>
      <w:rFonts w:ascii="Tahoma" w:hAnsi="Tahoma" w:cs="Tahoma"/>
      <w:sz w:val="16"/>
      <w:szCs w:val="16"/>
    </w:rPr>
  </w:style>
  <w:style w:type="character" w:customStyle="1" w:styleId="BalloonTextChar">
    <w:name w:val="Balloon Text Char"/>
    <w:basedOn w:val="DefaultParagraphFont"/>
    <w:link w:val="BalloonText"/>
    <w:rsid w:val="00712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0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04D"/>
    <w:rPr>
      <w:b/>
      <w:color w:val="660033"/>
      <w:spacing w:val="0"/>
    </w:rPr>
  </w:style>
  <w:style w:type="paragraph" w:customStyle="1" w:styleId="Nameditemlist">
    <w:name w:val="Named item list"/>
    <w:basedOn w:val="BodyText"/>
    <w:qFormat/>
    <w:rsid w:val="007120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2006</Words>
  <Characters>12443</Characters>
  <Application>Microsoft Office Word</Application>
  <DocSecurity>0</DocSecurity>
  <Lines>448</Lines>
  <Paragraphs>174</Paragraphs>
  <ScaleCrop>false</ScaleCrop>
  <Company>Author-it Software Corporation Ltd.</Company>
  <LinksUpToDate>false</LinksUpToDate>
  <CharactersWithSpaces>14320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UEENEEH186A Commission satellite and microwave communication systems</dc:title>
  <dc:subject>Approved</dc:subject>
  <dc:creator>E-OZ Training Standards</dc:creator>
  <cp:keywords>Release: 2</cp:keywords>
  <dc:description>Review Date: 12 April 2008</dc:description>
  <cp:lastModifiedBy>TPCMS</cp:lastModifiedBy>
  <cp:revision>3</cp:revision>
  <dcterms:created xsi:type="dcterms:W3CDTF">2013-08-14T07:01:00Z</dcterms:created>
  <dcterms:modified xsi:type="dcterms:W3CDTF">2013-08-14T07:01:00Z</dcterms:modified>
</cp:coreProperties>
</file>