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C28" w:rsidP="007C2C28">
      <w:pPr>
        <w:pStyle w:val="Title"/>
      </w:pPr>
      <w:r>
        <w:fldChar w:fldCharType="begin"/>
      </w:r>
      <w:r>
        <w:instrText xml:space="preserve"> TITLE   \* MERGEFORMAT </w:instrText>
      </w:r>
      <w:r>
        <w:fldChar w:fldCharType="separate"/>
      </w:r>
      <w:r>
        <w:t>UEENEEH184A Modify digital signal processing (DSP) based sub-systems</w:t>
      </w:r>
      <w:r>
        <w:fldChar w:fldCharType="end"/>
      </w:r>
    </w:p>
    <w:p w:rsidR="007C2C28" w:rsidP="007C2C28">
      <w:pPr>
        <w:pStyle w:val="Version"/>
        <w:sectPr w:rsidSect="00CD15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542" w:rsidP="00CD1542">
      <w:pPr>
        <w:pStyle w:val="SuperHeading"/>
      </w:pPr>
      <w:r w:rsidRPr="00CD1542">
        <w:t>UEENEEH184A Modify digital signal processing (DSP) based sub-systems</w:t>
      </w:r>
    </w:p>
    <w:p w:rsidR="00000000" w:rsidRPr="00CD1542" w:rsidP="00CD1542">
      <w:pPr>
        <w:pStyle w:val="Heading1"/>
      </w:pPr>
      <w:bookmarkStart w:id="1" w:name="O_588562"/>
      <w:bookmarkEnd w:id="1"/>
      <w:r w:rsidRPr="00CD1542">
        <w:t>Modification History</w:t>
      </w:r>
    </w:p>
    <w:p w:rsidR="00000000" w:rsidRPr="00CD1542" w:rsidP="00CD1542">
      <w:pPr>
        <w:pStyle w:val="BodyText"/>
      </w:pPr>
      <w:r w:rsidRPr="00CD1542">
        <w:t>Not applicable.</w:t>
      </w:r>
    </w:p>
    <w:p w:rsidR="00000000" w:rsidRPr="00CD1542" w:rsidP="00CD1542">
      <w:pPr>
        <w:pStyle w:val="AllowPageBreak"/>
      </w:pPr>
    </w:p>
    <w:p w:rsidR="00000000" w:rsidRPr="00CD1542" w:rsidP="00CD1542">
      <w:pPr>
        <w:pStyle w:val="Heading1"/>
      </w:pPr>
      <w:bookmarkStart w:id="2" w:name="O_588561"/>
      <w:bookmarkEnd w:id="2"/>
      <w:r w:rsidRPr="00CD1542">
        <w:t>Unit Descriptor</w:t>
      </w:r>
    </w:p>
    <w:tbl>
      <w:tblPr>
        <w:tblW w:w="0" w:type="auto"/>
        <w:tblLayout w:type="fixed"/>
        <w:tblCellMar>
          <w:left w:w="62" w:type="dxa"/>
          <w:right w:w="62" w:type="dxa"/>
        </w:tblCellMar>
        <w:tblLook w:val="0000"/>
      </w:tblPr>
      <w:tblGrid>
        <w:gridCol w:w="2700"/>
        <w:gridCol w:w="5760"/>
      </w:tblGrid>
      <w:tr w:rsidTr="007C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1)</w:t>
            </w:r>
            <w:r w:rsidRPr="00CD1542">
              <w:t xml:space="preserve"> </w:t>
            </w:r>
            <w:r w:rsidRPr="00CD1542">
              <w:rPr>
                <w:rStyle w:val="SpecialBold"/>
              </w:rPr>
              <w:t>Scope:</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15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1.1) Descriptor</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This unit covers modifying electronic DSP based sub-systems. It encompasses working safely, following design brief, apply knowledge of digital and analogue devices, interpreting device specifications, constructing prototypes, testing developed system proto</w:t>
            </w:r>
            <w:r w:rsidRPr="00CD1542">
              <w:t>type operation and documenting design and development work.</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3" w:name="O_588560"/>
      <w:bookmarkEnd w:id="3"/>
      <w:r w:rsidRPr="00CD1542">
        <w:t>Application of the Unit</w:t>
      </w:r>
    </w:p>
    <w:tbl>
      <w:tblPr>
        <w:tblW w:w="0" w:type="auto"/>
        <w:tblLayout w:type="fixed"/>
        <w:tblCellMar>
          <w:left w:w="62" w:type="dxa"/>
          <w:right w:w="62" w:type="dxa"/>
        </w:tblCellMar>
        <w:tblLook w:val="0000"/>
      </w:tblPr>
      <w:tblGrid>
        <w:gridCol w:w="2672"/>
        <w:gridCol w:w="5699"/>
      </w:tblGrid>
      <w:tr w:rsidTr="007C2C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2)</w:t>
            </w:r>
          </w:p>
        </w:tc>
      </w:tr>
      <w:tr w:rsidTr="007C2C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 xml:space="preserve">This unit is intended for </w:t>
            </w:r>
            <w:r w:rsidRPr="00CD1542">
              <w:t>competency development entry-level employment based programs incorporated in approved contracts of training or approved training programs. It is intended to apply to any formal recognition for this standard at the aligned AQF 6 level.</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4" w:name="O_588559"/>
      <w:bookmarkEnd w:id="4"/>
      <w:r w:rsidRPr="00CD1542">
        <w:t>Li</w:t>
      </w:r>
      <w:r w:rsidRPr="00CD1542">
        <w:t>censing/Regulatory Information</w:t>
      </w:r>
    </w:p>
    <w:tbl>
      <w:tblPr>
        <w:tblW w:w="0" w:type="auto"/>
        <w:tblLayout w:type="fixed"/>
        <w:tblCellMar>
          <w:left w:w="62" w:type="dxa"/>
          <w:right w:w="62" w:type="dxa"/>
        </w:tblCellMar>
        <w:tblLook w:val="0000"/>
      </w:tblPr>
      <w:tblGrid>
        <w:gridCol w:w="2700"/>
        <w:gridCol w:w="5760"/>
      </w:tblGrid>
      <w:tr w:rsidTr="007C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 xml:space="preserve">3) </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The skills and knowledge described in this unit do not require a license to practice in the workplace. However, practice in this unit is subject to regulations directly related to occupational health</w:t>
            </w:r>
            <w:r w:rsidRPr="00CD1542">
              <w:t xml:space="preserve"> and safety and where applicable contracts of training such as apprenticeships.</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5" w:name="O_588558"/>
      <w:bookmarkEnd w:id="5"/>
      <w:r w:rsidRPr="00CD1542">
        <w:t>Pre-Requisites</w:t>
      </w:r>
    </w:p>
    <w:tbl>
      <w:tblPr>
        <w:tblW w:w="0" w:type="auto"/>
        <w:tblLayout w:type="fixed"/>
        <w:tblCellMar>
          <w:left w:w="62" w:type="dxa"/>
          <w:right w:w="62" w:type="dxa"/>
        </w:tblCellMar>
        <w:tblLook w:val="0000"/>
      </w:tblPr>
      <w:tblGrid>
        <w:gridCol w:w="2700"/>
        <w:gridCol w:w="1440"/>
        <w:gridCol w:w="4320"/>
      </w:tblGrid>
      <w:tr w:rsidTr="007C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 xml:space="preserve">4) </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4.1)</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Granting competency in this unit shall be made only after competency in the following unit(s) has/have been confirmed.</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 xml:space="preserve">UEENEEE101A </w:t>
            </w:r>
          </w:p>
        </w:tc>
        <w:tc>
          <w:tcPr>
            <w:tcW w:w="432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 xml:space="preserve">Apply Occupational Health and Safety regulations, codes and practices in the workplace </w:t>
            </w:r>
          </w:p>
        </w:tc>
      </w:tr>
    </w:tbl>
    <w:p w:rsidR="00000000" w:rsidRPr="00CD1542" w:rsidP="00CD154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C2C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4.</w:t>
            </w:r>
            <w:r w:rsidRPr="00CD1542">
              <w:rPr>
                <w:rStyle w:val="SpecialBold"/>
              </w:rPr>
              <w:t xml:space="preserve">2) </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D1542">
            <w:pPr>
              <w:pStyle w:val="BodyText"/>
              <w:rPr>
                <w:lang w:val="en-NZ"/>
              </w:rPr>
            </w:pP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Reading</w:t>
            </w:r>
          </w:p>
        </w:tc>
        <w:tc>
          <w:tcPr>
            <w:tcW w:w="81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5</w:t>
            </w:r>
          </w:p>
        </w:tc>
        <w:tc>
          <w:tcPr>
            <w:tcW w:w="99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Writing</w:t>
            </w: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5</w:t>
            </w:r>
          </w:p>
        </w:tc>
        <w:tc>
          <w:tcPr>
            <w:tcW w:w="12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Numeracy</w:t>
            </w:r>
          </w:p>
        </w:tc>
        <w:tc>
          <w:tcPr>
            <w:tcW w:w="72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5</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6" w:name="O_588557"/>
      <w:bookmarkEnd w:id="6"/>
      <w:r w:rsidRPr="00CD1542">
        <w:t>Employability Skills Information</w:t>
      </w:r>
    </w:p>
    <w:tbl>
      <w:tblPr>
        <w:tblW w:w="0" w:type="auto"/>
        <w:tblLayout w:type="fixed"/>
        <w:tblCellMar>
          <w:left w:w="62" w:type="dxa"/>
          <w:right w:w="62" w:type="dxa"/>
        </w:tblCellMar>
        <w:tblLook w:val="0000"/>
      </w:tblPr>
      <w:tblGrid>
        <w:gridCol w:w="2700"/>
        <w:gridCol w:w="5760"/>
      </w:tblGrid>
      <w:tr w:rsidTr="007C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 xml:space="preserve">5) </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This unit contains Employability Skills</w:t>
            </w:r>
          </w:p>
          <w:p w:rsidR="00000000" w:rsidRPr="00CD1542" w:rsidP="00CD1542">
            <w:pPr>
              <w:pStyle w:val="BodyText"/>
            </w:pPr>
            <w:r w:rsidRPr="00CD154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D1542">
              <w:t>requirements.</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7" w:name="O_588556"/>
      <w:bookmarkEnd w:id="7"/>
      <w:r w:rsidRPr="00CD1542">
        <w:t>Elements and Performance Criteria Pre-Content</w:t>
      </w:r>
    </w:p>
    <w:tbl>
      <w:tblPr>
        <w:tblW w:w="0" w:type="auto"/>
        <w:tblLayout w:type="fixed"/>
        <w:tblCellMar>
          <w:left w:w="62" w:type="dxa"/>
          <w:right w:w="62" w:type="dxa"/>
        </w:tblCellMar>
        <w:tblLook w:val="0000"/>
      </w:tblPr>
      <w:tblGrid>
        <w:gridCol w:w="2700"/>
        <w:gridCol w:w="5760"/>
      </w:tblGrid>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6)</w:t>
            </w:r>
            <w:r w:rsidRPr="00CD154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Performance Criteria describe the required performance needed to demonstrate achievement of the element. Assessment of performance is to be consistent with the Evidence Guide.</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8" w:name="O_588555"/>
      <w:bookmarkEnd w:id="8"/>
      <w:r w:rsidRPr="00CD154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C2C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PERFORMANCE CRITER</w:t>
            </w:r>
            <w:r w:rsidRPr="00CD1542">
              <w:rPr>
                <w:rStyle w:val="SpecialBold"/>
              </w:rPr>
              <w:t>IA</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1</w:t>
            </w:r>
          </w:p>
        </w:tc>
        <w:tc>
          <w:tcPr>
            <w:tcW w:w="2296"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Prepare to modify DSP based systems</w:t>
            </w: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1.1</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OHS processes and procedures for a given work area are obtained and understood.</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1.2</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Established OHS risk control measures and procedures are followed in preparation for the work.</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1.3</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The extent of the proposed electronic DSP based system is determined from the design brief or in consultations with appropriate person(s)</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1.4</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Design development work is planned to meet scheduled timelines in consultation with others involved on the work site</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1.5</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Materials and devices/components required for the work are determined on compatibility of their specifications with DSP based system</w:t>
            </w:r>
            <w:r w:rsidRPr="00CD1542">
              <w:t xml:space="preserve"> requirements and project budget constraints.</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w:t>
            </w:r>
          </w:p>
        </w:tc>
        <w:tc>
          <w:tcPr>
            <w:tcW w:w="2296"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Modify DSP based systems</w:t>
            </w: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2.1</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OHS risk control measures and procedures are followed.</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2.2</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Knowledge of digital and analogue elements used in DSP based systems and compliance standards are applied to the des</w:t>
            </w:r>
            <w:r w:rsidRPr="00CD1542">
              <w:t>ign</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2.3</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Alternative arrangements for the modification are considered based on the requirements outlined in the design brief.</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2.4</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Safety, functional and budget considerations are incorporated in the design.</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2.5</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Prototype devices and circuits are constructed, programmed and tested for compliance with the design brief and regulatory requirements.</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2.6</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Prototype malfunctions are rectified and retested to ensure effective operation of design.</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2.7</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DSP based system modification is documented for submission to appropriate person(s) for approval</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2.8</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Solutions to unplanned situation are provided consistent with organisation policy.</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3</w:t>
            </w:r>
          </w:p>
        </w:tc>
        <w:tc>
          <w:tcPr>
            <w:tcW w:w="2296"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Obtain approval for electronic DSP based systems modification</w:t>
            </w: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3.1</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DSP based system modification is presented and explained to client representative and/or other relevant person(s).</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3.2</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Requests for alterations to the design are negotiated with relevant person(s) within the constraints of organisation policy.</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3.3</w:t>
            </w:r>
          </w:p>
        </w:tc>
        <w:tc>
          <w:tcPr>
            <w:tcW w:w="48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Fi</w:t>
            </w:r>
            <w:r w:rsidRPr="00CD1542">
              <w:t>nal design is documented and approval obtained from appropriate person(s).</w:t>
            </w:r>
          </w:p>
        </w:tc>
      </w:tr>
      <w:tr w:rsidTr="007C2C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t>3.4</w:t>
            </w:r>
          </w:p>
        </w:tc>
        <w:tc>
          <w:tcPr>
            <w:tcW w:w="48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Quality of work is monitored against personal performance agreement and/or established organizational or professional standards</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9" w:name="O_588554"/>
      <w:bookmarkEnd w:id="9"/>
      <w:r w:rsidRPr="00CD1542">
        <w:t>Required Skills and Knowledge</w:t>
      </w:r>
    </w:p>
    <w:tbl>
      <w:tblPr>
        <w:tblW w:w="0" w:type="auto"/>
        <w:tblLayout w:type="fixed"/>
        <w:tblCellMar>
          <w:left w:w="62" w:type="dxa"/>
          <w:right w:w="62" w:type="dxa"/>
        </w:tblCellMar>
        <w:tblLook w:val="0000"/>
      </w:tblPr>
      <w:tblGrid>
        <w:gridCol w:w="8460"/>
      </w:tblGrid>
      <w:tr w:rsidTr="007C2C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REQUIRED SKILLS AND KNOWLEDGE</w:t>
            </w:r>
          </w:p>
        </w:tc>
      </w:tr>
      <w:tr w:rsidTr="007C2C2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8)</w:t>
            </w:r>
            <w:r w:rsidRPr="00CD1542">
              <w:t xml:space="preserve">  This describes the essential skills and knowledge and their level, required for this unit.</w:t>
            </w:r>
          </w:p>
          <w:p w:rsidR="00000000" w:rsidRPr="00CD1542" w:rsidP="00CD1542">
            <w:pPr>
              <w:pStyle w:val="BodyText"/>
            </w:pPr>
            <w:r w:rsidRPr="00CD1542">
              <w:t xml:space="preserve">Evidence shall show that knowledge has been acquired of safe working practices and modifying DSP based systems. </w:t>
            </w:r>
          </w:p>
          <w:p w:rsidR="00000000" w:rsidRPr="00CD1542" w:rsidP="00CD1542">
            <w:pPr>
              <w:pStyle w:val="BodyText"/>
            </w:pPr>
            <w:r w:rsidRPr="00CD1542">
              <w:t>All knowledge and skills detailed in this unit should be contextualised to current industry practices and technologies.</w:t>
            </w:r>
          </w:p>
          <w:p w:rsidR="00000000" w:rsidRPr="00CD1542" w:rsidP="00CD1542">
            <w:pPr>
              <w:pStyle w:val="BodyText"/>
            </w:pPr>
            <w:r w:rsidRPr="00CD1542">
              <w:rPr>
                <w:rStyle w:val="SpecialBold"/>
              </w:rPr>
              <w:t>KS01-EH184A</w:t>
            </w:r>
            <w:r w:rsidRPr="00CD1542">
              <w:rPr>
                <w:rStyle w:val="SpecialBold"/>
              </w:rPr>
              <w:tab/>
              <w:t xml:space="preserve">           </w:t>
            </w:r>
            <w:r w:rsidRPr="00CD1542">
              <w:rPr>
                <w:rStyle w:val="SpecialBold"/>
              </w:rPr>
              <w:t xml:space="preserve">   Digital Signal Processing </w:t>
            </w:r>
          </w:p>
          <w:p w:rsidR="00000000" w:rsidRPr="00CD1542" w:rsidP="00CD1542">
            <w:pPr>
              <w:pStyle w:val="BodyText"/>
            </w:pPr>
            <w:r w:rsidRPr="00CD1542">
              <w:t>Evidence shall show an understanding of digital signal processing, applying safe working practices and relevant Standards, Codes and Regulations to an extent indicated by the following aspects:</w:t>
            </w:r>
          </w:p>
          <w:p w:rsidR="00000000" w:rsidRPr="00CD1542" w:rsidP="00CD1542">
            <w:pPr>
              <w:pStyle w:val="BodyText"/>
            </w:pPr>
            <w:r w:rsidRPr="00CD1542">
              <w:t>T1. DSP development technologies</w:t>
            </w:r>
          </w:p>
          <w:p w:rsidR="00000000" w:rsidRPr="00CD1542" w:rsidP="00CD1542">
            <w:pPr>
              <w:pStyle w:val="BodyText"/>
            </w:pPr>
            <w:r w:rsidRPr="00CD1542">
              <w:t>T2.</w:t>
            </w:r>
            <w:r w:rsidRPr="00CD1542">
              <w:tab/>
              <w:t>Infinite Impulse Response (IIR) filter encompassing:</w:t>
            </w:r>
          </w:p>
          <w:p w:rsidR="00000000" w:rsidRPr="00CD1542" w:rsidP="00CD1542">
            <w:pPr>
              <w:pStyle w:val="ListBullet"/>
            </w:pPr>
            <w:r w:rsidRPr="00CD1542">
              <w:t>pole-zero placement method to obtain coefficients for a simple first-order and second-order low-pass and band-pass IIR filter.</w:t>
            </w:r>
          </w:p>
          <w:p w:rsidR="00000000" w:rsidRPr="00CD1542" w:rsidP="00CD1542">
            <w:pPr>
              <w:pStyle w:val="ListBullet"/>
            </w:pPr>
            <w:r w:rsidRPr="00CD1542">
              <w:t>direct-form realisation of a simple IIR filter suitable for sin(x)/x c</w:t>
            </w:r>
            <w:r w:rsidRPr="00CD1542">
              <w:t>ompensation.</w:t>
            </w:r>
          </w:p>
          <w:p w:rsidR="00000000" w:rsidRPr="00CD1542" w:rsidP="00CD1542">
            <w:pPr>
              <w:pStyle w:val="ListBullet"/>
            </w:pPr>
            <w:r w:rsidRPr="00CD1542">
              <w:t xml:space="preserve">DSP system </w:t>
            </w:r>
          </w:p>
          <w:p w:rsidR="00000000" w:rsidRPr="00CD1542" w:rsidP="00CD1542">
            <w:pPr>
              <w:pStyle w:val="BodyText"/>
            </w:pPr>
            <w:r w:rsidRPr="00CD1542">
              <w:t>T3 High-order IIR filter encompassing:</w:t>
            </w:r>
          </w:p>
          <w:p w:rsidR="00000000" w:rsidRPr="00CD1542" w:rsidP="00CD1542">
            <w:pPr>
              <w:pStyle w:val="ListBullet"/>
            </w:pPr>
            <w:r w:rsidRPr="00CD1542">
              <w:t>filter design package to obtain the coefficients for a high-order IIR filter</w:t>
            </w:r>
          </w:p>
          <w:p w:rsidR="00000000" w:rsidRPr="00CD1542" w:rsidP="00CD1542">
            <w:pPr>
              <w:pStyle w:val="ListBullet"/>
            </w:pPr>
            <w:r w:rsidRPr="00CD1542">
              <w:t>high-order IIR filter would be realised using a cascade or a parallel combination of first-order or second-order I</w:t>
            </w:r>
            <w:r w:rsidRPr="00CD1542">
              <w:t>IR filter blocks.</w:t>
            </w:r>
          </w:p>
          <w:p w:rsidR="00000000" w:rsidRPr="00CD1542" w:rsidP="00CD1542">
            <w:pPr>
              <w:pStyle w:val="ListBullet"/>
            </w:pPr>
            <w:r w:rsidRPr="00CD1542">
              <w:t>effect of coefficient quantisation errors and calculation rounding-off errors on filter performance.</w:t>
            </w:r>
          </w:p>
          <w:p w:rsidR="00000000" w:rsidRPr="00CD1542" w:rsidP="00CD1542">
            <w:pPr>
              <w:pStyle w:val="ListBullet"/>
            </w:pPr>
            <w:r w:rsidRPr="00CD1542">
              <w:t>IR filters and symmetrical FIR filters</w:t>
            </w:r>
          </w:p>
          <w:p w:rsidR="00000000" w:rsidRPr="00CD1542" w:rsidP="00CD1542">
            <w:pPr>
              <w:pStyle w:val="BodyText"/>
            </w:pPr>
            <w:r w:rsidRPr="00CD1542">
              <w:t>T4 Discrete Fourier Transform (DFT) to a signal encompassing:</w:t>
            </w:r>
          </w:p>
          <w:p w:rsidR="00000000" w:rsidRPr="00CD1542" w:rsidP="00CD1542">
            <w:pPr>
              <w:pStyle w:val="ListBullet"/>
            </w:pPr>
            <w:r w:rsidRPr="00CD1542">
              <w:t>discrete correlation.</w:t>
            </w:r>
          </w:p>
          <w:p w:rsidR="00000000" w:rsidRPr="00CD1542" w:rsidP="00CD1542">
            <w:pPr>
              <w:pStyle w:val="ListBullet"/>
            </w:pPr>
            <w:r w:rsidRPr="00CD1542">
              <w:t>signal-detect</w:t>
            </w:r>
            <w:r w:rsidRPr="00CD1542">
              <w:t>ion.</w:t>
            </w:r>
          </w:p>
          <w:p w:rsidR="00000000" w:rsidRPr="00CD1542" w:rsidP="00CD1542">
            <w:pPr>
              <w:pStyle w:val="ListBullet"/>
            </w:pPr>
            <w:r w:rsidRPr="00CD1542">
              <w:t>correlation used to generate DFT.</w:t>
            </w:r>
          </w:p>
          <w:p w:rsidR="00000000" w:rsidRPr="00CD1542" w:rsidP="00CD1542">
            <w:pPr>
              <w:pStyle w:val="ListBullet"/>
            </w:pPr>
            <w:r w:rsidRPr="00CD1542">
              <w:t>window-function when generating the DFT.</w:t>
            </w:r>
          </w:p>
          <w:p w:rsidR="00000000" w:rsidRPr="00CD1542" w:rsidP="00CD1542">
            <w:pPr>
              <w:pStyle w:val="BodyText"/>
            </w:pPr>
            <w:r w:rsidRPr="00CD1542">
              <w:t>T5 Concept of complex signals encompassing:</w:t>
            </w:r>
          </w:p>
          <w:p w:rsidR="00000000" w:rsidRPr="00CD1542" w:rsidP="00CD1542">
            <w:pPr>
              <w:pStyle w:val="ListBullet"/>
            </w:pPr>
            <w:r w:rsidRPr="00CD1542">
              <w:t>positive-frequency and a negative frequency signal.</w:t>
            </w:r>
          </w:p>
          <w:p w:rsidR="00000000" w:rsidRPr="00CD1542" w:rsidP="00CD1542">
            <w:pPr>
              <w:pStyle w:val="ListBullet"/>
            </w:pPr>
            <w:r w:rsidRPr="00CD1542">
              <w:t>exponential and polar form of sinusoidal signal and a complex sinusoidal signal</w:t>
            </w:r>
            <w:r w:rsidRPr="00CD1542">
              <w:t>.</w:t>
            </w:r>
          </w:p>
          <w:p w:rsidR="00000000" w:rsidRPr="00CD1542" w:rsidP="00CD1542">
            <w:pPr>
              <w:pStyle w:val="ListBullet"/>
            </w:pPr>
            <w:r w:rsidRPr="00CD1542">
              <w:t>spectra of a general signal having equal real and imaginary components. (An “analytic” or “quadrature” signal).</w:t>
            </w:r>
          </w:p>
          <w:p w:rsidR="00000000" w:rsidRPr="00CD1542" w:rsidP="00CD1542">
            <w:pPr>
              <w:pStyle w:val="ListBullet"/>
            </w:pPr>
            <w:r w:rsidRPr="00CD1542">
              <w:t>analytic signals simplification filtering operations</w:t>
            </w:r>
          </w:p>
          <w:p w:rsidR="00000000" w:rsidRPr="00CD1542" w:rsidP="00CD1542">
            <w:pPr>
              <w:pStyle w:val="BodyText"/>
            </w:pPr>
            <w:r w:rsidRPr="00CD1542">
              <w:t>T6 Fast Fourier Transform (FFT) encompassing:</w:t>
            </w:r>
          </w:p>
          <w:p w:rsidR="00000000" w:rsidRPr="00CD1542" w:rsidP="00CD1542">
            <w:pPr>
              <w:pStyle w:val="ListBullet"/>
            </w:pPr>
            <w:r w:rsidRPr="00CD1542">
              <w:t>Decimation in Time FFT, and the “</w:t>
            </w:r>
            <w:r w:rsidRPr="00CD1542">
              <w:t>twiddle factor”.</w:t>
            </w:r>
          </w:p>
          <w:p w:rsidR="00000000" w:rsidRPr="00CD1542" w:rsidP="00CD1542">
            <w:pPr>
              <w:pStyle w:val="ListBullet"/>
            </w:pPr>
            <w:r w:rsidRPr="00CD1542">
              <w:t>sample-frequency and number of signal samples needed for a FFT.</w:t>
            </w:r>
          </w:p>
          <w:p w:rsidR="00000000" w:rsidRPr="00CD1542" w:rsidP="00CD1542">
            <w:pPr>
              <w:pStyle w:val="ListBullet"/>
            </w:pPr>
            <w:r w:rsidRPr="00CD1542">
              <w:t>FFT routine.</w:t>
            </w:r>
          </w:p>
          <w:p w:rsidR="00000000" w:rsidRPr="00CD1542" w:rsidP="00CD1542">
            <w:pPr>
              <w:pStyle w:val="BodyText"/>
            </w:pPr>
            <w:r w:rsidRPr="00CD1542">
              <w:t>T7 FIR filtering using FFT encompassing:</w:t>
            </w:r>
          </w:p>
          <w:p w:rsidR="00000000" w:rsidRPr="00CD1542" w:rsidP="00CD1542">
            <w:pPr>
              <w:pStyle w:val="ListBullet"/>
            </w:pPr>
            <w:r w:rsidRPr="00CD1542">
              <w:t>overlap, save method of implementing a long FIR filter using the FFT and the inverse FFT.</w:t>
            </w:r>
          </w:p>
          <w:p w:rsidR="00000000" w:rsidRPr="00CD1542" w:rsidP="00CD1542">
            <w:pPr>
              <w:pStyle w:val="ListBullet"/>
            </w:pPr>
            <w:r w:rsidRPr="00CD1542">
              <w:t>limitations on the stored freq</w:t>
            </w:r>
            <w:r w:rsidRPr="00CD1542">
              <w:t>uency-response coefficients and the resulting impulse-response.</w:t>
            </w:r>
          </w:p>
          <w:p w:rsidR="00000000" w:rsidRPr="00CD1542" w:rsidP="00CD1542">
            <w:pPr>
              <w:pStyle w:val="BodyText"/>
            </w:pPr>
            <w:r w:rsidRPr="00CD1542">
              <w:t>T8 Data-rate conversion encompassing:</w:t>
            </w:r>
          </w:p>
          <w:p w:rsidR="00000000" w:rsidRPr="00CD1542" w:rsidP="00CD1542">
            <w:pPr>
              <w:pStyle w:val="ListBullet"/>
            </w:pPr>
            <w:r w:rsidRPr="00CD1542">
              <w:t>data-rate conversion (decimation) simplification of the anti-alias filter requirement</w:t>
            </w:r>
          </w:p>
          <w:p w:rsidR="00000000" w:rsidRPr="00CD1542" w:rsidP="00CD1542">
            <w:pPr>
              <w:pStyle w:val="ListBullet"/>
            </w:pPr>
            <w:r w:rsidRPr="00CD1542">
              <w:t>data-rate conversion (interpolation) of the DSP system simplificati</w:t>
            </w:r>
            <w:r w:rsidRPr="00CD1542">
              <w:t>on the reconstruction-filter requirement and reduces the need for sin(x)/x compensation.</w:t>
            </w:r>
          </w:p>
          <w:p w:rsidR="00000000" w:rsidRPr="00CD1542" w:rsidP="00CD1542">
            <w:pPr>
              <w:pStyle w:val="BodyText"/>
            </w:pPr>
            <w:r w:rsidRPr="00CD1542">
              <w:t>T9 Modulation and de-modulation techniques encompassing:</w:t>
            </w:r>
          </w:p>
          <w:p w:rsidR="00000000" w:rsidRPr="00CD1542" w:rsidP="00CD1542">
            <w:pPr>
              <w:pStyle w:val="ListBullet"/>
            </w:pPr>
            <w:r w:rsidRPr="00CD1542">
              <w:t>Spectra where real signals and analytic (quadrature) signals are modulated by a sinusoidal function.</w:t>
            </w:r>
          </w:p>
          <w:p w:rsidR="00000000" w:rsidRPr="00CD1542" w:rsidP="00CD1542">
            <w:pPr>
              <w:pStyle w:val="ListBullet"/>
            </w:pPr>
            <w:r w:rsidRPr="00CD1542">
              <w:t>amplitud</w:t>
            </w:r>
            <w:r w:rsidRPr="00CD1542">
              <w:t xml:space="preserve">e-modulated signal </w:t>
            </w:r>
          </w:p>
          <w:p w:rsidR="00000000" w:rsidRPr="00CD1542" w:rsidP="00CD1542">
            <w:pPr>
              <w:pStyle w:val="ListBullet"/>
            </w:pPr>
            <w:r w:rsidRPr="00CD1542">
              <w:t>single-sideband signal</w:t>
            </w:r>
          </w:p>
          <w:p w:rsidR="00000000" w:rsidRPr="00CD1542" w:rsidP="00CD1542">
            <w:pPr>
              <w:pStyle w:val="BodyText"/>
            </w:pPr>
            <w:r w:rsidRPr="00CD1542">
              <w:t xml:space="preserve">T10 Digital processing steps in practical DSP applications </w:t>
            </w:r>
          </w:p>
          <w:p w:rsidR="00000000" w:rsidRPr="00CD1542" w:rsidP="00CD1542">
            <w:pPr>
              <w:pStyle w:val="BodyText"/>
            </w:pPr>
            <w:r w:rsidRPr="00CD1542">
              <w:t>T11 Currently available DSP support chips</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10" w:name="O_588553"/>
      <w:bookmarkEnd w:id="10"/>
      <w:r w:rsidRPr="00CD1542">
        <w:t>Evidence Guide</w:t>
      </w:r>
    </w:p>
    <w:tbl>
      <w:tblPr>
        <w:tblW w:w="0" w:type="auto"/>
        <w:tblLayout w:type="fixed"/>
        <w:tblCellMar>
          <w:left w:w="62" w:type="dxa"/>
          <w:right w:w="62" w:type="dxa"/>
        </w:tblCellMar>
        <w:tblLook w:val="0000"/>
      </w:tblPr>
      <w:tblGrid>
        <w:gridCol w:w="8460"/>
      </w:tblGrid>
      <w:tr w:rsidTr="007C2C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EVIDENCE GUIDE</w:t>
            </w:r>
          </w:p>
        </w:tc>
      </w:tr>
      <w:tr w:rsidTr="007C2C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9)</w:t>
            </w:r>
            <w:r w:rsidRPr="00CD1542">
              <w:t xml:space="preserve">  The evidence guide provides advice on assessment and must be read in conjunction with the Performance Criteria, Required Skills and Knowledge, the Range Statement and the Assessment Guidelines for this Training Package. .</w:t>
            </w:r>
          </w:p>
          <w:p w:rsidR="00000000" w:rsidRPr="00CD1542" w:rsidP="00CD1542">
            <w:pPr>
              <w:pStyle w:val="BodyText"/>
            </w:pPr>
            <w:r w:rsidRPr="00CD1542">
              <w:t>The Evidence Guide forms an inte</w:t>
            </w:r>
            <w:r w:rsidRPr="00CD1542">
              <w:t>gral part of this unit. It must be used in conjunction with all parts of the unit and performed in accordance with the Assessment Guidelines of this Training Package.</w:t>
            </w:r>
          </w:p>
        </w:tc>
      </w:tr>
    </w:tbl>
    <w:p w:rsidR="00000000" w:rsidRPr="00CD1542" w:rsidP="00CD1542">
      <w:pPr>
        <w:pStyle w:val="BodyText"/>
      </w:pPr>
    </w:p>
    <w:tbl>
      <w:tblPr>
        <w:tblW w:w="0" w:type="auto"/>
        <w:tblLayout w:type="fixed"/>
        <w:tblCellMar>
          <w:left w:w="62" w:type="dxa"/>
          <w:right w:w="62" w:type="dxa"/>
        </w:tblCellMar>
        <w:tblLook w:val="0000"/>
      </w:tblPr>
      <w:tblGrid>
        <w:gridCol w:w="1890"/>
        <w:gridCol w:w="6570"/>
      </w:tblGrid>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9.1)</w:t>
            </w:r>
          </w:p>
        </w:tc>
      </w:tr>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Longitudinal competency develop</w:t>
            </w:r>
            <w:r w:rsidRPr="00CD1542">
              <w:t>ment approaches to assessment, such as Profiling, require data to be reliably gathered in a form that can be consistently interpreted over time. This approach is best utilised in Apprenticeship programs and reduces assessment intervention. It is the Indust</w:t>
            </w:r>
            <w:r w:rsidRPr="00CD1542">
              <w:t>ry-preferred model for apprenticeships. However, where summative (or final) assessment is used it must include the application of the competency in the normal work environment or, at a minimum, the application of the competency in a realistically simulated</w:t>
            </w:r>
            <w:r w:rsidRPr="00CD1542">
              <w:t xml:space="preserve"> work environment. It is recognised that, in some circumstances, assessment in part or full can occur outside the workplace. However, it must be in accord with industry and regulatory policy.</w:t>
            </w:r>
          </w:p>
          <w:p w:rsidR="00000000" w:rsidRPr="00CD1542" w:rsidP="00CD1542">
            <w:pPr>
              <w:pStyle w:val="BodyText"/>
            </w:pPr>
            <w:r w:rsidRPr="00CD1542">
              <w:t>Methods chosen for a particular assessment will be influenced by</w:t>
            </w:r>
            <w:r w:rsidRPr="00CD1542">
              <w:t xml:space="preserve"> various factors. These include the extent of the assessment, the most effective locations for the assessment activities to take place, access to physical resources, additional safety measures that may be required and the critical nature of the competencie</w:t>
            </w:r>
            <w:r w:rsidRPr="00CD1542">
              <w:t>s being assessed.</w:t>
            </w:r>
          </w:p>
          <w:p w:rsidR="00000000" w:rsidRPr="00CD1542" w:rsidP="00CD1542">
            <w:pPr>
              <w:pStyle w:val="BodyText"/>
            </w:pPr>
            <w:r w:rsidRPr="00CD1542">
              <w:t>The critical safety nature of working with electricity, electrical equipment, gas or any other hazardous substance/material carries risk in deeming a person competent. Sources of evidence need to be ‘rich’ in nature to minimise error in j</w:t>
            </w:r>
            <w:r w:rsidRPr="00CD1542">
              <w:t>udgment.</w:t>
            </w:r>
          </w:p>
          <w:p w:rsidR="00000000" w:rsidRPr="00CD1542" w:rsidP="00CD1542">
            <w:pPr>
              <w:pStyle w:val="BodyText"/>
            </w:pPr>
            <w:r w:rsidRPr="00CD1542">
              <w:t>Activities associated with normal everyday work influence decisions about how/how much the data gathered will contribute to its ‘richness’. Some skills are more critical to safety and operational requirements while the same skills may be more or l</w:t>
            </w:r>
            <w:r w:rsidRPr="00CD1542">
              <w:t>ess frequently practised. These points are raised for the assessors to consider when choosing an assessment method and developing assessment instruments. Sample assessment instruments are included for Assessors in the Assessment Guidelines of this Training</w:t>
            </w:r>
            <w:r w:rsidRPr="00CD1542">
              <w:t xml:space="preserve"> Package.</w:t>
            </w:r>
          </w:p>
        </w:tc>
      </w:tr>
    </w:tbl>
    <w:p w:rsidR="00000000" w:rsidRPr="00CD1542" w:rsidP="00CD1542">
      <w:pPr>
        <w:pStyle w:val="BodyText"/>
      </w:pPr>
    </w:p>
    <w:tbl>
      <w:tblPr>
        <w:tblW w:w="0" w:type="auto"/>
        <w:tblLayout w:type="fixed"/>
        <w:tblCellMar>
          <w:left w:w="62" w:type="dxa"/>
          <w:right w:w="62" w:type="dxa"/>
        </w:tblCellMar>
        <w:tblLook w:val="0000"/>
      </w:tblPr>
      <w:tblGrid>
        <w:gridCol w:w="1890"/>
        <w:gridCol w:w="6570"/>
      </w:tblGrid>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9.2)</w:t>
            </w:r>
          </w:p>
        </w:tc>
      </w:tr>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Before the critical aspects of evidence are considered all prerequisites shall be met.</w:t>
            </w:r>
          </w:p>
          <w:p w:rsidR="00000000" w:rsidRPr="00CD1542" w:rsidP="00CD1542">
            <w:pPr>
              <w:pStyle w:val="BodyText"/>
            </w:pPr>
            <w:r w:rsidRPr="00CD1542">
              <w:t>Evidence for competence in this unit shall be considered holistically.  E</w:t>
            </w:r>
            <w:r w:rsidRPr="00CD1542">
              <w:t>ach Element and associated performance criteria shall be demonstrated on at least two occasions in accordance with the ‘Assessment Guidelines – UEE11’.  Evidence shall also comprise:</w:t>
            </w:r>
          </w:p>
          <w:p w:rsidR="00000000" w:rsidRPr="00CD1542" w:rsidP="00CD1542">
            <w:pPr>
              <w:pStyle w:val="ListBullet"/>
            </w:pPr>
            <w:r w:rsidRPr="00CD1542">
              <w:t>A representative body of work performance demonstrated within the timefr</w:t>
            </w:r>
            <w:r w:rsidRPr="00CD1542">
              <w:t>ames typically expected of the discipline, work function and industrial environment. In particular this shall incorporate evidence that shows a candidate is able to:</w:t>
            </w:r>
          </w:p>
          <w:p w:rsidR="00000000" w:rsidRPr="00CD1542" w:rsidP="00CD1542">
            <w:pPr>
              <w:pStyle w:val="ListBullet2"/>
            </w:pPr>
            <w:r w:rsidRPr="00CD1542">
              <w:t xml:space="preserve">Implement Occupational Health and Safety workplace procedures and practices, including </w:t>
            </w:r>
            <w:r w:rsidRPr="00CD1542">
              <w:t>the use of risk control measures as specified in the performance criteria and range statement</w:t>
            </w:r>
          </w:p>
          <w:p w:rsidR="00000000" w:rsidRPr="00CD1542" w:rsidP="00CD1542">
            <w:pPr>
              <w:pStyle w:val="ListBullet2"/>
            </w:pPr>
            <w:r w:rsidRPr="00CD1542">
              <w:t>Apply sustainable energy principles and practices as specified in the performance criteria and range statement</w:t>
            </w:r>
          </w:p>
          <w:p w:rsidR="00000000" w:rsidRPr="00CD1542" w:rsidP="00CD1542">
            <w:pPr>
              <w:pStyle w:val="ListBullet2"/>
            </w:pPr>
            <w:r w:rsidRPr="00CD1542">
              <w:t>Demonstrate an understanding of the essential knowl</w:t>
            </w:r>
            <w:r w:rsidRPr="00CD1542">
              <w:t>edge and associated skills as described in this unit.  It may be required by some jurisdictions that RTOs provide a percentile graded result for the purpose of regulatory or licensing requirements.</w:t>
            </w:r>
          </w:p>
          <w:p w:rsidR="00000000" w:rsidRPr="00CD1542" w:rsidP="00CD1542">
            <w:pPr>
              <w:pStyle w:val="ListBullet2"/>
            </w:pPr>
            <w:r w:rsidRPr="00CD1542">
              <w:t>Demonstrate an appropriate level of skills enabling employ</w:t>
            </w:r>
            <w:r w:rsidRPr="00CD1542">
              <w:t>ment</w:t>
            </w:r>
          </w:p>
          <w:p w:rsidR="00000000" w:rsidRPr="00CD1542" w:rsidP="00CD1542">
            <w:pPr>
              <w:pStyle w:val="ListBullet2"/>
            </w:pPr>
            <w:r w:rsidRPr="00CD1542">
              <w:t>Conduct work observing the relevant Anti Discrimination legislation, regulations, polices and workplace procedures</w:t>
            </w:r>
          </w:p>
          <w:p w:rsidR="00000000" w:rsidRPr="00CD1542" w:rsidP="00CD1542">
            <w:pPr>
              <w:pStyle w:val="ListBullet"/>
            </w:pPr>
            <w:r w:rsidRPr="00CD1542">
              <w:t>Demonstrated consistent performance across a representative range of contexts from the prescribed items below:</w:t>
            </w:r>
          </w:p>
          <w:p w:rsidR="00000000" w:rsidRPr="00CD1542" w:rsidP="00CD1542">
            <w:pPr>
              <w:pStyle w:val="ListBullet2"/>
            </w:pPr>
            <w:r w:rsidRPr="00CD1542">
              <w:t>Modify DSP based system</w:t>
            </w:r>
            <w:r w:rsidRPr="00CD1542">
              <w:t>s as described in 8) and including:</w:t>
            </w:r>
          </w:p>
          <w:p w:rsidR="00000000" w:rsidRPr="00CD1542" w:rsidP="00CD1542">
            <w:pPr>
              <w:pStyle w:val="ListAlpha2"/>
            </w:pPr>
            <w:r w:rsidRPr="00CD1542">
              <w:t>Developing the design modification within the safety and functional requirements and budget limitations.</w:t>
            </w:r>
          </w:p>
          <w:p w:rsidR="00000000" w:rsidRPr="00CD1542" w:rsidP="00CD1542">
            <w:pPr>
              <w:pStyle w:val="ListAlpha2"/>
            </w:pPr>
            <w:r w:rsidRPr="00CD1542">
              <w:t>Documenting and presenting design effectively.</w:t>
            </w:r>
          </w:p>
          <w:p w:rsidR="00000000" w:rsidRPr="00CD1542" w:rsidP="00CD1542">
            <w:pPr>
              <w:pStyle w:val="ListAlpha2"/>
            </w:pPr>
            <w:r w:rsidRPr="00CD1542">
              <w:t>Successfully negotiating design alteration requests.</w:t>
            </w:r>
          </w:p>
          <w:p w:rsidR="00000000" w:rsidRPr="00CD1542" w:rsidP="00CD1542">
            <w:pPr>
              <w:pStyle w:val="ListAlpha2"/>
            </w:pPr>
            <w:r w:rsidRPr="00CD1542">
              <w:t>Obtaining approval for final modification.</w:t>
            </w:r>
          </w:p>
          <w:p w:rsidR="00000000" w:rsidRPr="00CD1542" w:rsidP="00CD1542">
            <w:pPr>
              <w:pStyle w:val="ListAlpha2"/>
            </w:pPr>
            <w:r w:rsidRPr="00CD1542">
              <w:t>Documenting justification of actions to be implemented in accordance with professional standards.</w:t>
            </w:r>
          </w:p>
          <w:p w:rsidR="00000000" w:rsidRPr="00CD1542" w:rsidP="00CD1542">
            <w:pPr>
              <w:pStyle w:val="ListAlpha2"/>
            </w:pPr>
            <w:r w:rsidRPr="00CD1542">
              <w:t>Dealing with unplanned events by drawing on essential knowledg</w:t>
            </w:r>
            <w:r w:rsidRPr="00CD1542">
              <w:t>e and skills to provide appropriate solutions incorporated in a holistic assessment with the above listed items.</w:t>
            </w:r>
          </w:p>
          <w:p w:rsidR="00000000" w:rsidRPr="00CD1542" w:rsidP="00CD1542">
            <w:pPr>
              <w:pStyle w:val="BodyText"/>
            </w:pPr>
            <w:r w:rsidRPr="00CD1542">
              <w:t>Note:</w:t>
            </w:r>
          </w:p>
          <w:p w:rsidR="00000000" w:rsidRPr="00CD1542" w:rsidP="00CD1542">
            <w:pPr>
              <w:pStyle w:val="BodyText"/>
            </w:pPr>
            <w:r w:rsidRPr="00CD1542">
              <w:t>Successful completion of relevant vendor training may be used to contribute to evidence on which competency is deemed. In these cases the</w:t>
            </w:r>
            <w:r w:rsidRPr="00CD1542">
              <w:t xml:space="preserve"> alignment of outcomes of vendor training with performance criteria and critical aspects of evidence shall be clearly identified.</w:t>
            </w:r>
          </w:p>
        </w:tc>
      </w:tr>
    </w:tbl>
    <w:p w:rsidR="00000000" w:rsidRPr="00CD1542" w:rsidP="00CD1542">
      <w:pPr>
        <w:pStyle w:val="BodyText"/>
      </w:pPr>
    </w:p>
    <w:tbl>
      <w:tblPr>
        <w:tblW w:w="0" w:type="auto"/>
        <w:tblLayout w:type="fixed"/>
        <w:tblCellMar>
          <w:left w:w="62" w:type="dxa"/>
          <w:right w:w="62" w:type="dxa"/>
        </w:tblCellMar>
        <w:tblLook w:val="0000"/>
      </w:tblPr>
      <w:tblGrid>
        <w:gridCol w:w="1890"/>
        <w:gridCol w:w="6570"/>
      </w:tblGrid>
      <w:tr w:rsidTr="007C2C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9.3)</w:t>
            </w:r>
          </w:p>
        </w:tc>
      </w:tr>
      <w:tr w:rsidTr="007C2C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This unit should be assessed as it relates to normal work practice using procedures, information and resources typical of a workplace. This should include:</w:t>
            </w:r>
          </w:p>
          <w:p w:rsidR="00000000" w:rsidRPr="00CD1542" w:rsidP="00CD1542">
            <w:pPr>
              <w:pStyle w:val="ListBullet"/>
            </w:pPr>
            <w:r w:rsidRPr="00CD1542">
              <w:t>OHS policy and work procedures and instructions.</w:t>
            </w:r>
          </w:p>
          <w:p w:rsidR="00000000" w:rsidRPr="00CD1542" w:rsidP="00CD1542">
            <w:pPr>
              <w:pStyle w:val="ListBullet"/>
            </w:pPr>
            <w:r w:rsidRPr="00CD1542">
              <w:t>Suitable work environment, facilities, equipment a</w:t>
            </w:r>
            <w:r w:rsidRPr="00CD1542">
              <w:t>nd materials to undertake actual work as prescribed by this unit.</w:t>
            </w:r>
          </w:p>
          <w:p w:rsidR="00000000" w:rsidRPr="00CD1542" w:rsidP="00CD1542">
            <w:pPr>
              <w:pStyle w:val="BodyText"/>
            </w:pPr>
            <w:r w:rsidRPr="00CD1542">
              <w:t>These should be part of the formal learning/assessment environment.</w:t>
            </w:r>
          </w:p>
          <w:p w:rsidR="00000000" w:rsidRPr="00CD1542" w:rsidP="00CD1542">
            <w:pPr>
              <w:pStyle w:val="BodyText"/>
            </w:pPr>
            <w:r w:rsidRPr="00CD1542">
              <w:t>Note:</w:t>
            </w:r>
          </w:p>
          <w:p w:rsidR="00000000" w:rsidRPr="00CD1542" w:rsidP="00CD1542">
            <w:pPr>
              <w:pStyle w:val="BodyText"/>
            </w:pPr>
            <w:r w:rsidRPr="00CD1542">
              <w:t>Where simulation is considered a suitable strategy for assessment, conditions must be authentic and as far as possib</w:t>
            </w:r>
            <w:r w:rsidRPr="00CD1542">
              <w:t>le reproduce and replicate the workplace and be consistent with the approved industry simulation policy.</w:t>
            </w:r>
          </w:p>
          <w:p w:rsidR="00000000" w:rsidRPr="00CD1542" w:rsidP="00CD1542">
            <w:pPr>
              <w:pStyle w:val="BodyText"/>
            </w:pPr>
            <w:r w:rsidRPr="00CD1542">
              <w:t>The resources used for assessment should reflect current industry practices in relation to modifying DSP based systems.</w:t>
            </w:r>
          </w:p>
        </w:tc>
      </w:tr>
    </w:tbl>
    <w:p w:rsidR="00000000" w:rsidRPr="00CD1542" w:rsidP="00CD1542">
      <w:pPr>
        <w:pStyle w:val="BodyText"/>
      </w:pPr>
    </w:p>
    <w:tbl>
      <w:tblPr>
        <w:tblW w:w="0" w:type="auto"/>
        <w:tblLayout w:type="fixed"/>
        <w:tblCellMar>
          <w:left w:w="62" w:type="dxa"/>
          <w:right w:w="62" w:type="dxa"/>
        </w:tblCellMar>
        <w:tblLook w:val="0000"/>
      </w:tblPr>
      <w:tblGrid>
        <w:gridCol w:w="1890"/>
        <w:gridCol w:w="6570"/>
      </w:tblGrid>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9.4)</w:t>
            </w:r>
          </w:p>
        </w:tc>
      </w:tr>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This unit shall be assessed by methods given in Volume 1, Part 3 ‘Assessment Guidelines’.</w:t>
            </w:r>
          </w:p>
          <w:p w:rsidR="00000000" w:rsidRPr="00CD1542" w:rsidP="00CD1542">
            <w:pPr>
              <w:pStyle w:val="BodyText"/>
            </w:pPr>
            <w:r w:rsidRPr="00CD1542">
              <w:t>Note:</w:t>
            </w:r>
          </w:p>
          <w:p w:rsidR="00000000" w:rsidRPr="00CD1542" w:rsidP="00CD1542">
            <w:pPr>
              <w:pStyle w:val="BodyText"/>
            </w:pPr>
            <w:r w:rsidRPr="00CD1542">
              <w:t>Competent performance with inherent safe working practices is expected in the industry to which this unit applies. This requires that the specified essential kn</w:t>
            </w:r>
            <w:r w:rsidRPr="00CD1542">
              <w:t>owledge and associated skills are assessed in a structured environment which is primarily intended for learning/assessment and incorporates all necessary equipment and facilities for learners to develop and demonstrate the essential knowledge and skills de</w:t>
            </w:r>
            <w:r w:rsidRPr="00CD1542">
              <w:t>scribed in this unit.</w:t>
            </w:r>
          </w:p>
        </w:tc>
      </w:tr>
    </w:tbl>
    <w:p w:rsidR="00000000" w:rsidRPr="00CD1542" w:rsidP="00CD1542">
      <w:pPr>
        <w:pStyle w:val="BodyText"/>
      </w:pPr>
    </w:p>
    <w:tbl>
      <w:tblPr>
        <w:tblW w:w="0" w:type="auto"/>
        <w:tblLayout w:type="fixed"/>
        <w:tblCellMar>
          <w:left w:w="62" w:type="dxa"/>
          <w:right w:w="62" w:type="dxa"/>
        </w:tblCellMar>
        <w:tblLook w:val="0000"/>
      </w:tblPr>
      <w:tblGrid>
        <w:gridCol w:w="1890"/>
        <w:gridCol w:w="6570"/>
      </w:tblGrid>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9.5)</w:t>
            </w:r>
          </w:p>
        </w:tc>
      </w:tr>
      <w:tr w:rsidTr="007C2C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There are no concurrent assessment recommendations for this unit.</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11" w:name="O_588552"/>
      <w:bookmarkEnd w:id="11"/>
      <w:r w:rsidRPr="00CD1542">
        <w:t>Range Statement</w:t>
      </w:r>
    </w:p>
    <w:tbl>
      <w:tblPr>
        <w:tblW w:w="0" w:type="auto"/>
        <w:tblLayout w:type="fixed"/>
        <w:tblCellMar>
          <w:left w:w="62" w:type="dxa"/>
          <w:right w:w="62" w:type="dxa"/>
        </w:tblCellMar>
        <w:tblLook w:val="0000"/>
      </w:tblPr>
      <w:tblGrid>
        <w:gridCol w:w="8460"/>
      </w:tblGrid>
      <w:tr w:rsidTr="007C2C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RANGE STATEMENT</w:t>
            </w:r>
          </w:p>
        </w:tc>
      </w:tr>
      <w:tr w:rsidTr="007C2C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10)</w:t>
            </w:r>
            <w:r w:rsidRPr="00CD1542">
              <w:t xml:space="preserve">  This relates to the unit as a whole providing the range of contexts and conditions to which the performance criteria apply. It allows for different work environments and situations that will affect performance.</w:t>
            </w:r>
          </w:p>
          <w:p w:rsidR="00000000" w:rsidRPr="00CD1542" w:rsidP="00CD1542">
            <w:pPr>
              <w:pStyle w:val="BodyText"/>
            </w:pPr>
            <w:r w:rsidRPr="00CD1542">
              <w:t>This unit shall be demonstrated using a rep</w:t>
            </w:r>
            <w:r w:rsidRPr="00CD1542">
              <w:t>resentative range of DSP based systems in relation to modifying an electronic DSP based system.</w:t>
            </w:r>
          </w:p>
          <w:p w:rsidR="00000000" w:rsidRPr="00CD1542" w:rsidP="00CD1542">
            <w:pPr>
              <w:pStyle w:val="BodyText"/>
            </w:pPr>
            <w:r w:rsidRPr="00CD1542">
              <w:t>Generic terms used throughout this Vocational Standard shall be regarded as part of the Range Statement in which competency is demonstrated. The definition of t</w:t>
            </w:r>
            <w:r w:rsidRPr="00CD1542">
              <w:t>hese and other terms that apply are given in Volume 2, Part 2.1.</w:t>
            </w:r>
          </w:p>
        </w:tc>
      </w:tr>
    </w:tbl>
    <w:p w:rsidR="00000000" w:rsidRPr="00CD1542" w:rsidP="00CD1542">
      <w:pPr>
        <w:pStyle w:val="BodyText"/>
      </w:pPr>
    </w:p>
    <w:p w:rsidR="00000000" w:rsidRPr="00CD1542" w:rsidP="00CD1542">
      <w:pPr>
        <w:pStyle w:val="AllowPageBreak"/>
      </w:pPr>
    </w:p>
    <w:p w:rsidR="00000000" w:rsidRPr="00CD1542" w:rsidP="00CD1542">
      <w:pPr>
        <w:pStyle w:val="Heading1"/>
      </w:pPr>
      <w:bookmarkStart w:id="12" w:name="O_588551"/>
      <w:bookmarkEnd w:id="12"/>
      <w:r w:rsidRPr="00CD1542">
        <w:t>Unit Sector(s)</w:t>
      </w:r>
    </w:p>
    <w:p w:rsidR="00000000" w:rsidRPr="00CD1542" w:rsidP="00CD1542">
      <w:pPr>
        <w:pStyle w:val="BodyText"/>
      </w:pPr>
      <w:r w:rsidRPr="00CD1542">
        <w:t>Not applicable.</w:t>
      </w:r>
    </w:p>
    <w:p w:rsidR="00000000" w:rsidRPr="00CD1542" w:rsidP="00CD1542">
      <w:pPr>
        <w:pStyle w:val="AllowPageBreak"/>
      </w:pPr>
    </w:p>
    <w:p w:rsidR="00000000" w:rsidRPr="00CD1542" w:rsidP="00CD1542">
      <w:pPr>
        <w:pStyle w:val="Heading1"/>
      </w:pPr>
      <w:bookmarkStart w:id="13" w:name="O_588550"/>
      <w:bookmarkEnd w:id="13"/>
      <w:r w:rsidRPr="00CD1542">
        <w:t>Competency Field</w:t>
      </w:r>
    </w:p>
    <w:tbl>
      <w:tblPr>
        <w:tblW w:w="0" w:type="auto"/>
        <w:tblLayout w:type="fixed"/>
        <w:tblCellMar>
          <w:left w:w="62" w:type="dxa"/>
          <w:right w:w="62" w:type="dxa"/>
        </w:tblCellMar>
        <w:tblLook w:val="0000"/>
      </w:tblPr>
      <w:tblGrid>
        <w:gridCol w:w="2700"/>
        <w:gridCol w:w="5760"/>
      </w:tblGrid>
      <w:tr w:rsidTr="007C2C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1542">
            <w:pPr>
              <w:pStyle w:val="BodyText"/>
              <w:rPr>
                <w:lang w:val="en-NZ"/>
              </w:rPr>
            </w:pPr>
            <w:r w:rsidRPr="00CD1542">
              <w:rPr>
                <w:rStyle w:val="SpecialBold"/>
              </w:rPr>
              <w:t xml:space="preserve">11) </w:t>
            </w:r>
          </w:p>
        </w:tc>
      </w:tr>
      <w:tr w:rsidTr="007C2C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542" w:rsidP="00CD1542">
            <w:pPr>
              <w:pStyle w:val="BodyText"/>
            </w:pPr>
            <w:r w:rsidRPr="00CD1542">
              <w:t>Electronics</w:t>
            </w:r>
          </w:p>
        </w:tc>
      </w:tr>
    </w:tbl>
    <w:p w:rsidR="00000000" w:rsidRPr="00CD1542" w:rsidP="00CD1542">
      <w:pPr>
        <w:pStyle w:val="BodyText"/>
      </w:pPr>
    </w:p>
    <w:p w:rsidR="00000000" w:rsidRPr="00CD1542" w:rsidP="00CD1542"/>
    <w:sectPr w:rsidSect="00CD15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2" w:rsidRPr="007C2C28" w:rsidP="007C2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28" w:rsidP="00CD15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C2C28" w:rsidP="00CD15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C2C28" w:rsidP="00CD15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2" w:rsidRPr="007C2C28" w:rsidP="007C2C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C28" w:rsidRPr="002D2AF8" w:rsidP="00CD1542">
    <w:pPr>
      <w:pStyle w:val="Header"/>
      <w:framePr w:wrap="around"/>
    </w:pPr>
    <w:r>
      <w:fldChar w:fldCharType="begin"/>
    </w:r>
    <w:r>
      <w:instrText xml:space="preserve"> TITLE   \* MERGEFORMAT </w:instrText>
    </w:r>
    <w:r>
      <w:fldChar w:fldCharType="separate"/>
    </w:r>
    <w:r>
      <w:t>UEENEEH184A Modify digital signal processing (DSP) based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C2C28" w:rsidP="00CD1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968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EF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242C68"/>
    <w:lvl w:ilvl="0">
      <w:start w:val="0"/>
      <w:numFmt w:val="bullet"/>
      <w:lvlText w:val="*"/>
      <w:lvlJc w:val="left"/>
    </w:lvl>
  </w:abstractNum>
  <w:abstractNum w:abstractNumId="9">
    <w:nsid w:val="000D1CA5"/>
    <w:multiLevelType w:val="multilevel"/>
    <w:tmpl w:val="2316562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10"/>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542"/>
    <w:pPr>
      <w:spacing w:before="360" w:after="60"/>
      <w:outlineLvl w:val="0"/>
    </w:pPr>
    <w:rPr>
      <w:sz w:val="32"/>
    </w:rPr>
  </w:style>
  <w:style w:type="paragraph" w:styleId="Heading2">
    <w:name w:val="heading 2"/>
    <w:basedOn w:val="HeadingBase"/>
    <w:next w:val="BodyText"/>
    <w:link w:val="Heading2Char"/>
    <w:qFormat/>
    <w:rsid w:val="00CD1542"/>
    <w:pPr>
      <w:keepLines/>
      <w:spacing w:before="240" w:after="120"/>
      <w:outlineLvl w:val="1"/>
    </w:pPr>
    <w:rPr>
      <w:sz w:val="28"/>
      <w:szCs w:val="40"/>
    </w:rPr>
  </w:style>
  <w:style w:type="paragraph" w:styleId="Heading3">
    <w:name w:val="heading 3"/>
    <w:basedOn w:val="HeadingBase"/>
    <w:next w:val="BodyText"/>
    <w:link w:val="Heading3Char"/>
    <w:qFormat/>
    <w:rsid w:val="00CD1542"/>
    <w:pPr>
      <w:spacing w:before="180" w:after="120"/>
      <w:outlineLvl w:val="2"/>
    </w:pPr>
    <w:rPr>
      <w:spacing w:val="-10"/>
      <w:kern w:val="32"/>
    </w:rPr>
  </w:style>
  <w:style w:type="paragraph" w:styleId="Heading4">
    <w:name w:val="heading 4"/>
    <w:basedOn w:val="HeadingBase"/>
    <w:next w:val="BodyText"/>
    <w:link w:val="Heading4Char"/>
    <w:qFormat/>
    <w:rsid w:val="00CD1542"/>
    <w:pPr>
      <w:spacing w:before="160" w:after="120"/>
      <w:outlineLvl w:val="3"/>
    </w:pPr>
    <w:rPr>
      <w:sz w:val="22"/>
    </w:rPr>
  </w:style>
  <w:style w:type="paragraph" w:styleId="Heading5">
    <w:name w:val="heading 5"/>
    <w:basedOn w:val="HeadingBase"/>
    <w:next w:val="Normal"/>
    <w:link w:val="Heading5Char"/>
    <w:qFormat/>
    <w:rsid w:val="00CD1542"/>
    <w:pPr>
      <w:spacing w:before="80"/>
      <w:outlineLvl w:val="4"/>
    </w:pPr>
    <w:rPr>
      <w:color w:val="918585"/>
      <w:sz w:val="20"/>
    </w:rPr>
  </w:style>
  <w:style w:type="paragraph" w:styleId="Heading6">
    <w:name w:val="heading 6"/>
    <w:basedOn w:val="HeadingBase"/>
    <w:next w:val="Normal"/>
    <w:link w:val="Heading6Char"/>
    <w:qFormat/>
    <w:rsid w:val="00CD1542"/>
    <w:pPr>
      <w:spacing w:before="60"/>
      <w:outlineLvl w:val="5"/>
    </w:pPr>
    <w:rPr>
      <w:color w:val="918585"/>
      <w:sz w:val="20"/>
    </w:rPr>
  </w:style>
  <w:style w:type="paragraph" w:styleId="Heading7">
    <w:name w:val="heading 7"/>
    <w:basedOn w:val="Normal"/>
    <w:next w:val="Normal"/>
    <w:link w:val="Heading7Char"/>
    <w:qFormat/>
    <w:rsid w:val="00CD1542"/>
    <w:pPr>
      <w:ind w:left="720"/>
      <w:outlineLvl w:val="6"/>
    </w:pPr>
    <w:rPr>
      <w:i/>
    </w:rPr>
  </w:style>
  <w:style w:type="paragraph" w:styleId="Heading8">
    <w:name w:val="heading 8"/>
    <w:basedOn w:val="Normal"/>
    <w:next w:val="Normal"/>
    <w:link w:val="Heading8Char"/>
    <w:qFormat/>
    <w:rsid w:val="00CD1542"/>
    <w:pPr>
      <w:ind w:left="720"/>
      <w:outlineLvl w:val="7"/>
    </w:pPr>
    <w:rPr>
      <w:i/>
    </w:rPr>
  </w:style>
  <w:style w:type="paragraph" w:styleId="Heading9">
    <w:name w:val="heading 9"/>
    <w:basedOn w:val="Normal"/>
    <w:next w:val="Normal"/>
    <w:link w:val="Heading9Char"/>
    <w:qFormat/>
    <w:rsid w:val="00CD1542"/>
    <w:pPr>
      <w:ind w:left="720"/>
      <w:outlineLvl w:val="8"/>
    </w:pPr>
    <w:rPr>
      <w:i/>
    </w:rPr>
  </w:style>
  <w:style w:type="character" w:default="1" w:styleId="DefaultParagraphFont">
    <w:name w:val="Default Paragraph Font"/>
    <w:uiPriority w:val="1"/>
    <w:unhideWhenUsed/>
    <w:rsid w:val="00CD1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542"/>
  </w:style>
  <w:style w:type="character" w:customStyle="1" w:styleId="Heading1Char">
    <w:name w:val="Heading 1 Char"/>
    <w:basedOn w:val="DefaultParagraphFont"/>
    <w:link w:val="Heading1"/>
    <w:rsid w:val="00CD1542"/>
    <w:rPr>
      <w:rFonts w:ascii="Times New Roman" w:eastAsia="Times New Roman" w:hAnsi="Times New Roman" w:cs="Times New Roman"/>
      <w:b/>
      <w:sz w:val="32"/>
      <w:szCs w:val="20"/>
      <w:lang w:eastAsia="en-US"/>
    </w:rPr>
  </w:style>
  <w:style w:type="paragraph" w:styleId="BodyText">
    <w:name w:val="Body Text"/>
    <w:basedOn w:val="Normal"/>
    <w:link w:val="BodyTextChar"/>
    <w:rsid w:val="00CD15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542"/>
    <w:rPr>
      <w:rFonts w:ascii="Times New Roman" w:eastAsia="Times New Roman" w:hAnsi="Times New Roman" w:cs="Times New Roman"/>
      <w:sz w:val="24"/>
      <w:lang w:eastAsia="en-US"/>
    </w:rPr>
  </w:style>
  <w:style w:type="paragraph" w:styleId="ListBullet">
    <w:name w:val="List Bullet"/>
    <w:basedOn w:val="List"/>
    <w:rsid w:val="00CD1542"/>
    <w:pPr>
      <w:numPr>
        <w:numId w:val="13"/>
      </w:numPr>
      <w:tabs>
        <w:tab w:val="clear" w:pos="340"/>
      </w:tabs>
      <w:spacing w:before="40" w:after="40"/>
    </w:pPr>
  </w:style>
  <w:style w:type="character" w:customStyle="1" w:styleId="SpecialBold">
    <w:name w:val="Special Bold"/>
    <w:basedOn w:val="DefaultParagraphFont"/>
    <w:rsid w:val="00CD1542"/>
    <w:rPr>
      <w:b/>
      <w:spacing w:val="0"/>
    </w:rPr>
  </w:style>
  <w:style w:type="paragraph" w:styleId="ListBullet2">
    <w:name w:val="List Bullet 2"/>
    <w:basedOn w:val="List2"/>
    <w:rsid w:val="00CD1542"/>
    <w:pPr>
      <w:numPr>
        <w:numId w:val="14"/>
      </w:numPr>
      <w:tabs>
        <w:tab w:val="clear" w:pos="680"/>
      </w:tabs>
    </w:pPr>
  </w:style>
  <w:style w:type="paragraph" w:customStyle="1" w:styleId="SuperHeading">
    <w:name w:val="SuperHeading"/>
    <w:basedOn w:val="Normal"/>
    <w:rsid w:val="00CD1542"/>
    <w:pPr>
      <w:spacing w:before="240" w:after="120"/>
      <w:outlineLvl w:val="0"/>
    </w:pPr>
    <w:rPr>
      <w:rFonts w:ascii="Times New Roman" w:hAnsi="Times New Roman"/>
      <w:b/>
      <w:sz w:val="32"/>
    </w:rPr>
  </w:style>
  <w:style w:type="paragraph" w:customStyle="1" w:styleId="AllowPageBreak">
    <w:name w:val="AllowPageBreak"/>
    <w:rsid w:val="00CD15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CD1542"/>
    <w:pPr>
      <w:numPr>
        <w:numId w:val="8"/>
      </w:numPr>
    </w:pPr>
  </w:style>
  <w:style w:type="character" w:customStyle="1" w:styleId="Heading2Char">
    <w:name w:val="Heading 2 Char"/>
    <w:basedOn w:val="DefaultParagraphFont"/>
    <w:link w:val="Heading2"/>
    <w:rsid w:val="00CD1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542"/>
    <w:rPr>
      <w:rFonts w:ascii="Courier New" w:eastAsia="Times New Roman" w:hAnsi="Courier New" w:cs="Times New Roman"/>
      <w:i/>
      <w:szCs w:val="20"/>
      <w:lang w:eastAsia="en-US"/>
    </w:rPr>
  </w:style>
  <w:style w:type="paragraph" w:customStyle="1" w:styleId="HeadingBase">
    <w:name w:val="Heading Base"/>
    <w:rsid w:val="00CD1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542"/>
    <w:pPr>
      <w:tabs>
        <w:tab w:val="right" w:leader="dot" w:pos="9072"/>
      </w:tabs>
      <w:ind w:left="567"/>
    </w:pPr>
    <w:rPr>
      <w:szCs w:val="22"/>
    </w:rPr>
  </w:style>
  <w:style w:type="paragraph" w:customStyle="1" w:styleId="TOCBase">
    <w:name w:val="TOC Base"/>
    <w:rsid w:val="00CD1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542"/>
    <w:pPr>
      <w:tabs>
        <w:tab w:val="right" w:leader="dot" w:pos="9072"/>
      </w:tabs>
      <w:spacing w:before="40" w:after="40"/>
      <w:ind w:left="284"/>
    </w:pPr>
    <w:rPr>
      <w:rFonts w:ascii="Times New Roman" w:hAnsi="Times New Roman"/>
    </w:rPr>
  </w:style>
  <w:style w:type="paragraph" w:styleId="TOC1">
    <w:name w:val="toc 1"/>
    <w:basedOn w:val="TOCBase"/>
    <w:next w:val="Normal"/>
    <w:rsid w:val="00CD15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542"/>
    <w:rPr>
      <w:rFonts w:ascii="Times New Roman" w:eastAsia="Times New Roman" w:hAnsi="Times New Roman" w:cs="Times New Roman"/>
      <w:sz w:val="16"/>
      <w:lang w:eastAsia="en-US"/>
    </w:rPr>
  </w:style>
  <w:style w:type="paragraph" w:styleId="Title">
    <w:name w:val="Title"/>
    <w:basedOn w:val="HeadingBase"/>
    <w:link w:val="TitleChar"/>
    <w:qFormat/>
    <w:rsid w:val="00CD1542"/>
    <w:pPr>
      <w:spacing w:before="5040"/>
      <w:jc w:val="center"/>
    </w:pPr>
    <w:rPr>
      <w:sz w:val="48"/>
      <w:szCs w:val="72"/>
      <w:lang w:val="en-US"/>
    </w:rPr>
  </w:style>
  <w:style w:type="character" w:customStyle="1" w:styleId="TitleChar">
    <w:name w:val="Title Char"/>
    <w:basedOn w:val="DefaultParagraphFont"/>
    <w:link w:val="Title"/>
    <w:rsid w:val="00CD1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542"/>
    <w:pPr>
      <w:tabs>
        <w:tab w:val="left" w:pos="3600"/>
        <w:tab w:val="left" w:pos="3958"/>
      </w:tabs>
    </w:pPr>
  </w:style>
  <w:style w:type="paragraph" w:styleId="List">
    <w:name w:val="List"/>
    <w:basedOn w:val="BodyText"/>
    <w:next w:val="BodyText"/>
    <w:rsid w:val="00CD1542"/>
    <w:pPr>
      <w:tabs>
        <w:tab w:val="left" w:pos="340"/>
      </w:tabs>
      <w:spacing w:before="60" w:after="60"/>
      <w:ind w:left="340" w:hanging="340"/>
    </w:pPr>
  </w:style>
  <w:style w:type="paragraph" w:customStyle="1" w:styleId="Note">
    <w:name w:val="Note"/>
    <w:basedOn w:val="BodyText"/>
    <w:rsid w:val="00CD1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542"/>
    <w:pPr>
      <w:framePr w:wrap="auto" w:hAnchor="text" w:y="6049"/>
    </w:pPr>
    <w:rPr>
      <w:color w:val="000000"/>
      <w:sz w:val="40"/>
    </w:rPr>
  </w:style>
  <w:style w:type="paragraph" w:customStyle="1" w:styleId="TOCTitle">
    <w:name w:val="TOCTitle"/>
    <w:basedOn w:val="Heading1"/>
    <w:rsid w:val="00CD1542"/>
    <w:pPr>
      <w:spacing w:after="240"/>
      <w:jc w:val="center"/>
      <w:outlineLvl w:val="9"/>
    </w:pPr>
    <w:rPr>
      <w:caps/>
    </w:rPr>
  </w:style>
  <w:style w:type="paragraph" w:customStyle="1" w:styleId="Version">
    <w:name w:val="Version"/>
    <w:rsid w:val="00CD15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542"/>
    <w:pPr>
      <w:keepNext w:val="0"/>
      <w:tabs>
        <w:tab w:val="right" w:pos="4176"/>
      </w:tabs>
      <w:ind w:left="198" w:hanging="198"/>
    </w:pPr>
    <w:rPr>
      <w:rFonts w:ascii="Garamond" w:hAnsi="Garamond"/>
    </w:rPr>
  </w:style>
  <w:style w:type="paragraph" w:styleId="IndexHeading">
    <w:name w:val="index heading"/>
    <w:basedOn w:val="Normal"/>
    <w:next w:val="Index1"/>
    <w:semiHidden/>
    <w:rsid w:val="00CD1542"/>
    <w:pPr>
      <w:spacing w:before="120" w:after="120"/>
    </w:pPr>
    <w:rPr>
      <w:rFonts w:ascii="Arial" w:hAnsi="Arial"/>
      <w:b/>
      <w:color w:val="918585"/>
      <w:sz w:val="24"/>
    </w:rPr>
  </w:style>
  <w:style w:type="paragraph" w:styleId="Header">
    <w:name w:val="header"/>
    <w:basedOn w:val="Normal"/>
    <w:link w:val="HeaderChar"/>
    <w:rsid w:val="00CD1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542"/>
    <w:rPr>
      <w:rFonts w:ascii="Times New Roman" w:eastAsia="Times New Roman" w:hAnsi="Times New Roman" w:cs="Times New Roman"/>
      <w:sz w:val="16"/>
      <w:szCs w:val="20"/>
      <w:lang w:val="en-GB" w:eastAsia="en-US"/>
    </w:rPr>
  </w:style>
  <w:style w:type="paragraph" w:customStyle="1" w:styleId="Chapter">
    <w:name w:val="Chapter"/>
    <w:basedOn w:val="Normal"/>
    <w:rsid w:val="00CD1542"/>
    <w:pPr>
      <w:spacing w:before="240"/>
    </w:pPr>
    <w:rPr>
      <w:rFonts w:ascii="Times New Roman" w:hAnsi="Times New Roman"/>
      <w:smallCaps/>
      <w:spacing w:val="80"/>
      <w:sz w:val="28"/>
    </w:rPr>
  </w:style>
  <w:style w:type="paragraph" w:customStyle="1" w:styleId="InChapter">
    <w:name w:val="InChapter"/>
    <w:basedOn w:val="Heading3"/>
    <w:rsid w:val="00CD1542"/>
    <w:pPr>
      <w:spacing w:after="240"/>
      <w:outlineLvl w:val="9"/>
    </w:pPr>
    <w:rPr>
      <w:noProof/>
    </w:rPr>
  </w:style>
  <w:style w:type="paragraph" w:styleId="Index2">
    <w:name w:val="index 2"/>
    <w:basedOn w:val="Normal"/>
    <w:next w:val="Normal"/>
    <w:semiHidden/>
    <w:rsid w:val="00CD1542"/>
    <w:pPr>
      <w:tabs>
        <w:tab w:val="right" w:pos="4176"/>
      </w:tabs>
      <w:ind w:left="568" w:hanging="284"/>
    </w:pPr>
    <w:rPr>
      <w:rFonts w:ascii="Garamond" w:hAnsi="Garamond"/>
    </w:rPr>
  </w:style>
  <w:style w:type="paragraph" w:customStyle="1" w:styleId="Byline">
    <w:name w:val="Byline"/>
    <w:rsid w:val="00CD1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542"/>
    <w:pPr>
      <w:tabs>
        <w:tab w:val="clear" w:pos="3600"/>
        <w:tab w:val="clear" w:pos="3958"/>
      </w:tabs>
      <w:jc w:val="right"/>
    </w:pPr>
  </w:style>
  <w:style w:type="character" w:styleId="Emphasis">
    <w:name w:val="Emphasis"/>
    <w:basedOn w:val="DefaultParagraphFont"/>
    <w:qFormat/>
    <w:rsid w:val="00CD1542"/>
    <w:rPr>
      <w:i/>
    </w:rPr>
  </w:style>
  <w:style w:type="paragraph" w:styleId="Caption">
    <w:name w:val="caption"/>
    <w:basedOn w:val="BodyText"/>
    <w:next w:val="Normal"/>
    <w:qFormat/>
    <w:rsid w:val="00CD1542"/>
    <w:pPr>
      <w:framePr w:w="2268" w:hSpace="181" w:vSpace="181" w:wrap="around" w:vAnchor="text" w:hAnchor="page" w:x="1135" w:y="285" w:anchorLock="1"/>
    </w:pPr>
    <w:rPr>
      <w:i/>
    </w:rPr>
  </w:style>
  <w:style w:type="paragraph" w:customStyle="1" w:styleId="MiniTOCTitle">
    <w:name w:val="MiniTOCTitle"/>
    <w:basedOn w:val="Heading4"/>
    <w:rsid w:val="00CD1542"/>
    <w:pPr>
      <w:spacing w:before="240"/>
      <w:outlineLvl w:val="9"/>
    </w:pPr>
    <w:rPr>
      <w:noProof/>
      <w:sz w:val="24"/>
    </w:rPr>
  </w:style>
  <w:style w:type="paragraph" w:customStyle="1" w:styleId="MiniTOCItem">
    <w:name w:val="MiniTOCItem"/>
    <w:basedOn w:val="ListBullet"/>
    <w:rsid w:val="00CD1542"/>
    <w:pPr>
      <w:numPr>
        <w:numId w:val="0"/>
      </w:numPr>
      <w:tabs>
        <w:tab w:val="right" w:leader="dot" w:pos="6521"/>
      </w:tabs>
      <w:spacing w:before="0" w:after="0"/>
    </w:pPr>
  </w:style>
  <w:style w:type="paragraph" w:customStyle="1" w:styleId="TOFTitle">
    <w:name w:val="TOFTitle"/>
    <w:basedOn w:val="TOCTitle"/>
    <w:rsid w:val="00CD1542"/>
  </w:style>
  <w:style w:type="paragraph" w:styleId="TableofFigures">
    <w:name w:val="table of figures"/>
    <w:basedOn w:val="Normal"/>
    <w:next w:val="Normal"/>
    <w:semiHidden/>
    <w:rsid w:val="00CD1542"/>
    <w:pPr>
      <w:tabs>
        <w:tab w:val="right" w:leader="dot" w:pos="9072"/>
      </w:tabs>
      <w:ind w:left="970" w:hanging="403"/>
    </w:pPr>
    <w:rPr>
      <w:rFonts w:ascii="Times New Roman" w:hAnsi="Times New Roman"/>
      <w:b/>
    </w:rPr>
  </w:style>
  <w:style w:type="paragraph" w:styleId="ListNumber">
    <w:name w:val="List Number"/>
    <w:basedOn w:val="List"/>
    <w:rsid w:val="00CD1542"/>
    <w:pPr>
      <w:numPr>
        <w:numId w:val="11"/>
      </w:numPr>
    </w:pPr>
  </w:style>
  <w:style w:type="character" w:customStyle="1" w:styleId="WingdingSymbols">
    <w:name w:val="Wingding Symbols"/>
    <w:rsid w:val="00CD1542"/>
    <w:rPr>
      <w:rFonts w:ascii="Wingdings" w:hAnsi="Wingdings"/>
    </w:rPr>
  </w:style>
  <w:style w:type="paragraph" w:customStyle="1" w:styleId="TableHeading">
    <w:name w:val="Table Heading"/>
    <w:basedOn w:val="HeadingBase"/>
    <w:rsid w:val="00CD1542"/>
    <w:pPr>
      <w:keepLines/>
      <w:pBdr>
        <w:bottom w:val="single" w:sz="6" w:space="1" w:color="918585"/>
      </w:pBdr>
      <w:spacing w:before="240"/>
    </w:pPr>
  </w:style>
  <w:style w:type="character" w:customStyle="1" w:styleId="HotSpot">
    <w:name w:val="HotSpot"/>
    <w:rsid w:val="00CD1542"/>
    <w:rPr>
      <w:color w:val="0033CC"/>
      <w:u w:val="none"/>
    </w:rPr>
  </w:style>
  <w:style w:type="paragraph" w:customStyle="1" w:styleId="BodyTextRight">
    <w:name w:val="Body Text Right"/>
    <w:basedOn w:val="BodyText"/>
    <w:rsid w:val="00CD1542"/>
    <w:pPr>
      <w:spacing w:before="0" w:after="0"/>
      <w:jc w:val="right"/>
    </w:pPr>
  </w:style>
  <w:style w:type="paragraph" w:styleId="Index3">
    <w:name w:val="index 3"/>
    <w:basedOn w:val="ListNumber2"/>
    <w:next w:val="Normal"/>
    <w:semiHidden/>
    <w:rsid w:val="00CD1542"/>
    <w:pPr>
      <w:numPr>
        <w:numId w:val="0"/>
      </w:numPr>
      <w:tabs>
        <w:tab w:val="right" w:leader="dot" w:pos="4176"/>
      </w:tabs>
    </w:pPr>
  </w:style>
  <w:style w:type="paragraph" w:styleId="ListNumber2">
    <w:name w:val="List Number 2"/>
    <w:basedOn w:val="List2"/>
    <w:rsid w:val="00CD1542"/>
    <w:pPr>
      <w:numPr>
        <w:numId w:val="10"/>
      </w:numPr>
      <w:tabs>
        <w:tab w:val="clear" w:pos="1060"/>
      </w:tabs>
    </w:pPr>
  </w:style>
  <w:style w:type="paragraph" w:customStyle="1" w:styleId="MarginNote">
    <w:name w:val="Margin Note"/>
    <w:basedOn w:val="BodyText"/>
    <w:rsid w:val="00CD1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542"/>
    <w:rPr>
      <w:sz w:val="32"/>
    </w:rPr>
  </w:style>
  <w:style w:type="paragraph" w:customStyle="1" w:styleId="HeadingProcedure">
    <w:name w:val="Heading Procedure"/>
    <w:basedOn w:val="HeadingBase"/>
    <w:next w:val="Normal"/>
    <w:rsid w:val="00CD1542"/>
    <w:pPr>
      <w:tabs>
        <w:tab w:val="left" w:pos="0"/>
      </w:tabs>
      <w:spacing w:before="120" w:after="60"/>
    </w:pPr>
    <w:rPr>
      <w:i/>
      <w:color w:val="918585"/>
      <w:sz w:val="22"/>
    </w:rPr>
  </w:style>
  <w:style w:type="paragraph" w:customStyle="1" w:styleId="TableBodyText">
    <w:name w:val="Table Body Text"/>
    <w:basedOn w:val="BodyText"/>
    <w:rsid w:val="00CD1542"/>
    <w:pPr>
      <w:spacing w:before="60" w:after="60"/>
    </w:pPr>
  </w:style>
  <w:style w:type="paragraph" w:styleId="ListContinue">
    <w:name w:val="List Continue"/>
    <w:basedOn w:val="List"/>
    <w:rsid w:val="00CD1542"/>
    <w:pPr>
      <w:ind w:firstLine="0"/>
    </w:pPr>
  </w:style>
  <w:style w:type="paragraph" w:customStyle="1" w:styleId="ListNote">
    <w:name w:val="List Note"/>
    <w:basedOn w:val="List"/>
    <w:rsid w:val="00CD1542"/>
    <w:pPr>
      <w:pBdr>
        <w:top w:val="single" w:sz="6" w:space="2" w:color="918585"/>
        <w:bottom w:val="single" w:sz="6" w:space="2" w:color="918585"/>
      </w:pBdr>
      <w:tabs>
        <w:tab w:val="left" w:pos="1021"/>
      </w:tabs>
      <w:ind w:firstLine="0"/>
    </w:pPr>
  </w:style>
  <w:style w:type="paragraph" w:customStyle="1" w:styleId="Warning">
    <w:name w:val="Warning"/>
    <w:basedOn w:val="BodyText"/>
    <w:rsid w:val="00CD1542"/>
    <w:pPr>
      <w:shd w:val="clear" w:color="auto" w:fill="D9D9D9"/>
      <w:tabs>
        <w:tab w:val="left" w:pos="992"/>
      </w:tabs>
      <w:ind w:left="119" w:right="119"/>
    </w:pPr>
    <w:rPr>
      <w:sz w:val="20"/>
    </w:rPr>
  </w:style>
  <w:style w:type="paragraph" w:customStyle="1" w:styleId="MarginIcons">
    <w:name w:val="Margin Icons"/>
    <w:basedOn w:val="BodyText"/>
    <w:rsid w:val="00CD1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542"/>
    <w:rPr>
      <w:rFonts w:ascii="Courier New" w:hAnsi="Courier New"/>
    </w:rPr>
  </w:style>
  <w:style w:type="paragraph" w:customStyle="1" w:styleId="NoteBullet">
    <w:name w:val="Note Bullet"/>
    <w:basedOn w:val="Note"/>
    <w:rsid w:val="00CD1542"/>
    <w:pPr>
      <w:tabs>
        <w:tab w:val="clear" w:pos="680"/>
      </w:tabs>
      <w:spacing w:before="60" w:after="60"/>
    </w:pPr>
  </w:style>
  <w:style w:type="paragraph" w:customStyle="1" w:styleId="SubHeading2">
    <w:name w:val="SubHeading2"/>
    <w:basedOn w:val="HeadingBase"/>
    <w:rsid w:val="00CD1542"/>
    <w:pPr>
      <w:spacing w:before="240" w:after="60"/>
    </w:pPr>
    <w:rPr>
      <w:sz w:val="20"/>
    </w:rPr>
  </w:style>
  <w:style w:type="paragraph" w:customStyle="1" w:styleId="SubHeading1">
    <w:name w:val="SubHeading1"/>
    <w:basedOn w:val="HeadingBase"/>
    <w:rsid w:val="00CD1542"/>
    <w:pPr>
      <w:spacing w:before="240" w:after="60"/>
    </w:pPr>
    <w:rPr>
      <w:color w:val="918585"/>
      <w:sz w:val="22"/>
    </w:rPr>
  </w:style>
  <w:style w:type="paragraph" w:customStyle="1" w:styleId="SideHeading">
    <w:name w:val="Side Heading"/>
    <w:basedOn w:val="HeadingBase"/>
    <w:rsid w:val="00CD1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542"/>
    <w:pPr>
      <w:numPr>
        <w:numId w:val="12"/>
      </w:numPr>
    </w:pPr>
  </w:style>
  <w:style w:type="paragraph" w:styleId="PlainText">
    <w:name w:val="Plain Text"/>
    <w:basedOn w:val="Normal"/>
    <w:link w:val="PlainTextChar"/>
    <w:rsid w:val="00CD1542"/>
    <w:rPr>
      <w:sz w:val="20"/>
    </w:rPr>
  </w:style>
  <w:style w:type="character" w:customStyle="1" w:styleId="PlainTextChar">
    <w:name w:val="Plain Text Char"/>
    <w:basedOn w:val="DefaultParagraphFont"/>
    <w:link w:val="PlainText"/>
    <w:rsid w:val="00CD1542"/>
    <w:rPr>
      <w:rFonts w:ascii="Courier New" w:eastAsia="Times New Roman" w:hAnsi="Courier New" w:cs="Times New Roman"/>
      <w:sz w:val="20"/>
      <w:szCs w:val="20"/>
      <w:lang w:eastAsia="en-US"/>
    </w:rPr>
  </w:style>
  <w:style w:type="character" w:customStyle="1" w:styleId="MenuOption">
    <w:name w:val="Menu Option"/>
    <w:basedOn w:val="DefaultParagraphFont"/>
    <w:rsid w:val="00CD1542"/>
    <w:rPr>
      <w:b/>
      <w:smallCaps/>
    </w:rPr>
  </w:style>
  <w:style w:type="paragraph" w:customStyle="1" w:styleId="TableListNumber">
    <w:name w:val="Table List Number"/>
    <w:basedOn w:val="ListNumber"/>
    <w:rsid w:val="00CD1542"/>
    <w:pPr>
      <w:numPr>
        <w:numId w:val="0"/>
      </w:numPr>
    </w:pPr>
  </w:style>
  <w:style w:type="paragraph" w:styleId="TOC4">
    <w:name w:val="toc 4"/>
    <w:basedOn w:val="TOCBase"/>
    <w:next w:val="Normal"/>
    <w:semiHidden/>
    <w:rsid w:val="00CD1542"/>
    <w:pPr>
      <w:tabs>
        <w:tab w:val="right" w:leader="dot" w:pos="9071"/>
      </w:tabs>
      <w:ind w:left="1701"/>
    </w:pPr>
  </w:style>
  <w:style w:type="paragraph" w:customStyle="1" w:styleId="ListAlpha">
    <w:name w:val="List Alpha"/>
    <w:basedOn w:val="List"/>
    <w:rsid w:val="00CD1542"/>
    <w:pPr>
      <w:numPr>
        <w:numId w:val="9"/>
      </w:numPr>
    </w:pPr>
  </w:style>
  <w:style w:type="paragraph" w:styleId="List2">
    <w:name w:val="List 2"/>
    <w:basedOn w:val="BodyText"/>
    <w:rsid w:val="00CD1542"/>
    <w:pPr>
      <w:tabs>
        <w:tab w:val="left" w:pos="680"/>
      </w:tabs>
      <w:spacing w:before="60" w:after="60"/>
      <w:ind w:left="680" w:hanging="340"/>
    </w:pPr>
  </w:style>
  <w:style w:type="paragraph" w:styleId="List3">
    <w:name w:val="List 3"/>
    <w:basedOn w:val="BodyText"/>
    <w:rsid w:val="00CD1542"/>
    <w:pPr>
      <w:tabs>
        <w:tab w:val="left" w:pos="1021"/>
      </w:tabs>
      <w:spacing w:before="60" w:after="60"/>
      <w:ind w:left="1020" w:hanging="340"/>
    </w:pPr>
  </w:style>
  <w:style w:type="paragraph" w:styleId="List4">
    <w:name w:val="List 4"/>
    <w:basedOn w:val="BodyText"/>
    <w:rsid w:val="00CD1542"/>
    <w:pPr>
      <w:tabs>
        <w:tab w:val="left" w:pos="1361"/>
      </w:tabs>
      <w:spacing w:before="60" w:after="60"/>
      <w:ind w:left="1361" w:hanging="340"/>
    </w:pPr>
  </w:style>
  <w:style w:type="paragraph" w:styleId="List5">
    <w:name w:val="List 5"/>
    <w:basedOn w:val="BodyText"/>
    <w:rsid w:val="00CD1542"/>
    <w:pPr>
      <w:tabs>
        <w:tab w:val="left" w:pos="1701"/>
      </w:tabs>
      <w:spacing w:before="60" w:after="60"/>
      <w:ind w:left="1701" w:hanging="340"/>
    </w:pPr>
  </w:style>
  <w:style w:type="paragraph" w:styleId="ListBullet3">
    <w:name w:val="List Bullet 3"/>
    <w:basedOn w:val="List3"/>
    <w:rsid w:val="00CD1542"/>
    <w:pPr>
      <w:numPr>
        <w:numId w:val="15"/>
      </w:numPr>
      <w:tabs>
        <w:tab w:val="clear" w:pos="1021"/>
      </w:tabs>
      <w:ind w:left="1037" w:hanging="357"/>
    </w:pPr>
  </w:style>
  <w:style w:type="paragraph" w:styleId="ListBullet4">
    <w:name w:val="List Bullet 4"/>
    <w:basedOn w:val="List4"/>
    <w:rsid w:val="00CD1542"/>
    <w:pPr>
      <w:numPr>
        <w:numId w:val="3"/>
      </w:numPr>
    </w:pPr>
  </w:style>
  <w:style w:type="paragraph" w:styleId="ListBullet5">
    <w:name w:val="List Bullet 5"/>
    <w:basedOn w:val="List5"/>
    <w:rsid w:val="00CD1542"/>
    <w:pPr>
      <w:numPr>
        <w:numId w:val="4"/>
      </w:numPr>
    </w:pPr>
  </w:style>
  <w:style w:type="paragraph" w:styleId="ListContinue2">
    <w:name w:val="List Continue 2"/>
    <w:basedOn w:val="List2"/>
    <w:rsid w:val="00CD1542"/>
    <w:pPr>
      <w:ind w:firstLine="0"/>
    </w:pPr>
  </w:style>
  <w:style w:type="paragraph" w:styleId="ListContinue3">
    <w:name w:val="List Continue 3"/>
    <w:basedOn w:val="List3"/>
    <w:rsid w:val="00CD1542"/>
    <w:pPr>
      <w:ind w:left="1021" w:firstLine="0"/>
    </w:pPr>
  </w:style>
  <w:style w:type="paragraph" w:styleId="ListContinue4">
    <w:name w:val="List Continue 4"/>
    <w:basedOn w:val="List4"/>
    <w:rsid w:val="00CD1542"/>
    <w:pPr>
      <w:ind w:firstLine="0"/>
    </w:pPr>
  </w:style>
  <w:style w:type="paragraph" w:styleId="ListContinue5">
    <w:name w:val="List Continue 5"/>
    <w:basedOn w:val="List5"/>
    <w:rsid w:val="00CD1542"/>
    <w:pPr>
      <w:ind w:firstLine="0"/>
    </w:pPr>
  </w:style>
  <w:style w:type="paragraph" w:styleId="ListNumber3">
    <w:name w:val="List Number 3"/>
    <w:basedOn w:val="List3"/>
    <w:rsid w:val="00CD1542"/>
    <w:pPr>
      <w:numPr>
        <w:numId w:val="5"/>
      </w:numPr>
    </w:pPr>
  </w:style>
  <w:style w:type="paragraph" w:styleId="ListNumber4">
    <w:name w:val="List Number 4"/>
    <w:basedOn w:val="List4"/>
    <w:rsid w:val="00CD1542"/>
    <w:pPr>
      <w:numPr>
        <w:numId w:val="6"/>
      </w:numPr>
    </w:pPr>
  </w:style>
  <w:style w:type="paragraph" w:styleId="ListNumber5">
    <w:name w:val="List Number 5"/>
    <w:basedOn w:val="List5"/>
    <w:rsid w:val="00CD1542"/>
    <w:pPr>
      <w:numPr>
        <w:numId w:val="7"/>
      </w:numPr>
    </w:pPr>
  </w:style>
  <w:style w:type="paragraph" w:styleId="BlockText">
    <w:name w:val="Block Text"/>
    <w:basedOn w:val="Normal"/>
    <w:rsid w:val="00CD1542"/>
    <w:pPr>
      <w:spacing w:after="120"/>
      <w:ind w:left="1440" w:right="1440"/>
    </w:pPr>
  </w:style>
  <w:style w:type="character" w:customStyle="1" w:styleId="Subscript">
    <w:name w:val="Subscript"/>
    <w:basedOn w:val="DefaultParagraphFont"/>
    <w:rsid w:val="00CD1542"/>
    <w:rPr>
      <w:sz w:val="16"/>
      <w:vertAlign w:val="subscript"/>
    </w:rPr>
  </w:style>
  <w:style w:type="character" w:customStyle="1" w:styleId="Superscript">
    <w:name w:val="Superscript"/>
    <w:basedOn w:val="DefaultParagraphFont"/>
    <w:rsid w:val="00CD1542"/>
    <w:rPr>
      <w:sz w:val="16"/>
      <w:vertAlign w:val="superscript"/>
    </w:rPr>
  </w:style>
  <w:style w:type="character" w:customStyle="1" w:styleId="Symbols">
    <w:name w:val="Symbols"/>
    <w:basedOn w:val="DefaultParagraphFont"/>
    <w:rsid w:val="00CD1542"/>
    <w:rPr>
      <w:rFonts w:ascii="Symbol" w:hAnsi="Symbol"/>
    </w:rPr>
  </w:style>
  <w:style w:type="character" w:customStyle="1" w:styleId="MenuOptions">
    <w:name w:val="Menu Options"/>
    <w:basedOn w:val="DefaultParagraphFont"/>
    <w:rsid w:val="00CD1542"/>
    <w:rPr>
      <w:rFonts w:ascii="Arial Narrow" w:hAnsi="Arial Narrow"/>
      <w:smallCaps/>
    </w:rPr>
  </w:style>
  <w:style w:type="character" w:customStyle="1" w:styleId="Buttons">
    <w:name w:val="Buttons"/>
    <w:basedOn w:val="DefaultParagraphFont"/>
    <w:rsid w:val="00CD1542"/>
    <w:rPr>
      <w:b/>
    </w:rPr>
  </w:style>
  <w:style w:type="character" w:customStyle="1" w:styleId="Underlined">
    <w:name w:val="Underlined"/>
    <w:basedOn w:val="DefaultParagraphFont"/>
    <w:rsid w:val="00CD1542"/>
    <w:rPr>
      <w:u w:val="single"/>
    </w:rPr>
  </w:style>
  <w:style w:type="paragraph" w:customStyle="1" w:styleId="TableBodyTextRight">
    <w:name w:val="Table Body Text Right"/>
    <w:basedOn w:val="TableBodyText"/>
    <w:rsid w:val="00CD1542"/>
    <w:pPr>
      <w:widowControl w:val="0"/>
      <w:autoSpaceDE w:val="0"/>
      <w:autoSpaceDN w:val="0"/>
      <w:adjustRightInd w:val="0"/>
      <w:jc w:val="right"/>
    </w:pPr>
    <w:rPr>
      <w:rFonts w:cs="Arial"/>
      <w:szCs w:val="18"/>
    </w:rPr>
  </w:style>
  <w:style w:type="paragraph" w:customStyle="1" w:styleId="CopyrightText">
    <w:name w:val="Copyright Text"/>
    <w:basedOn w:val="BodyText"/>
    <w:rsid w:val="00CD1542"/>
    <w:rPr>
      <w:sz w:val="18"/>
    </w:rPr>
  </w:style>
  <w:style w:type="paragraph" w:customStyle="1" w:styleId="BodySmallRight">
    <w:name w:val="Body Small Right"/>
    <w:basedOn w:val="BodyTextRight"/>
    <w:rsid w:val="00CD1542"/>
    <w:rPr>
      <w:sz w:val="18"/>
      <w:szCs w:val="18"/>
    </w:rPr>
  </w:style>
  <w:style w:type="paragraph" w:customStyle="1" w:styleId="MarginEdition">
    <w:name w:val="Margin Edition"/>
    <w:basedOn w:val="MarginNote"/>
    <w:rsid w:val="00CD1542"/>
    <w:pPr>
      <w:spacing w:before="0" w:after="0"/>
    </w:pPr>
    <w:rPr>
      <w:rFonts w:ascii="Times New Roman" w:hAnsi="Times New Roman"/>
      <w:color w:val="999999"/>
    </w:rPr>
  </w:style>
  <w:style w:type="paragraph" w:customStyle="1" w:styleId="Spacer">
    <w:name w:val="Spacer"/>
    <w:basedOn w:val="Normal"/>
    <w:rsid w:val="00CD1542"/>
    <w:rPr>
      <w:sz w:val="2"/>
      <w:szCs w:val="2"/>
    </w:rPr>
  </w:style>
  <w:style w:type="character" w:customStyle="1" w:styleId="Small">
    <w:name w:val="Small"/>
    <w:basedOn w:val="DefaultParagraphFont"/>
    <w:rsid w:val="00CD1542"/>
    <w:rPr>
      <w:sz w:val="16"/>
    </w:rPr>
  </w:style>
  <w:style w:type="paragraph" w:customStyle="1" w:styleId="WideTable">
    <w:name w:val="Wide Table"/>
    <w:basedOn w:val="Normal"/>
    <w:rsid w:val="00CD1542"/>
    <w:pPr>
      <w:ind w:left="-1418"/>
    </w:pPr>
    <w:rPr>
      <w:sz w:val="2"/>
      <w:szCs w:val="2"/>
    </w:rPr>
  </w:style>
  <w:style w:type="character" w:styleId="PageNumber">
    <w:name w:val="page number"/>
    <w:basedOn w:val="DefaultParagraphFont"/>
    <w:rsid w:val="00CD1542"/>
  </w:style>
  <w:style w:type="paragraph" w:styleId="Quote">
    <w:name w:val="Quote"/>
    <w:basedOn w:val="Heading1"/>
    <w:link w:val="QuoteChar"/>
    <w:qFormat/>
    <w:rsid w:val="00CD1542"/>
    <w:rPr>
      <w:b w:val="0"/>
      <w:sz w:val="72"/>
      <w:szCs w:val="72"/>
      <w:lang w:val="en-NZ"/>
    </w:rPr>
  </w:style>
  <w:style w:type="character" w:customStyle="1" w:styleId="QuoteChar">
    <w:name w:val="Quote Char"/>
    <w:basedOn w:val="DefaultParagraphFont"/>
    <w:link w:val="Quote"/>
    <w:rsid w:val="00CD1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542"/>
    <w:pPr>
      <w:pageBreakBefore/>
    </w:pPr>
  </w:style>
  <w:style w:type="paragraph" w:customStyle="1" w:styleId="Border">
    <w:name w:val="Border"/>
    <w:basedOn w:val="Normal"/>
    <w:qFormat/>
    <w:rsid w:val="00CD1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542"/>
    <w:rPr>
      <w:b/>
      <w:bCs/>
      <w:i/>
      <w:iCs/>
      <w:color w:val="auto"/>
    </w:rPr>
  </w:style>
  <w:style w:type="paragraph" w:styleId="IntenseQuote">
    <w:name w:val="Intense Quote"/>
    <w:basedOn w:val="Normal"/>
    <w:next w:val="Normal"/>
    <w:link w:val="IntenseQuoteChar"/>
    <w:uiPriority w:val="30"/>
    <w:qFormat/>
    <w:rsid w:val="00CD1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542"/>
    <w:rPr>
      <w:smallCaps/>
      <w:color w:val="auto"/>
      <w:u w:val="single"/>
    </w:rPr>
  </w:style>
  <w:style w:type="character" w:styleId="IntenseReference">
    <w:name w:val="Intense Reference"/>
    <w:basedOn w:val="DefaultParagraphFont"/>
    <w:uiPriority w:val="32"/>
    <w:qFormat/>
    <w:rsid w:val="00CD1542"/>
    <w:rPr>
      <w:b/>
      <w:bCs/>
      <w:smallCaps/>
      <w:color w:val="auto"/>
      <w:spacing w:val="5"/>
      <w:u w:val="single"/>
    </w:rPr>
  </w:style>
  <w:style w:type="paragraph" w:customStyle="1" w:styleId="2ColumnHeading">
    <w:name w:val="2Column Heading"/>
    <w:basedOn w:val="BodyText"/>
    <w:qFormat/>
    <w:rsid w:val="00CD1542"/>
    <w:pPr>
      <w:spacing w:after="60"/>
      <w:ind w:left="-2268"/>
    </w:pPr>
    <w:rPr>
      <w:b/>
    </w:rPr>
  </w:style>
  <w:style w:type="paragraph" w:customStyle="1" w:styleId="Heading1TOC">
    <w:name w:val="Heading1 TOC"/>
    <w:basedOn w:val="Normal"/>
    <w:qFormat/>
    <w:rsid w:val="00CD1542"/>
    <w:pPr>
      <w:spacing w:before="240" w:after="120"/>
    </w:pPr>
    <w:rPr>
      <w:rFonts w:ascii="Times New Roman" w:hAnsi="Times New Roman"/>
      <w:b/>
      <w:sz w:val="32"/>
    </w:rPr>
  </w:style>
  <w:style w:type="paragraph" w:customStyle="1" w:styleId="Heading2TOC">
    <w:name w:val="Heading2 TOC"/>
    <w:basedOn w:val="Normal"/>
    <w:qFormat/>
    <w:rsid w:val="00CD1542"/>
    <w:pPr>
      <w:spacing w:before="240" w:after="60"/>
    </w:pPr>
    <w:rPr>
      <w:rFonts w:ascii="Times New Roman" w:hAnsi="Times New Roman"/>
      <w:b/>
      <w:sz w:val="28"/>
    </w:rPr>
  </w:style>
  <w:style w:type="character" w:customStyle="1" w:styleId="Underline">
    <w:name w:val="Underline"/>
    <w:basedOn w:val="DefaultParagraphFont"/>
    <w:qFormat/>
    <w:rsid w:val="00CD1542"/>
    <w:rPr>
      <w:u w:val="single"/>
    </w:rPr>
  </w:style>
  <w:style w:type="character" w:customStyle="1" w:styleId="BoldandItalics">
    <w:name w:val="Bold and Italics"/>
    <w:qFormat/>
    <w:rsid w:val="00CD1542"/>
    <w:rPr>
      <w:b/>
      <w:i/>
      <w:u w:val="none"/>
    </w:rPr>
  </w:style>
  <w:style w:type="paragraph" w:styleId="BalloonText">
    <w:name w:val="Balloon Text"/>
    <w:basedOn w:val="Normal"/>
    <w:link w:val="BalloonTextChar"/>
    <w:rsid w:val="00CD1542"/>
    <w:rPr>
      <w:rFonts w:ascii="Tahoma" w:hAnsi="Tahoma" w:cs="Tahoma"/>
      <w:sz w:val="16"/>
      <w:szCs w:val="16"/>
    </w:rPr>
  </w:style>
  <w:style w:type="character" w:customStyle="1" w:styleId="BalloonTextChar">
    <w:name w:val="Balloon Text Char"/>
    <w:basedOn w:val="DefaultParagraphFont"/>
    <w:link w:val="BalloonText"/>
    <w:rsid w:val="00CD1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5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542"/>
    <w:rPr>
      <w:b/>
      <w:color w:val="660033"/>
      <w:spacing w:val="0"/>
    </w:rPr>
  </w:style>
  <w:style w:type="paragraph" w:customStyle="1" w:styleId="Nameditemlist">
    <w:name w:val="Named item list"/>
    <w:basedOn w:val="BodyText"/>
    <w:qFormat/>
    <w:rsid w:val="00CD15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1965</Words>
  <Characters>12034</Characters>
  <Application>Microsoft Office Word</Application>
  <DocSecurity>0</DocSecurity>
  <Lines>429</Lines>
  <Paragraphs>186</Paragraphs>
  <ScaleCrop>false</ScaleCrop>
  <Company>Author-it Software Corporation Ltd.</Company>
  <LinksUpToDate>false</LinksUpToDate>
  <CharactersWithSpaces>13881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UEENEEH184A Modify digital signal processing (DSP) based sub-systems</dc:title>
  <dc:subject>Approved</dc:subject>
  <dc:creator>E-OZ Training Standards</dc:creator>
  <cp:keywords>Release 2</cp:keywords>
  <dc:description>Review Date: 12 April 2008</dc:description>
  <cp:lastModifiedBy>TPCMS</cp:lastModifiedBy>
  <cp:revision>3</cp:revision>
  <dcterms:created xsi:type="dcterms:W3CDTF">2013-08-14T01:02:00Z</dcterms:created>
  <dcterms:modified xsi:type="dcterms:W3CDTF">2013-08-14T01:02:00Z</dcterms:modified>
</cp:coreProperties>
</file>