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8CA" w:rsidP="00AD68CA">
      <w:pPr>
        <w:pStyle w:val="Title"/>
      </w:pPr>
      <w:r>
        <w:fldChar w:fldCharType="begin"/>
      </w:r>
      <w:r>
        <w:instrText xml:space="preserve"> TITLE   \* MERGEFORMAT </w:instrText>
      </w:r>
      <w:r>
        <w:fldChar w:fldCharType="separate"/>
      </w:r>
      <w:r>
        <w:t>UEENEEH183A Analyse the performance of wireless-based electronic - communication systems</w:t>
      </w:r>
      <w:r>
        <w:fldChar w:fldCharType="end"/>
      </w:r>
    </w:p>
    <w:p w:rsidR="00AD68CA" w:rsidP="00AD68CA">
      <w:pPr>
        <w:pStyle w:val="Version"/>
        <w:sectPr w:rsidSect="00B10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0719" w:rsidP="00B10719">
      <w:pPr>
        <w:pStyle w:val="SuperHeading"/>
      </w:pPr>
      <w:r w:rsidRPr="00B10719">
        <w:t>UEENEEH183A Analyse the performance of wireless-based electronic - communication systems</w:t>
      </w:r>
    </w:p>
    <w:p w:rsidR="00000000" w:rsidRPr="00B10719" w:rsidP="00B10719">
      <w:pPr>
        <w:pStyle w:val="Heading1"/>
      </w:pPr>
      <w:bookmarkStart w:id="1" w:name="O_588533"/>
      <w:bookmarkEnd w:id="1"/>
      <w:r w:rsidRPr="00B10719">
        <w:t>Modification History</w:t>
      </w:r>
    </w:p>
    <w:p w:rsidR="00000000" w:rsidRPr="00B10719" w:rsidP="00B10719">
      <w:pPr>
        <w:pStyle w:val="BodyText"/>
      </w:pPr>
      <w:r w:rsidRPr="00B10719">
        <w:t>Not applicable.</w:t>
      </w:r>
    </w:p>
    <w:p w:rsidR="00000000" w:rsidRPr="00B10719" w:rsidP="00B10719">
      <w:pPr>
        <w:pStyle w:val="AllowPageBreak"/>
      </w:pPr>
    </w:p>
    <w:p w:rsidR="00000000" w:rsidRPr="00B10719" w:rsidP="00B10719">
      <w:pPr>
        <w:pStyle w:val="Heading1"/>
      </w:pPr>
      <w:bookmarkStart w:id="2" w:name="O_588532"/>
      <w:bookmarkEnd w:id="2"/>
      <w:r w:rsidRPr="00B10719">
        <w:t>Unit Descriptor</w:t>
      </w:r>
    </w:p>
    <w:tbl>
      <w:tblPr>
        <w:tblW w:w="0" w:type="auto"/>
        <w:tblLayout w:type="fixed"/>
        <w:tblCellMar>
          <w:left w:w="62" w:type="dxa"/>
          <w:right w:w="62" w:type="dxa"/>
        </w:tblCellMar>
        <w:tblLook w:val="0000"/>
      </w:tblPr>
      <w:tblGrid>
        <w:gridCol w:w="2700"/>
        <w:gridCol w:w="5760"/>
      </w:tblGrid>
      <w:tr w:rsidTr="00AD68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1)</w:t>
            </w:r>
            <w:r w:rsidRPr="00B10719">
              <w:t xml:space="preserve"> </w:t>
            </w:r>
            <w:r w:rsidRPr="00B10719">
              <w:rPr>
                <w:rStyle w:val="SpecialBold"/>
              </w:rPr>
              <w:t>Scope:</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07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1.1) Descriptor</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This unit covers the analysis of wireless-based electronic systems to provide solutions to mobile communications performance. It encompasses working safely, applying extensive knowledge of mobile communications parameters, gathering and analysing data, app</w:t>
            </w:r>
            <w:r w:rsidRPr="00B10719">
              <w:t>lying problem solving techniques, developing and documenting results and solutions for use in design work.</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3" w:name="O_588531"/>
      <w:bookmarkEnd w:id="3"/>
      <w:r w:rsidRPr="00B10719">
        <w:t>Application of the Unit</w:t>
      </w:r>
    </w:p>
    <w:tbl>
      <w:tblPr>
        <w:tblW w:w="0" w:type="auto"/>
        <w:tblLayout w:type="fixed"/>
        <w:tblCellMar>
          <w:left w:w="62" w:type="dxa"/>
          <w:right w:w="62" w:type="dxa"/>
        </w:tblCellMar>
        <w:tblLook w:val="0000"/>
      </w:tblPr>
      <w:tblGrid>
        <w:gridCol w:w="2672"/>
        <w:gridCol w:w="5699"/>
      </w:tblGrid>
      <w:tr w:rsidTr="00AD68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2)</w:t>
            </w:r>
          </w:p>
        </w:tc>
      </w:tr>
      <w:tr w:rsidTr="00AD68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This unit is intended to augment formally acquired competencies. It is suitable for employment-based programs under an approved contract of training or institutional based delivery. It is intended to apply to any formal recognition for this standard at the</w:t>
            </w:r>
            <w:r w:rsidRPr="00B10719">
              <w:t xml:space="preserve"> aligned AQF 6 level.</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4" w:name="O_588530"/>
      <w:bookmarkEnd w:id="4"/>
      <w:r w:rsidRPr="00B10719">
        <w:t>Licensing/Regulatory Information</w:t>
      </w:r>
    </w:p>
    <w:tbl>
      <w:tblPr>
        <w:tblW w:w="0" w:type="auto"/>
        <w:tblLayout w:type="fixed"/>
        <w:tblCellMar>
          <w:left w:w="62" w:type="dxa"/>
          <w:right w:w="62" w:type="dxa"/>
        </w:tblCellMar>
        <w:tblLook w:val="0000"/>
      </w:tblPr>
      <w:tblGrid>
        <w:gridCol w:w="2700"/>
        <w:gridCol w:w="5760"/>
      </w:tblGrid>
      <w:tr w:rsidTr="00AD68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 xml:space="preserve">3) </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The skills and knowledge described in this unit do not require a license to practice in the workplace. However, practice in this unit is subject to regulati</w:t>
            </w:r>
            <w:r w:rsidRPr="00B10719">
              <w:t xml:space="preserve">ons directly related to occupational health and safety, codes of work practice and standard work procedures related to the </w:t>
            </w:r>
            <w:r w:rsidRPr="00B10719">
              <w:t>operation of automated machinery.</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5" w:name="O_588529"/>
      <w:bookmarkEnd w:id="5"/>
      <w:r w:rsidRPr="00B10719">
        <w:t>Pre-Requisites</w:t>
      </w:r>
    </w:p>
    <w:tbl>
      <w:tblPr>
        <w:tblW w:w="0" w:type="auto"/>
        <w:tblLayout w:type="fixed"/>
        <w:tblCellMar>
          <w:left w:w="62" w:type="dxa"/>
          <w:right w:w="62" w:type="dxa"/>
        </w:tblCellMar>
        <w:tblLook w:val="0000"/>
      </w:tblPr>
      <w:tblGrid>
        <w:gridCol w:w="2700"/>
        <w:gridCol w:w="1620"/>
        <w:gridCol w:w="4140"/>
      </w:tblGrid>
      <w:tr w:rsidTr="00AD68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 xml:space="preserve">4) </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4.1)</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Granting competency in this unit shall be made only after competency in the following unit(s) has/have been confirmed.</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UEENEEE101A</w:t>
            </w:r>
          </w:p>
        </w:tc>
        <w:tc>
          <w:tcPr>
            <w:tcW w:w="414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 xml:space="preserve">Apply Occupational Health and Safety regulations, codes and practices in the workplace </w:t>
            </w:r>
          </w:p>
        </w:tc>
      </w:tr>
    </w:tbl>
    <w:p w:rsidR="00000000" w:rsidRPr="00B10719" w:rsidP="00B107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D68C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4.2</w:t>
            </w:r>
            <w:r w:rsidRPr="00B10719">
              <w:rPr>
                <w:rStyle w:val="SpecialBold"/>
              </w:rPr>
              <w:t xml:space="preserve">) </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Participants are best equipped to achieve competency in this unit if they have reading, writing and numeracy skills indicated by the following scales. Description of each scale is given in Volume 2, Part 3 ‘Literacy and Numeracy’</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Reading</w:t>
            </w:r>
          </w:p>
        </w:tc>
        <w:tc>
          <w:tcPr>
            <w:tcW w:w="81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5</w:t>
            </w:r>
          </w:p>
        </w:tc>
        <w:tc>
          <w:tcPr>
            <w:tcW w:w="99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Writing</w:t>
            </w: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5</w:t>
            </w:r>
          </w:p>
        </w:tc>
        <w:tc>
          <w:tcPr>
            <w:tcW w:w="12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Numeracy</w:t>
            </w:r>
          </w:p>
        </w:tc>
        <w:tc>
          <w:tcPr>
            <w:tcW w:w="72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5</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6" w:name="O_588528"/>
      <w:bookmarkEnd w:id="6"/>
      <w:r w:rsidRPr="00B10719">
        <w:t>Employability Skills Information</w:t>
      </w:r>
    </w:p>
    <w:tbl>
      <w:tblPr>
        <w:tblW w:w="0" w:type="auto"/>
        <w:tblLayout w:type="fixed"/>
        <w:tblCellMar>
          <w:left w:w="62" w:type="dxa"/>
          <w:right w:w="62" w:type="dxa"/>
        </w:tblCellMar>
        <w:tblLook w:val="0000"/>
      </w:tblPr>
      <w:tblGrid>
        <w:gridCol w:w="2700"/>
        <w:gridCol w:w="5760"/>
      </w:tblGrid>
      <w:tr w:rsidTr="00AD68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 xml:space="preserve">5) </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This unit contains Employability Skills</w:t>
            </w:r>
          </w:p>
          <w:p w:rsidR="00000000" w:rsidRPr="00B10719" w:rsidP="00B10719">
            <w:pPr>
              <w:pStyle w:val="BodyText"/>
            </w:pPr>
            <w:r w:rsidRPr="00B1071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10719">
              <w:t>requirements.</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7" w:name="O_588527"/>
      <w:bookmarkEnd w:id="7"/>
      <w:r w:rsidRPr="00B10719">
        <w:t>Elements and Performance Criteria Pre-Content</w:t>
      </w:r>
    </w:p>
    <w:tbl>
      <w:tblPr>
        <w:tblW w:w="0" w:type="auto"/>
        <w:tblLayout w:type="fixed"/>
        <w:tblCellMar>
          <w:left w:w="62" w:type="dxa"/>
          <w:right w:w="62" w:type="dxa"/>
        </w:tblCellMar>
        <w:tblLook w:val="0000"/>
      </w:tblPr>
      <w:tblGrid>
        <w:gridCol w:w="2700"/>
        <w:gridCol w:w="5760"/>
      </w:tblGrid>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6)</w:t>
            </w:r>
            <w:r w:rsidRPr="00B107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Performance Criteria describe the required performance needed to demonstrate achievement of the element. Assessment of performance is to be consistent with the Evidence Guide.</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8" w:name="O_588526"/>
      <w:bookmarkEnd w:id="8"/>
      <w:r w:rsidRPr="00B1071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68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PERFORMANCE CRITER</w:t>
            </w:r>
            <w:r w:rsidRPr="00B10719">
              <w:rPr>
                <w:rStyle w:val="SpecialBold"/>
              </w:rPr>
              <w:t>IA</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w:t>
            </w:r>
          </w:p>
        </w:tc>
        <w:tc>
          <w:tcPr>
            <w:tcW w:w="2296"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Prepare to analyse the performance of wireless-based systems</w:t>
            </w: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1.1</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OHS processes and procedures for a given work area are obtained and understood.</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1.2</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Established OHS risk control measures and procedures are followed in preparation for the work.</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1.3</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The extent of the wireless-based electronic systems issues are determined from performance specifications and situation reports and in consultations with relevant persons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1.4</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Activities are planned to meet scheduled timelines in consultation with others involved in the work.</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1.5</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Effective strategies are formed to ensure solution development and implementation is carried out efficiently.</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w:t>
            </w:r>
          </w:p>
        </w:tc>
        <w:tc>
          <w:tcPr>
            <w:tcW w:w="2296"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Analyse the wireless-based electron</w:t>
            </w:r>
            <w:r w:rsidRPr="00B10719">
              <w:t>ic systems performance</w:t>
            </w: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2.1</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OHS risk control measures and procedures for carrying out the work are followed.</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2.2</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Knowledge of wireless communications principles are applied to analytical solutions to electronic systems.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2.3</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Parameters, specifications and performance requirements in relation to wireless-based electronic systems are obtained in accordance with established procedures.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2.4</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 xml:space="preserve">Approaches to analysing wireless-based electronic systems parameters are carried out to </w:t>
            </w:r>
            <w:r w:rsidRPr="00B10719">
              <w:t>provide the most effective solution.</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2.5</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Unplanned events are dealt with safely and effectively consistent with regulatory requirements and enterprise policy.</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2.6</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 xml:space="preserve">Quality of work is monitored against personal performance agreement and/or established </w:t>
            </w:r>
            <w:r w:rsidRPr="00B10719">
              <w:t>organizational or professional standards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3</w:t>
            </w:r>
          </w:p>
        </w:tc>
        <w:tc>
          <w:tcPr>
            <w:tcW w:w="2296"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Document and report on the results of the wireless-based electronic systems performance analysis and actions taken</w:t>
            </w: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3.1</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Solutions t</w:t>
            </w:r>
            <w:r w:rsidRPr="00B10719">
              <w:t>o wireless-based electronic systems issues are evaluated to determine their effectiveness and modified where necessary.</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3.2</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Analysis is documented including details of all findings, calculations and assumptions.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3.3</w:t>
            </w:r>
          </w:p>
        </w:tc>
        <w:tc>
          <w:tcPr>
            <w:tcW w:w="48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Analysis is reported to appropriat</w:t>
            </w:r>
            <w:r w:rsidRPr="00B10719">
              <w:t>ely personnel to establish appropriate action to be taken based on findings.</w:t>
            </w:r>
          </w:p>
        </w:tc>
      </w:tr>
      <w:tr w:rsidTr="00AD68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t>3.4</w:t>
            </w:r>
          </w:p>
        </w:tc>
        <w:tc>
          <w:tcPr>
            <w:tcW w:w="48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Justification for findings and any actions to be undertaken in relation to the equipment is documented for inclusion in work/project or development records in accordance wi</w:t>
            </w:r>
            <w:r w:rsidRPr="00B10719">
              <w:t>th professional standards.</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9" w:name="O_588525"/>
      <w:bookmarkEnd w:id="9"/>
      <w:r w:rsidRPr="00B10719">
        <w:t>Required Skills and Knowledge</w:t>
      </w:r>
    </w:p>
    <w:tbl>
      <w:tblPr>
        <w:tblW w:w="0" w:type="auto"/>
        <w:tblLayout w:type="fixed"/>
        <w:tblCellMar>
          <w:left w:w="62" w:type="dxa"/>
          <w:right w:w="62" w:type="dxa"/>
        </w:tblCellMar>
        <w:tblLook w:val="0000"/>
      </w:tblPr>
      <w:tblGrid>
        <w:gridCol w:w="8460"/>
      </w:tblGrid>
      <w:tr w:rsidTr="00AD68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REQUIRED SKILLS AND KNOWLEDGE</w:t>
            </w:r>
          </w:p>
        </w:tc>
      </w:tr>
      <w:tr w:rsidTr="00AD68C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8)</w:t>
            </w:r>
            <w:r w:rsidRPr="00B10719">
              <w:t xml:space="preserve"> This describes the essential skills and knowledge and their level, required for this unit.</w:t>
            </w:r>
          </w:p>
          <w:p w:rsidR="00000000" w:rsidRPr="00B10719" w:rsidP="00B10719">
            <w:pPr>
              <w:pStyle w:val="BodyText"/>
            </w:pPr>
            <w:r w:rsidRPr="00B10719">
              <w:t xml:space="preserve">Evidence shall show that knowledge has been acquired of safe working practices and analysing the performance of wireless-based electronic systems. </w:t>
            </w:r>
          </w:p>
          <w:p w:rsidR="00000000" w:rsidRPr="00B10719" w:rsidP="00B10719">
            <w:pPr>
              <w:pStyle w:val="BodyText"/>
            </w:pPr>
            <w:r w:rsidRPr="00B10719">
              <w:t>All knowledge and skills detailed in this unit should be contextualised to current industry practices and te</w:t>
            </w:r>
            <w:r w:rsidRPr="00B10719">
              <w:t>chnologies.</w:t>
            </w:r>
          </w:p>
          <w:p w:rsidR="00000000" w:rsidRPr="00B10719" w:rsidP="00B10719">
            <w:pPr>
              <w:pStyle w:val="BodyText"/>
            </w:pPr>
            <w:r w:rsidRPr="00B10719">
              <w:rPr>
                <w:rStyle w:val="SpecialBold"/>
              </w:rPr>
              <w:t>KS01-EH183A</w:t>
            </w:r>
            <w:r w:rsidRPr="00B10719">
              <w:rPr>
                <w:rStyle w:val="SpecialBold"/>
              </w:rPr>
              <w:tab/>
              <w:t xml:space="preserve">             Wireless networks infrastructure </w:t>
            </w:r>
          </w:p>
          <w:p w:rsidR="00000000" w:rsidRPr="00B10719" w:rsidP="00B10719">
            <w:pPr>
              <w:pStyle w:val="BodyText"/>
            </w:pPr>
            <w:r w:rsidRPr="00B10719">
              <w:t>Evidence shall show an understanding of wireless networks infrastructure, applying safe working practices and relevant Standards, Codes and Regulations to an extent indicated by the fol</w:t>
            </w:r>
            <w:r w:rsidRPr="00B10719">
              <w:t>lowing aspects:</w:t>
            </w:r>
          </w:p>
          <w:p w:rsidR="00000000" w:rsidRPr="00B10719" w:rsidP="00B10719">
            <w:pPr>
              <w:pStyle w:val="BodyText"/>
            </w:pPr>
            <w:r w:rsidRPr="00B10719">
              <w:t>T1. Networking fundamentals encompassing:</w:t>
            </w:r>
          </w:p>
          <w:p w:rsidR="00000000" w:rsidRPr="00B10719" w:rsidP="00B10719">
            <w:pPr>
              <w:pStyle w:val="ListBullet"/>
            </w:pPr>
            <w:r w:rsidRPr="00B10719">
              <w:t>How information is carried</w:t>
            </w:r>
          </w:p>
          <w:p w:rsidR="00000000" w:rsidRPr="00B10719" w:rsidP="00B10719">
            <w:pPr>
              <w:pStyle w:val="ListBullet"/>
            </w:pPr>
            <w:r w:rsidRPr="00B10719">
              <w:t>Signal distortion (Examples include attenuation, reflection, noise, dispersion, jitter, latency and collisions, Bit Error Rate)</w:t>
            </w:r>
          </w:p>
          <w:p w:rsidR="00000000" w:rsidRPr="00B10719" w:rsidP="00B10719">
            <w:pPr>
              <w:pStyle w:val="ListBullet"/>
            </w:pPr>
            <w:r w:rsidRPr="00B10719">
              <w:t xml:space="preserve">Types of networks, network components and </w:t>
            </w:r>
            <w:r w:rsidRPr="00B10719">
              <w:t>hardware</w:t>
            </w:r>
          </w:p>
          <w:p w:rsidR="00000000" w:rsidRPr="00B10719" w:rsidP="00B10719">
            <w:pPr>
              <w:pStyle w:val="ListBullet"/>
            </w:pPr>
            <w:r w:rsidRPr="00B10719">
              <w:t>Local Area Network (LAN) architectures</w:t>
            </w:r>
          </w:p>
          <w:p w:rsidR="00000000" w:rsidRPr="00B10719" w:rsidP="00B10719">
            <w:pPr>
              <w:pStyle w:val="ListBullet"/>
            </w:pPr>
            <w:r w:rsidRPr="00B10719">
              <w:t>Networking protocols and the OSI model</w:t>
            </w:r>
          </w:p>
          <w:p w:rsidR="00000000" w:rsidRPr="00B10719" w:rsidP="00B10719">
            <w:pPr>
              <w:pStyle w:val="ListBullet"/>
            </w:pPr>
            <w:r w:rsidRPr="00B10719">
              <w:t xml:space="preserve">Network signal propagation </w:t>
            </w:r>
          </w:p>
          <w:p w:rsidR="00000000" w:rsidRPr="00B10719" w:rsidP="00B10719">
            <w:pPr>
              <w:pStyle w:val="ListBullet"/>
            </w:pPr>
            <w:r w:rsidRPr="00B10719">
              <w:t xml:space="preserve">Transmission Control Protocol / Internet Protocol (TCP/IP) </w:t>
            </w:r>
          </w:p>
          <w:p w:rsidR="00000000" w:rsidRPr="00B10719" w:rsidP="00B10719">
            <w:pPr>
              <w:pStyle w:val="ListBullet"/>
            </w:pPr>
            <w:r w:rsidRPr="00B10719">
              <w:t>Basics of Encoding Networking Signals</w:t>
            </w:r>
          </w:p>
          <w:p w:rsidR="00000000" w:rsidRPr="00B10719" w:rsidP="00B10719">
            <w:pPr>
              <w:pStyle w:val="ListBullet"/>
            </w:pPr>
            <w:r w:rsidRPr="00B10719">
              <w:t>Internet services</w:t>
            </w:r>
          </w:p>
          <w:p w:rsidR="00000000" w:rsidRPr="00B10719" w:rsidP="00B10719">
            <w:pPr>
              <w:pStyle w:val="BodyText"/>
            </w:pPr>
            <w:r w:rsidRPr="00B10719">
              <w:t>T2. Wireless networks infrastructure encompassing:</w:t>
            </w:r>
          </w:p>
          <w:p w:rsidR="00000000" w:rsidRPr="00B10719" w:rsidP="00B10719">
            <w:pPr>
              <w:pStyle w:val="ListBullet"/>
            </w:pPr>
            <w:r w:rsidRPr="00B10719">
              <w:t>Network configurations</w:t>
            </w:r>
          </w:p>
          <w:p w:rsidR="00000000" w:rsidRPr="00B10719" w:rsidP="00B10719">
            <w:pPr>
              <w:pStyle w:val="ListBullet"/>
            </w:pPr>
            <w:r w:rsidRPr="00B10719">
              <w:t>Wireless network security</w:t>
            </w:r>
          </w:p>
          <w:p w:rsidR="00000000" w:rsidRPr="00B10719" w:rsidP="00B10719">
            <w:pPr>
              <w:pStyle w:val="BodyText"/>
            </w:pPr>
            <w:r w:rsidRPr="00B10719">
              <w:t>T3. Fundamentals of wireless security encompassing:</w:t>
            </w:r>
          </w:p>
          <w:p w:rsidR="00000000" w:rsidRPr="00B10719" w:rsidP="00B10719">
            <w:pPr>
              <w:pStyle w:val="ListBullet"/>
            </w:pPr>
            <w:r w:rsidRPr="00B10719">
              <w:t>Wireless topologies</w:t>
            </w:r>
          </w:p>
          <w:p w:rsidR="00000000" w:rsidRPr="00B10719" w:rsidP="00B10719">
            <w:pPr>
              <w:pStyle w:val="ListBullet"/>
            </w:pPr>
            <w:r w:rsidRPr="00B10719">
              <w:t>Network Interface Cards (NICs)</w:t>
            </w:r>
          </w:p>
          <w:p w:rsidR="00000000" w:rsidRPr="00B10719" w:rsidP="00B10719">
            <w:pPr>
              <w:pStyle w:val="ListBullet"/>
            </w:pPr>
            <w:r w:rsidRPr="00B10719">
              <w:t>Access points</w:t>
            </w:r>
          </w:p>
          <w:p w:rsidR="00000000" w:rsidRPr="00B10719" w:rsidP="00B10719">
            <w:pPr>
              <w:pStyle w:val="ListBullet"/>
            </w:pPr>
            <w:r w:rsidRPr="00B10719">
              <w:t>Bridges</w:t>
            </w:r>
          </w:p>
          <w:p w:rsidR="00000000" w:rsidRPr="00B10719" w:rsidP="00B10719">
            <w:pPr>
              <w:pStyle w:val="ListBullet"/>
            </w:pPr>
            <w:r w:rsidRPr="00B10719">
              <w:t>Antennas</w:t>
            </w:r>
          </w:p>
          <w:p w:rsidR="00000000" w:rsidRPr="00B10719" w:rsidP="00B10719">
            <w:pPr>
              <w:pStyle w:val="ListBullet"/>
            </w:pPr>
            <w:r w:rsidRPr="00B10719">
              <w:t>Security</w:t>
            </w:r>
          </w:p>
          <w:p w:rsidR="00000000" w:rsidRPr="00B10719" w:rsidP="00B10719">
            <w:pPr>
              <w:pStyle w:val="ListBullet"/>
            </w:pPr>
            <w:r w:rsidRPr="00B10719">
              <w:t>Application</w:t>
            </w:r>
            <w:r w:rsidRPr="00B10719">
              <w:t xml:space="preserve"> design and site survey preparation</w:t>
            </w:r>
          </w:p>
          <w:p w:rsidR="00000000" w:rsidRPr="00B10719" w:rsidP="00B10719">
            <w:pPr>
              <w:pStyle w:val="ListBullet"/>
            </w:pPr>
            <w:r w:rsidRPr="00B10719">
              <w:t>Troubleshooting, management, monitoring and diagnostics</w:t>
            </w:r>
          </w:p>
          <w:p w:rsidR="00000000" w:rsidRPr="00B10719" w:rsidP="00B10719">
            <w:pPr>
              <w:pStyle w:val="ListBullet"/>
            </w:pPr>
            <w:r w:rsidRPr="00B10719">
              <w:t>Emerging technologies</w:t>
            </w:r>
          </w:p>
          <w:p w:rsidR="00000000" w:rsidRPr="00B10719" w:rsidP="00B10719">
            <w:pPr>
              <w:pStyle w:val="BodyText"/>
            </w:pPr>
            <w:r w:rsidRPr="00B10719">
              <w:t>T4.  OH&amp;S encompassing:</w:t>
            </w:r>
          </w:p>
          <w:p w:rsidR="00000000" w:rsidRPr="00B10719" w:rsidP="00B10719">
            <w:pPr>
              <w:pStyle w:val="ListBullet"/>
            </w:pPr>
            <w:r w:rsidRPr="00B10719">
              <w:t>Standards, Codes and Regulations of ACMA regulation for power, frequency and antenna gain and Occupational Health &amp; S</w:t>
            </w:r>
            <w:r w:rsidRPr="00B10719">
              <w:t>afety.</w:t>
            </w:r>
          </w:p>
          <w:p w:rsidR="00000000" w:rsidRPr="00B10719" w:rsidP="00B10719">
            <w:pPr>
              <w:pStyle w:val="ListBullet"/>
            </w:pPr>
            <w:r w:rsidRPr="00B10719">
              <w:t>All tasks to be carried out in accordance with current OH&amp;S procedures.</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10" w:name="O_588524"/>
      <w:bookmarkEnd w:id="10"/>
      <w:r w:rsidRPr="00B10719">
        <w:t>Evidence Guide</w:t>
      </w:r>
    </w:p>
    <w:tbl>
      <w:tblPr>
        <w:tblW w:w="0" w:type="auto"/>
        <w:tblLayout w:type="fixed"/>
        <w:tblCellMar>
          <w:left w:w="62" w:type="dxa"/>
          <w:right w:w="62" w:type="dxa"/>
        </w:tblCellMar>
        <w:tblLook w:val="0000"/>
      </w:tblPr>
      <w:tblGrid>
        <w:gridCol w:w="8460"/>
      </w:tblGrid>
      <w:tr w:rsidTr="00AD68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EVIDENCE GUIDE</w:t>
            </w:r>
          </w:p>
        </w:tc>
      </w:tr>
      <w:tr w:rsidTr="00AD68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9)</w:t>
            </w:r>
            <w:r w:rsidRPr="00B10719">
              <w:t xml:space="preserve">  The evidence guide provides advice on assessment and must be read in conjunction with the Performance </w:t>
            </w:r>
            <w:r w:rsidRPr="00B10719">
              <w:t>Criteria, Required Skills and Knowledge, the Range Statement and the Assessment Guidelines for this Training Package. .</w:t>
            </w:r>
          </w:p>
          <w:p w:rsidR="00000000" w:rsidRPr="00B10719" w:rsidP="00B10719">
            <w:pPr>
              <w:pStyle w:val="BodyText"/>
            </w:pPr>
            <w:r w:rsidRPr="00B10719">
              <w:t>The Evidence Guide forms an integral part of this unit. It must be used in conjunction with all parts of the unit and performed in accor</w:t>
            </w:r>
            <w:r w:rsidRPr="00B10719">
              <w:t>dance with the Assessment Guidelines of this Training Package.</w:t>
            </w:r>
          </w:p>
        </w:tc>
      </w:tr>
    </w:tbl>
    <w:p w:rsidR="00000000" w:rsidRPr="00B10719" w:rsidP="00B10719">
      <w:pPr>
        <w:pStyle w:val="BodyText"/>
      </w:pPr>
    </w:p>
    <w:tbl>
      <w:tblPr>
        <w:tblW w:w="0" w:type="auto"/>
        <w:tblLayout w:type="fixed"/>
        <w:tblCellMar>
          <w:left w:w="62" w:type="dxa"/>
          <w:right w:w="62" w:type="dxa"/>
        </w:tblCellMar>
        <w:tblLook w:val="0000"/>
      </w:tblPr>
      <w:tblGrid>
        <w:gridCol w:w="1890"/>
        <w:gridCol w:w="6570"/>
      </w:tblGrid>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9.1)</w:t>
            </w:r>
          </w:p>
        </w:tc>
      </w:tr>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 xml:space="preserve">Longitudinal competency development approaches to assessment, such as Profiling, require data to be reliably gathered in a form that can be </w:t>
            </w:r>
            <w:r w:rsidRPr="00B10719">
              <w:t>consistently interpreted over time. This approach is best utilised in Apprenticeship programs and reduces assessment intervention. It is the Industry-preferred model for apprenticeships. However, where summative (or final) assessment is used it must includ</w:t>
            </w:r>
            <w:r w:rsidRPr="00B10719">
              <w:t>e the application of the competency in the normal work environment or, at a minimum, the application of the competency in a realistically simulated work environment. It is recognised that, in some circumstances, assessment in part or full can occur outside</w:t>
            </w:r>
            <w:r w:rsidRPr="00B10719">
              <w:t xml:space="preserve"> the workplace. However, it must be in accord with industry and regulatory policy.</w:t>
            </w:r>
          </w:p>
          <w:p w:rsidR="00000000" w:rsidRPr="00B10719" w:rsidP="00B10719">
            <w:pPr>
              <w:pStyle w:val="BodyText"/>
            </w:pPr>
            <w:r w:rsidRPr="00B10719">
              <w:t>Methods chosen for a particular assessment will be influenced by various factors. These include the extent of the assessment, the most effective locations for the assessment</w:t>
            </w:r>
            <w:r w:rsidRPr="00B10719">
              <w:t xml:space="preserve"> activities to take place, access to physical resources, additional safety measures that may be required and the critical nature of the competencies being assessed.</w:t>
            </w:r>
          </w:p>
          <w:p w:rsidR="00000000" w:rsidRPr="00B10719" w:rsidP="00B10719">
            <w:pPr>
              <w:pStyle w:val="BodyText"/>
            </w:pPr>
            <w:r w:rsidRPr="00B10719">
              <w:t>The critical safety nature of working with electricity, electrical equipment, gas or any ot</w:t>
            </w:r>
            <w:r w:rsidRPr="00B10719">
              <w:t>her hazardous substance/material carries risk in deeming a person competent. Sources of evidence need to be ‘rich’ in nature to minimise error in judgment.</w:t>
            </w:r>
          </w:p>
          <w:p w:rsidR="00000000" w:rsidRPr="00B10719" w:rsidP="00B10719">
            <w:pPr>
              <w:pStyle w:val="BodyText"/>
            </w:pPr>
            <w:r w:rsidRPr="00B10719">
              <w:t>Activities associated with normal everyday work influence decisions about how/how much the data gath</w:t>
            </w:r>
            <w:r w:rsidRPr="00B10719">
              <w:t>ered will contribute to its ‘richness’. Some skills are more critical to safety and operational requirements while the same skills may be more or less frequently practised. These points are raised for the assessors to consider when choosing an assessment m</w:t>
            </w:r>
            <w:r w:rsidRPr="00B10719">
              <w:t>ethod and developing assessment instruments. Sample assessment instruments are included for Assessors in the Assessment Guidelines of this Training Package.</w:t>
            </w:r>
          </w:p>
        </w:tc>
      </w:tr>
    </w:tbl>
    <w:p w:rsidR="00000000" w:rsidRPr="00B10719" w:rsidP="00B10719">
      <w:pPr>
        <w:pStyle w:val="BodyText"/>
      </w:pPr>
    </w:p>
    <w:tbl>
      <w:tblPr>
        <w:tblW w:w="0" w:type="auto"/>
        <w:tblLayout w:type="fixed"/>
        <w:tblCellMar>
          <w:left w:w="62" w:type="dxa"/>
          <w:right w:w="62" w:type="dxa"/>
        </w:tblCellMar>
        <w:tblLook w:val="0000"/>
      </w:tblPr>
      <w:tblGrid>
        <w:gridCol w:w="1890"/>
        <w:gridCol w:w="6570"/>
      </w:tblGrid>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9.2)</w:t>
            </w:r>
          </w:p>
        </w:tc>
      </w:tr>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Before the cr</w:t>
            </w:r>
            <w:r w:rsidRPr="00B10719">
              <w:t>itical aspects of evidence are considered all prerequisites shall be met.</w:t>
            </w:r>
          </w:p>
          <w:p w:rsidR="00000000" w:rsidRPr="00B10719" w:rsidP="00B10719">
            <w:pPr>
              <w:pStyle w:val="BodyText"/>
            </w:pPr>
            <w:r w:rsidRPr="00B10719">
              <w:t>Evidence for competence in this unit shall be considered holistically.  Each Element and associated performance criteria shall be demonstrated on at least two occasions in accordance</w:t>
            </w:r>
            <w:r w:rsidRPr="00B10719">
              <w:t xml:space="preserve"> with the ‘Assessment Guidelines – UEE11’.  Evidence shall also comprise:</w:t>
            </w:r>
          </w:p>
          <w:p w:rsidR="00000000" w:rsidRPr="00B10719" w:rsidP="00B10719">
            <w:pPr>
              <w:pStyle w:val="ListBullet"/>
            </w:pPr>
            <w:r w:rsidRPr="00B10719">
              <w:t>A representative body of work performance demonstrated within the timeframes typically expected of the discipline, work function and industrial environment. In particular this shall</w:t>
            </w:r>
            <w:r w:rsidRPr="00B10719">
              <w:t xml:space="preserve"> incorporate evidence that shows a candidate is able to:</w:t>
            </w:r>
          </w:p>
          <w:p w:rsidR="00000000" w:rsidRPr="00B10719" w:rsidP="00B10719">
            <w:pPr>
              <w:pStyle w:val="ListBullet2"/>
            </w:pPr>
            <w:r w:rsidRPr="00B10719">
              <w:t>Implement Occupational Health and Safety workplace procedures and practices, including the use of risk control measures as specified in the performance criteria and range statement</w:t>
            </w:r>
          </w:p>
          <w:p w:rsidR="00000000" w:rsidRPr="00B10719" w:rsidP="00B10719">
            <w:pPr>
              <w:pStyle w:val="ListBullet2"/>
            </w:pPr>
            <w:r w:rsidRPr="00B10719">
              <w:t>Apply sustainable energy principles and practices as specified in the performance criteria and range statement</w:t>
            </w:r>
          </w:p>
          <w:p w:rsidR="00000000" w:rsidRPr="00B10719" w:rsidP="00B10719">
            <w:pPr>
              <w:pStyle w:val="ListBullet2"/>
            </w:pPr>
            <w:r w:rsidRPr="00B10719">
              <w:t>Demonstrate an understanding of the essential knowledge and associated skills as described in this unit.  It may be required by some jurisdiction</w:t>
            </w:r>
            <w:r w:rsidRPr="00B10719">
              <w:t>s that RTOs provide a percentile graded result for the purpose of regulatory or licensing requirements.</w:t>
            </w:r>
          </w:p>
          <w:p w:rsidR="00000000" w:rsidRPr="00B10719" w:rsidP="00B10719">
            <w:pPr>
              <w:pStyle w:val="ListBullet2"/>
            </w:pPr>
            <w:r w:rsidRPr="00B10719">
              <w:t>Demonstrate an appropriate level of skills enabling employment</w:t>
            </w:r>
          </w:p>
          <w:p w:rsidR="00000000" w:rsidRPr="00B10719" w:rsidP="00B10719">
            <w:pPr>
              <w:pStyle w:val="ListBullet2"/>
            </w:pPr>
            <w:r w:rsidRPr="00B10719">
              <w:t>Conduct work observing the relevant Anti Discrimination legislation, regulations, polices</w:t>
            </w:r>
            <w:r w:rsidRPr="00B10719">
              <w:t xml:space="preserve"> and workplace procedures</w:t>
            </w:r>
          </w:p>
          <w:p w:rsidR="00000000" w:rsidRPr="00B10719" w:rsidP="00B10719">
            <w:pPr>
              <w:pStyle w:val="ListBullet"/>
            </w:pPr>
            <w:r w:rsidRPr="00B10719">
              <w:t>Demonstrated consistent performance across a representative range of contexts from the prescribed items below:</w:t>
            </w:r>
          </w:p>
          <w:p w:rsidR="00000000" w:rsidRPr="00B10719" w:rsidP="00B10719">
            <w:pPr>
              <w:pStyle w:val="ListBullet2"/>
            </w:pPr>
            <w:r w:rsidRPr="00B10719">
              <w:t>Analyse the performance of wireless-based electronic systems as described in 8) and including:</w:t>
            </w:r>
          </w:p>
          <w:p w:rsidR="00000000" w:rsidRPr="00B10719" w:rsidP="00B10719">
            <w:pPr>
              <w:pStyle w:val="ListAlpha2"/>
            </w:pPr>
            <w:r w:rsidRPr="00B10719">
              <w:t>U</w:t>
            </w:r>
            <w:r w:rsidRPr="00B10719">
              <w:t>nderstanding the wireless-based electronic systems performance issues.</w:t>
            </w:r>
          </w:p>
          <w:p w:rsidR="00000000" w:rsidRPr="00B10719" w:rsidP="00B10719">
            <w:pPr>
              <w:pStyle w:val="ListAlpha2"/>
            </w:pPr>
            <w:r w:rsidRPr="00B10719">
              <w:t>Forming effective strategies for analysing wireless-based electronic systems performance.</w:t>
            </w:r>
          </w:p>
          <w:p w:rsidR="00000000" w:rsidRPr="00B10719" w:rsidP="00B10719">
            <w:pPr>
              <w:pStyle w:val="ListAlpha2"/>
            </w:pPr>
            <w:r w:rsidRPr="00B10719">
              <w:t>Obtaining wireless-based electronic systems performance parameters, specifications and performance requirements appropriate to each situation.</w:t>
            </w:r>
          </w:p>
          <w:p w:rsidR="00000000" w:rsidRPr="00B10719" w:rsidP="00B10719">
            <w:pPr>
              <w:pStyle w:val="ListAlpha2"/>
            </w:pPr>
            <w:r w:rsidRPr="00B10719">
              <w:t>Evaluating the results of the analysis.</w:t>
            </w:r>
          </w:p>
          <w:p w:rsidR="00000000" w:rsidRPr="00B10719" w:rsidP="00B10719">
            <w:pPr>
              <w:pStyle w:val="ListAlpha2"/>
            </w:pPr>
            <w:r w:rsidRPr="00B10719">
              <w:t>Documenting analysis details of all findings, calculations and assumption</w:t>
            </w:r>
            <w:r w:rsidRPr="00B10719">
              <w:t>s.</w:t>
            </w:r>
          </w:p>
          <w:p w:rsidR="00000000" w:rsidRPr="00B10719" w:rsidP="00B10719">
            <w:pPr>
              <w:pStyle w:val="ListAlpha2"/>
            </w:pPr>
            <w:r w:rsidRPr="00B10719">
              <w:t>Documenting justification of actions to be implemented in accordance with professional standards.</w:t>
            </w:r>
          </w:p>
          <w:p w:rsidR="00000000" w:rsidRPr="00B10719" w:rsidP="00B10719">
            <w:pPr>
              <w:pStyle w:val="ListAlpha2"/>
            </w:pPr>
            <w:r w:rsidRPr="00B10719">
              <w:t xml:space="preserve">Dealing with unplanned events by drawing on essential knowledge and skills to provide appropriate solutions incorporated in a holistic assessment with the </w:t>
            </w:r>
            <w:r w:rsidRPr="00B10719">
              <w:t>above listed items.</w:t>
            </w:r>
          </w:p>
          <w:p w:rsidR="00000000" w:rsidRPr="00B10719" w:rsidP="00B10719">
            <w:pPr>
              <w:pStyle w:val="BodyText"/>
            </w:pPr>
            <w:r w:rsidRPr="00B10719">
              <w:t>Note:</w:t>
            </w:r>
          </w:p>
          <w:p w:rsidR="00000000" w:rsidRPr="00B10719" w:rsidP="00B10719">
            <w:pPr>
              <w:pStyle w:val="BodyText"/>
            </w:pPr>
            <w:r w:rsidRPr="00B10719">
              <w:t>Successful completion of relevant vendor training may be used to contribute to evidence on which competency is deemed. In these cases the alignment of outcomes of vendor training with performance criteria and critical aspects of e</w:t>
            </w:r>
            <w:r w:rsidRPr="00B10719">
              <w:t>vidence shall be clearly identified.</w:t>
            </w:r>
          </w:p>
        </w:tc>
      </w:tr>
    </w:tbl>
    <w:p w:rsidR="00000000" w:rsidRPr="00B10719" w:rsidP="00B10719">
      <w:pPr>
        <w:pStyle w:val="BodyText"/>
      </w:pPr>
    </w:p>
    <w:tbl>
      <w:tblPr>
        <w:tblW w:w="0" w:type="auto"/>
        <w:tblLayout w:type="fixed"/>
        <w:tblCellMar>
          <w:left w:w="62" w:type="dxa"/>
          <w:right w:w="62" w:type="dxa"/>
        </w:tblCellMar>
        <w:tblLook w:val="0000"/>
      </w:tblPr>
      <w:tblGrid>
        <w:gridCol w:w="1890"/>
        <w:gridCol w:w="6570"/>
      </w:tblGrid>
      <w:tr w:rsidTr="00AD68C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9.3)</w:t>
            </w:r>
          </w:p>
        </w:tc>
      </w:tr>
      <w:tr w:rsidTr="00AD68C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This unit should be assessed as it relates to normal work practice using procedures, information and resources typical of a workplace. This should include:</w:t>
            </w:r>
          </w:p>
          <w:p w:rsidR="00000000" w:rsidRPr="00B10719" w:rsidP="00B10719">
            <w:pPr>
              <w:pStyle w:val="ListBullet"/>
            </w:pPr>
            <w:r w:rsidRPr="00B10719">
              <w:t>OHS policy and work procedures and instructions.</w:t>
            </w:r>
          </w:p>
          <w:p w:rsidR="00000000" w:rsidRPr="00B10719" w:rsidP="00B10719">
            <w:pPr>
              <w:pStyle w:val="ListBullet"/>
            </w:pPr>
            <w:r w:rsidRPr="00B10719">
              <w:t>Suitable work environment, facilities, equipment and materials to undertake actual work as prescribed by this unit.</w:t>
            </w:r>
          </w:p>
          <w:p w:rsidR="00000000" w:rsidRPr="00B10719" w:rsidP="00B10719">
            <w:pPr>
              <w:pStyle w:val="BodyText"/>
            </w:pPr>
            <w:r w:rsidRPr="00B10719">
              <w:t>These should be part of the formal learning/assessment environment.</w:t>
            </w:r>
          </w:p>
          <w:p w:rsidR="00000000" w:rsidRPr="00B10719" w:rsidP="00B10719">
            <w:pPr>
              <w:pStyle w:val="BodyText"/>
            </w:pPr>
            <w:r w:rsidRPr="00B10719">
              <w:t>Note:</w:t>
            </w:r>
          </w:p>
          <w:p w:rsidR="00000000" w:rsidRPr="00B10719" w:rsidP="00B10719">
            <w:pPr>
              <w:pStyle w:val="BodyText"/>
            </w:pPr>
            <w:r w:rsidRPr="00B10719">
              <w:t xml:space="preserve">Where simulation </w:t>
            </w:r>
            <w:r w:rsidRPr="00B10719">
              <w:t>is considered a suitable strategy for assessment, conditions must be authentic and as far as possible reproduce and replicate the workplace and be consistent with the approved industry simulation policy.</w:t>
            </w:r>
          </w:p>
          <w:p w:rsidR="00000000" w:rsidRPr="00B10719" w:rsidP="00B10719">
            <w:pPr>
              <w:pStyle w:val="BodyText"/>
            </w:pPr>
            <w:r w:rsidRPr="00B10719">
              <w:t>The resources used for assessment should reflect cur</w:t>
            </w:r>
            <w:r w:rsidRPr="00B10719">
              <w:t>rent industry practices in relation to analysing the performance of wireless-based electronic systems.</w:t>
            </w:r>
          </w:p>
        </w:tc>
      </w:tr>
    </w:tbl>
    <w:p w:rsidR="00000000" w:rsidRPr="00B10719" w:rsidP="00B10719">
      <w:pPr>
        <w:pStyle w:val="BodyText"/>
      </w:pPr>
    </w:p>
    <w:tbl>
      <w:tblPr>
        <w:tblW w:w="0" w:type="auto"/>
        <w:tblLayout w:type="fixed"/>
        <w:tblCellMar>
          <w:left w:w="62" w:type="dxa"/>
          <w:right w:w="62" w:type="dxa"/>
        </w:tblCellMar>
        <w:tblLook w:val="0000"/>
      </w:tblPr>
      <w:tblGrid>
        <w:gridCol w:w="1890"/>
        <w:gridCol w:w="6570"/>
      </w:tblGrid>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9.4)</w:t>
            </w:r>
          </w:p>
        </w:tc>
      </w:tr>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This unit shall be assessed by methods given in Volume 1, Part 3 ‘Assessment Guidelines’.</w:t>
            </w:r>
          </w:p>
          <w:p w:rsidR="00000000" w:rsidRPr="00B10719" w:rsidP="00B10719">
            <w:pPr>
              <w:pStyle w:val="BodyText"/>
            </w:pPr>
            <w:r w:rsidRPr="00B10719">
              <w:t>Note:</w:t>
            </w:r>
          </w:p>
          <w:p w:rsidR="00000000" w:rsidRPr="00B10719" w:rsidP="00B10719">
            <w:pPr>
              <w:pStyle w:val="BodyText"/>
            </w:pPr>
            <w:r w:rsidRPr="00B10719">
              <w:t>Competent performance with inherent safe working practices is expected in the industry to which this unit applies. This requires that the specified essential knowledge and associated skills are assessed in a structured environment which is primarily intend</w:t>
            </w:r>
            <w:r w:rsidRPr="00B10719">
              <w:t>ed for learning/assessment and incorporates all necessary equipment and facilities for learners to develop and demonstrate the essential knowledge and skills described in this unit.</w:t>
            </w:r>
          </w:p>
        </w:tc>
      </w:tr>
    </w:tbl>
    <w:p w:rsidR="00000000" w:rsidRPr="00B10719" w:rsidP="00B10719">
      <w:pPr>
        <w:pStyle w:val="BodyText"/>
      </w:pPr>
    </w:p>
    <w:tbl>
      <w:tblPr>
        <w:tblW w:w="0" w:type="auto"/>
        <w:tblLayout w:type="fixed"/>
        <w:tblCellMar>
          <w:left w:w="62" w:type="dxa"/>
          <w:right w:w="62" w:type="dxa"/>
        </w:tblCellMar>
        <w:tblLook w:val="0000"/>
      </w:tblPr>
      <w:tblGrid>
        <w:gridCol w:w="1890"/>
        <w:gridCol w:w="6570"/>
      </w:tblGrid>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9.5)</w:t>
            </w:r>
          </w:p>
        </w:tc>
      </w:tr>
      <w:tr w:rsidTr="00AD68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There are</w:t>
            </w:r>
            <w:r w:rsidRPr="00B10719">
              <w:t xml:space="preserve"> no concurrent assessment recommendations for this unit.</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11" w:name="O_588523"/>
      <w:bookmarkEnd w:id="11"/>
      <w:r w:rsidRPr="00B10719">
        <w:t>Range Statement</w:t>
      </w:r>
    </w:p>
    <w:tbl>
      <w:tblPr>
        <w:tblW w:w="0" w:type="auto"/>
        <w:tblLayout w:type="fixed"/>
        <w:tblCellMar>
          <w:left w:w="62" w:type="dxa"/>
          <w:right w:w="62" w:type="dxa"/>
        </w:tblCellMar>
        <w:tblLook w:val="0000"/>
      </w:tblPr>
      <w:tblGrid>
        <w:gridCol w:w="8460"/>
      </w:tblGrid>
      <w:tr w:rsidTr="00AD68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RANGE STATEMENT</w:t>
            </w:r>
          </w:p>
        </w:tc>
      </w:tr>
      <w:tr w:rsidTr="00AD68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10)</w:t>
            </w:r>
            <w:r w:rsidRPr="00B10719">
              <w:t xml:space="preserve">  This relates to the unit as a whole providing the range of contexts and conditions to which the </w:t>
            </w:r>
            <w:r w:rsidRPr="00B10719">
              <w:t>performance criteria apply. It allows for different work environments and situations that will affect performance.</w:t>
            </w:r>
          </w:p>
          <w:p w:rsidR="00000000" w:rsidRPr="00B10719" w:rsidP="00B10719">
            <w:pPr>
              <w:pStyle w:val="BodyText"/>
            </w:pPr>
            <w:r w:rsidRPr="00B10719">
              <w:t>This unit shall be demonstrated using a representative range of wireless-based electronic systems in analysing wireless-based electronic syst</w:t>
            </w:r>
            <w:r w:rsidRPr="00B10719">
              <w:t>ems parameters in at least two different contexts.</w:t>
            </w:r>
          </w:p>
          <w:p w:rsidR="00000000" w:rsidRPr="00B10719" w:rsidP="00B10719">
            <w:pPr>
              <w:pStyle w:val="BodyText"/>
            </w:pPr>
            <w:r w:rsidRPr="00B10719">
              <w:t xml:space="preserve">Generic terms used throughout this Vocational Standard shall be regarded as part of the Range Statement in which competency is demonstrated. The definition of these and other terms that apply are given in </w:t>
            </w:r>
            <w:r w:rsidRPr="00B10719">
              <w:t>Volume 2, Part 2.1.</w:t>
            </w:r>
          </w:p>
        </w:tc>
      </w:tr>
    </w:tbl>
    <w:p w:rsidR="00000000" w:rsidRPr="00B10719" w:rsidP="00B10719">
      <w:pPr>
        <w:pStyle w:val="BodyText"/>
      </w:pPr>
    </w:p>
    <w:p w:rsidR="00000000" w:rsidRPr="00B10719" w:rsidP="00B10719">
      <w:pPr>
        <w:pStyle w:val="AllowPageBreak"/>
      </w:pPr>
    </w:p>
    <w:p w:rsidR="00000000" w:rsidRPr="00B10719" w:rsidP="00B10719">
      <w:pPr>
        <w:pStyle w:val="Heading1"/>
      </w:pPr>
      <w:bookmarkStart w:id="12" w:name="O_588522"/>
      <w:bookmarkEnd w:id="12"/>
      <w:r w:rsidRPr="00B10719">
        <w:t>Unit Sector(s)</w:t>
      </w:r>
    </w:p>
    <w:p w:rsidR="00000000" w:rsidRPr="00B10719" w:rsidP="00B10719">
      <w:pPr>
        <w:pStyle w:val="BodyText"/>
      </w:pPr>
      <w:r w:rsidRPr="00B10719">
        <w:t>Not applicable.</w:t>
      </w:r>
    </w:p>
    <w:p w:rsidR="00000000" w:rsidRPr="00B10719" w:rsidP="00B10719">
      <w:pPr>
        <w:pStyle w:val="AllowPageBreak"/>
      </w:pPr>
    </w:p>
    <w:p w:rsidR="00000000" w:rsidRPr="00B10719" w:rsidP="00B10719">
      <w:pPr>
        <w:pStyle w:val="Heading1"/>
      </w:pPr>
      <w:bookmarkStart w:id="13" w:name="O_588521"/>
      <w:bookmarkEnd w:id="13"/>
      <w:r w:rsidRPr="00B10719">
        <w:t>Competency Field</w:t>
      </w:r>
    </w:p>
    <w:tbl>
      <w:tblPr>
        <w:tblW w:w="0" w:type="auto"/>
        <w:tblLayout w:type="fixed"/>
        <w:tblCellMar>
          <w:left w:w="62" w:type="dxa"/>
          <w:right w:w="62" w:type="dxa"/>
        </w:tblCellMar>
        <w:tblLook w:val="0000"/>
      </w:tblPr>
      <w:tblGrid>
        <w:gridCol w:w="2700"/>
        <w:gridCol w:w="5760"/>
      </w:tblGrid>
      <w:tr w:rsidTr="00AD68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0719">
            <w:pPr>
              <w:pStyle w:val="BodyText"/>
              <w:rPr>
                <w:lang w:val="en-NZ"/>
              </w:rPr>
            </w:pPr>
            <w:r w:rsidRPr="00B10719">
              <w:rPr>
                <w:rStyle w:val="SpecialBold"/>
              </w:rPr>
              <w:t xml:space="preserve">11) </w:t>
            </w:r>
          </w:p>
        </w:tc>
      </w:tr>
      <w:tr w:rsidTr="00AD68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0719" w:rsidP="00B10719">
            <w:pPr>
              <w:pStyle w:val="BodyText"/>
            </w:pPr>
            <w:r w:rsidRPr="00B10719">
              <w:t>Electronics</w:t>
            </w:r>
          </w:p>
        </w:tc>
      </w:tr>
    </w:tbl>
    <w:p w:rsidR="00000000" w:rsidRPr="00B10719" w:rsidP="00B10719">
      <w:pPr>
        <w:pStyle w:val="BodyText"/>
      </w:pPr>
    </w:p>
    <w:p w:rsidR="00000000" w:rsidRPr="00B10719" w:rsidP="00B10719"/>
    <w:sectPr w:rsidSect="00B10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rsidRPr="00AD68CA" w:rsidP="00AD6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CA" w:rsidP="00B10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68CA" w:rsidP="00B107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D68CA" w:rsidP="00B10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rsidRPr="00AD68CA" w:rsidP="00AD68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CA" w:rsidRPr="002D2AF8" w:rsidP="00B10719">
    <w:pPr>
      <w:pStyle w:val="Header"/>
      <w:framePr w:wrap="around"/>
    </w:pPr>
    <w:r>
      <w:fldChar w:fldCharType="begin"/>
    </w:r>
    <w:r>
      <w:instrText xml:space="preserve"> TITLE   \* MERGEFORMAT </w:instrText>
    </w:r>
    <w:r>
      <w:fldChar w:fldCharType="separate"/>
    </w:r>
    <w:r>
      <w:t>UEENEEH183A Analyse the performance of wireless-based electronic -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D68CA" w:rsidP="00B10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A4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08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24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0956B0"/>
    <w:multiLevelType w:val="multilevel"/>
    <w:tmpl w:val="ADDEA9B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719"/>
    <w:pPr>
      <w:spacing w:before="360" w:after="60"/>
      <w:outlineLvl w:val="0"/>
    </w:pPr>
    <w:rPr>
      <w:sz w:val="32"/>
    </w:rPr>
  </w:style>
  <w:style w:type="paragraph" w:styleId="Heading2">
    <w:name w:val="heading 2"/>
    <w:basedOn w:val="HeadingBase"/>
    <w:next w:val="BodyText"/>
    <w:link w:val="Heading2Char"/>
    <w:qFormat/>
    <w:rsid w:val="00B10719"/>
    <w:pPr>
      <w:keepLines/>
      <w:spacing w:before="240" w:after="120"/>
      <w:outlineLvl w:val="1"/>
    </w:pPr>
    <w:rPr>
      <w:sz w:val="28"/>
      <w:szCs w:val="40"/>
    </w:rPr>
  </w:style>
  <w:style w:type="paragraph" w:styleId="Heading3">
    <w:name w:val="heading 3"/>
    <w:basedOn w:val="HeadingBase"/>
    <w:next w:val="BodyText"/>
    <w:link w:val="Heading3Char"/>
    <w:qFormat/>
    <w:rsid w:val="00B10719"/>
    <w:pPr>
      <w:spacing w:before="180" w:after="120"/>
      <w:outlineLvl w:val="2"/>
    </w:pPr>
    <w:rPr>
      <w:spacing w:val="-10"/>
      <w:kern w:val="32"/>
    </w:rPr>
  </w:style>
  <w:style w:type="paragraph" w:styleId="Heading4">
    <w:name w:val="heading 4"/>
    <w:basedOn w:val="HeadingBase"/>
    <w:next w:val="BodyText"/>
    <w:link w:val="Heading4Char"/>
    <w:qFormat/>
    <w:rsid w:val="00B10719"/>
    <w:pPr>
      <w:spacing w:before="160" w:after="120"/>
      <w:outlineLvl w:val="3"/>
    </w:pPr>
    <w:rPr>
      <w:sz w:val="22"/>
    </w:rPr>
  </w:style>
  <w:style w:type="paragraph" w:styleId="Heading5">
    <w:name w:val="heading 5"/>
    <w:basedOn w:val="HeadingBase"/>
    <w:next w:val="Normal"/>
    <w:link w:val="Heading5Char"/>
    <w:qFormat/>
    <w:rsid w:val="00B10719"/>
    <w:pPr>
      <w:spacing w:before="80"/>
      <w:outlineLvl w:val="4"/>
    </w:pPr>
    <w:rPr>
      <w:color w:val="918585"/>
      <w:sz w:val="20"/>
    </w:rPr>
  </w:style>
  <w:style w:type="paragraph" w:styleId="Heading6">
    <w:name w:val="heading 6"/>
    <w:basedOn w:val="HeadingBase"/>
    <w:next w:val="Normal"/>
    <w:link w:val="Heading6Char"/>
    <w:qFormat/>
    <w:rsid w:val="00B10719"/>
    <w:pPr>
      <w:spacing w:before="60"/>
      <w:outlineLvl w:val="5"/>
    </w:pPr>
    <w:rPr>
      <w:color w:val="918585"/>
      <w:sz w:val="20"/>
    </w:rPr>
  </w:style>
  <w:style w:type="paragraph" w:styleId="Heading7">
    <w:name w:val="heading 7"/>
    <w:basedOn w:val="Normal"/>
    <w:next w:val="Normal"/>
    <w:link w:val="Heading7Char"/>
    <w:qFormat/>
    <w:rsid w:val="00B10719"/>
    <w:pPr>
      <w:ind w:left="720"/>
      <w:outlineLvl w:val="6"/>
    </w:pPr>
    <w:rPr>
      <w:i/>
    </w:rPr>
  </w:style>
  <w:style w:type="paragraph" w:styleId="Heading8">
    <w:name w:val="heading 8"/>
    <w:basedOn w:val="Normal"/>
    <w:next w:val="Normal"/>
    <w:link w:val="Heading8Char"/>
    <w:qFormat/>
    <w:rsid w:val="00B10719"/>
    <w:pPr>
      <w:ind w:left="720"/>
      <w:outlineLvl w:val="7"/>
    </w:pPr>
    <w:rPr>
      <w:i/>
    </w:rPr>
  </w:style>
  <w:style w:type="paragraph" w:styleId="Heading9">
    <w:name w:val="heading 9"/>
    <w:basedOn w:val="Normal"/>
    <w:next w:val="Normal"/>
    <w:link w:val="Heading9Char"/>
    <w:qFormat/>
    <w:rsid w:val="00B10719"/>
    <w:pPr>
      <w:ind w:left="720"/>
      <w:outlineLvl w:val="8"/>
    </w:pPr>
    <w:rPr>
      <w:i/>
    </w:rPr>
  </w:style>
  <w:style w:type="character" w:default="1" w:styleId="DefaultParagraphFont">
    <w:name w:val="Default Paragraph Font"/>
    <w:uiPriority w:val="1"/>
    <w:unhideWhenUsed/>
    <w:rsid w:val="00B10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719"/>
  </w:style>
  <w:style w:type="character" w:customStyle="1" w:styleId="Heading1Char">
    <w:name w:val="Heading 1 Char"/>
    <w:basedOn w:val="DefaultParagraphFont"/>
    <w:link w:val="Heading1"/>
    <w:rsid w:val="00B10719"/>
    <w:rPr>
      <w:rFonts w:ascii="Times New Roman" w:eastAsia="Times New Roman" w:hAnsi="Times New Roman" w:cs="Times New Roman"/>
      <w:b/>
      <w:sz w:val="32"/>
      <w:szCs w:val="20"/>
      <w:lang w:eastAsia="en-US"/>
    </w:rPr>
  </w:style>
  <w:style w:type="paragraph" w:styleId="BodyText">
    <w:name w:val="Body Text"/>
    <w:basedOn w:val="Normal"/>
    <w:link w:val="BodyTextChar"/>
    <w:rsid w:val="00B107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719"/>
    <w:rPr>
      <w:rFonts w:ascii="Times New Roman" w:eastAsia="Times New Roman" w:hAnsi="Times New Roman" w:cs="Times New Roman"/>
      <w:sz w:val="24"/>
      <w:lang w:eastAsia="en-US"/>
    </w:rPr>
  </w:style>
  <w:style w:type="paragraph" w:styleId="ListBullet">
    <w:name w:val="List Bullet"/>
    <w:basedOn w:val="List"/>
    <w:rsid w:val="00B10719"/>
    <w:pPr>
      <w:numPr>
        <w:numId w:val="13"/>
      </w:numPr>
      <w:tabs>
        <w:tab w:val="clear" w:pos="340"/>
      </w:tabs>
      <w:spacing w:before="40" w:after="40"/>
    </w:pPr>
  </w:style>
  <w:style w:type="character" w:customStyle="1" w:styleId="SpecialBold">
    <w:name w:val="Special Bold"/>
    <w:basedOn w:val="DefaultParagraphFont"/>
    <w:rsid w:val="00B10719"/>
    <w:rPr>
      <w:b/>
      <w:spacing w:val="0"/>
    </w:rPr>
  </w:style>
  <w:style w:type="paragraph" w:styleId="ListBullet2">
    <w:name w:val="List Bullet 2"/>
    <w:basedOn w:val="List2"/>
    <w:rsid w:val="00B10719"/>
    <w:pPr>
      <w:numPr>
        <w:numId w:val="14"/>
      </w:numPr>
      <w:tabs>
        <w:tab w:val="clear" w:pos="680"/>
      </w:tabs>
    </w:pPr>
  </w:style>
  <w:style w:type="paragraph" w:customStyle="1" w:styleId="SuperHeading">
    <w:name w:val="SuperHeading"/>
    <w:basedOn w:val="Normal"/>
    <w:rsid w:val="00B10719"/>
    <w:pPr>
      <w:spacing w:before="240" w:after="120"/>
      <w:outlineLvl w:val="0"/>
    </w:pPr>
    <w:rPr>
      <w:rFonts w:ascii="Times New Roman" w:hAnsi="Times New Roman"/>
      <w:b/>
      <w:sz w:val="32"/>
    </w:rPr>
  </w:style>
  <w:style w:type="paragraph" w:customStyle="1" w:styleId="AllowPageBreak">
    <w:name w:val="AllowPageBreak"/>
    <w:rsid w:val="00B107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10719"/>
    <w:pPr>
      <w:numPr>
        <w:numId w:val="8"/>
      </w:numPr>
    </w:pPr>
  </w:style>
  <w:style w:type="character" w:customStyle="1" w:styleId="Heading2Char">
    <w:name w:val="Heading 2 Char"/>
    <w:basedOn w:val="DefaultParagraphFont"/>
    <w:link w:val="Heading2"/>
    <w:rsid w:val="00B10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719"/>
    <w:rPr>
      <w:rFonts w:ascii="Courier New" w:eastAsia="Times New Roman" w:hAnsi="Courier New" w:cs="Times New Roman"/>
      <w:i/>
      <w:szCs w:val="20"/>
      <w:lang w:eastAsia="en-US"/>
    </w:rPr>
  </w:style>
  <w:style w:type="paragraph" w:customStyle="1" w:styleId="HeadingBase">
    <w:name w:val="Heading Base"/>
    <w:rsid w:val="00B10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719"/>
    <w:pPr>
      <w:tabs>
        <w:tab w:val="right" w:leader="dot" w:pos="9072"/>
      </w:tabs>
      <w:ind w:left="567"/>
    </w:pPr>
    <w:rPr>
      <w:szCs w:val="22"/>
    </w:rPr>
  </w:style>
  <w:style w:type="paragraph" w:customStyle="1" w:styleId="TOCBase">
    <w:name w:val="TOC Base"/>
    <w:rsid w:val="00B10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719"/>
    <w:pPr>
      <w:tabs>
        <w:tab w:val="right" w:leader="dot" w:pos="9072"/>
      </w:tabs>
      <w:spacing w:before="40" w:after="40"/>
      <w:ind w:left="284"/>
    </w:pPr>
    <w:rPr>
      <w:rFonts w:ascii="Times New Roman" w:hAnsi="Times New Roman"/>
    </w:rPr>
  </w:style>
  <w:style w:type="paragraph" w:styleId="TOC1">
    <w:name w:val="toc 1"/>
    <w:basedOn w:val="TOCBase"/>
    <w:next w:val="Normal"/>
    <w:rsid w:val="00B10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719"/>
    <w:rPr>
      <w:rFonts w:ascii="Times New Roman" w:eastAsia="Times New Roman" w:hAnsi="Times New Roman" w:cs="Times New Roman"/>
      <w:sz w:val="16"/>
      <w:lang w:eastAsia="en-US"/>
    </w:rPr>
  </w:style>
  <w:style w:type="paragraph" w:styleId="Title">
    <w:name w:val="Title"/>
    <w:basedOn w:val="HeadingBase"/>
    <w:link w:val="TitleChar"/>
    <w:qFormat/>
    <w:rsid w:val="00B10719"/>
    <w:pPr>
      <w:spacing w:before="5040"/>
      <w:jc w:val="center"/>
    </w:pPr>
    <w:rPr>
      <w:sz w:val="48"/>
      <w:szCs w:val="72"/>
      <w:lang w:val="en-US"/>
    </w:rPr>
  </w:style>
  <w:style w:type="character" w:customStyle="1" w:styleId="TitleChar">
    <w:name w:val="Title Char"/>
    <w:basedOn w:val="DefaultParagraphFont"/>
    <w:link w:val="Title"/>
    <w:rsid w:val="00B10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719"/>
    <w:pPr>
      <w:tabs>
        <w:tab w:val="left" w:pos="3600"/>
        <w:tab w:val="left" w:pos="3958"/>
      </w:tabs>
    </w:pPr>
  </w:style>
  <w:style w:type="paragraph" w:styleId="List">
    <w:name w:val="List"/>
    <w:basedOn w:val="BodyText"/>
    <w:next w:val="BodyText"/>
    <w:rsid w:val="00B10719"/>
    <w:pPr>
      <w:tabs>
        <w:tab w:val="left" w:pos="340"/>
      </w:tabs>
      <w:spacing w:before="60" w:after="60"/>
      <w:ind w:left="340" w:hanging="340"/>
    </w:pPr>
  </w:style>
  <w:style w:type="paragraph" w:customStyle="1" w:styleId="Note">
    <w:name w:val="Note"/>
    <w:basedOn w:val="BodyText"/>
    <w:rsid w:val="00B10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719"/>
    <w:pPr>
      <w:framePr w:wrap="auto" w:hAnchor="text" w:y="6049"/>
    </w:pPr>
    <w:rPr>
      <w:color w:val="000000"/>
      <w:sz w:val="40"/>
    </w:rPr>
  </w:style>
  <w:style w:type="paragraph" w:customStyle="1" w:styleId="TOCTitle">
    <w:name w:val="TOCTitle"/>
    <w:basedOn w:val="Heading1"/>
    <w:rsid w:val="00B10719"/>
    <w:pPr>
      <w:spacing w:after="240"/>
      <w:jc w:val="center"/>
      <w:outlineLvl w:val="9"/>
    </w:pPr>
    <w:rPr>
      <w:caps/>
    </w:rPr>
  </w:style>
  <w:style w:type="paragraph" w:customStyle="1" w:styleId="Version">
    <w:name w:val="Version"/>
    <w:rsid w:val="00B10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719"/>
    <w:pPr>
      <w:keepNext w:val="0"/>
      <w:tabs>
        <w:tab w:val="right" w:pos="4176"/>
      </w:tabs>
      <w:ind w:left="198" w:hanging="198"/>
    </w:pPr>
    <w:rPr>
      <w:rFonts w:ascii="Garamond" w:hAnsi="Garamond"/>
    </w:rPr>
  </w:style>
  <w:style w:type="paragraph" w:styleId="IndexHeading">
    <w:name w:val="index heading"/>
    <w:basedOn w:val="Normal"/>
    <w:next w:val="Index1"/>
    <w:semiHidden/>
    <w:rsid w:val="00B10719"/>
    <w:pPr>
      <w:spacing w:before="120" w:after="120"/>
    </w:pPr>
    <w:rPr>
      <w:rFonts w:ascii="Arial" w:hAnsi="Arial"/>
      <w:b/>
      <w:color w:val="918585"/>
      <w:sz w:val="24"/>
    </w:rPr>
  </w:style>
  <w:style w:type="paragraph" w:styleId="Header">
    <w:name w:val="header"/>
    <w:basedOn w:val="Normal"/>
    <w:link w:val="HeaderChar"/>
    <w:rsid w:val="00B10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719"/>
    <w:rPr>
      <w:rFonts w:ascii="Times New Roman" w:eastAsia="Times New Roman" w:hAnsi="Times New Roman" w:cs="Times New Roman"/>
      <w:sz w:val="16"/>
      <w:szCs w:val="20"/>
      <w:lang w:val="en-GB" w:eastAsia="en-US"/>
    </w:rPr>
  </w:style>
  <w:style w:type="paragraph" w:customStyle="1" w:styleId="Chapter">
    <w:name w:val="Chapter"/>
    <w:basedOn w:val="Normal"/>
    <w:rsid w:val="00B10719"/>
    <w:pPr>
      <w:spacing w:before="240"/>
    </w:pPr>
    <w:rPr>
      <w:rFonts w:ascii="Times New Roman" w:hAnsi="Times New Roman"/>
      <w:smallCaps/>
      <w:spacing w:val="80"/>
      <w:sz w:val="28"/>
    </w:rPr>
  </w:style>
  <w:style w:type="paragraph" w:customStyle="1" w:styleId="InChapter">
    <w:name w:val="InChapter"/>
    <w:basedOn w:val="Heading3"/>
    <w:rsid w:val="00B10719"/>
    <w:pPr>
      <w:spacing w:after="240"/>
      <w:outlineLvl w:val="9"/>
    </w:pPr>
    <w:rPr>
      <w:noProof/>
    </w:rPr>
  </w:style>
  <w:style w:type="paragraph" w:styleId="Index2">
    <w:name w:val="index 2"/>
    <w:basedOn w:val="Normal"/>
    <w:next w:val="Normal"/>
    <w:semiHidden/>
    <w:rsid w:val="00B10719"/>
    <w:pPr>
      <w:tabs>
        <w:tab w:val="right" w:pos="4176"/>
      </w:tabs>
      <w:ind w:left="568" w:hanging="284"/>
    </w:pPr>
    <w:rPr>
      <w:rFonts w:ascii="Garamond" w:hAnsi="Garamond"/>
    </w:rPr>
  </w:style>
  <w:style w:type="paragraph" w:customStyle="1" w:styleId="Byline">
    <w:name w:val="Byline"/>
    <w:rsid w:val="00B10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719"/>
    <w:pPr>
      <w:tabs>
        <w:tab w:val="clear" w:pos="3600"/>
        <w:tab w:val="clear" w:pos="3958"/>
      </w:tabs>
      <w:jc w:val="right"/>
    </w:pPr>
  </w:style>
  <w:style w:type="character" w:styleId="Emphasis">
    <w:name w:val="Emphasis"/>
    <w:basedOn w:val="DefaultParagraphFont"/>
    <w:qFormat/>
    <w:rsid w:val="00B10719"/>
    <w:rPr>
      <w:i/>
    </w:rPr>
  </w:style>
  <w:style w:type="paragraph" w:styleId="Caption">
    <w:name w:val="caption"/>
    <w:basedOn w:val="BodyText"/>
    <w:next w:val="Normal"/>
    <w:qFormat/>
    <w:rsid w:val="00B10719"/>
    <w:pPr>
      <w:framePr w:w="2268" w:hSpace="181" w:vSpace="181" w:wrap="around" w:vAnchor="text" w:hAnchor="page" w:x="1135" w:y="285" w:anchorLock="1"/>
    </w:pPr>
    <w:rPr>
      <w:i/>
    </w:rPr>
  </w:style>
  <w:style w:type="paragraph" w:customStyle="1" w:styleId="MiniTOCTitle">
    <w:name w:val="MiniTOCTitle"/>
    <w:basedOn w:val="Heading4"/>
    <w:rsid w:val="00B10719"/>
    <w:pPr>
      <w:spacing w:before="240"/>
      <w:outlineLvl w:val="9"/>
    </w:pPr>
    <w:rPr>
      <w:noProof/>
      <w:sz w:val="24"/>
    </w:rPr>
  </w:style>
  <w:style w:type="paragraph" w:customStyle="1" w:styleId="MiniTOCItem">
    <w:name w:val="MiniTOCItem"/>
    <w:basedOn w:val="ListBullet"/>
    <w:rsid w:val="00B10719"/>
    <w:pPr>
      <w:numPr>
        <w:numId w:val="0"/>
      </w:numPr>
      <w:tabs>
        <w:tab w:val="right" w:leader="dot" w:pos="6521"/>
      </w:tabs>
      <w:spacing w:before="0" w:after="0"/>
    </w:pPr>
  </w:style>
  <w:style w:type="paragraph" w:customStyle="1" w:styleId="TOFTitle">
    <w:name w:val="TOFTitle"/>
    <w:basedOn w:val="TOCTitle"/>
    <w:rsid w:val="00B10719"/>
  </w:style>
  <w:style w:type="paragraph" w:styleId="TableofFigures">
    <w:name w:val="table of figures"/>
    <w:basedOn w:val="Normal"/>
    <w:next w:val="Normal"/>
    <w:semiHidden/>
    <w:rsid w:val="00B10719"/>
    <w:pPr>
      <w:tabs>
        <w:tab w:val="right" w:leader="dot" w:pos="9072"/>
      </w:tabs>
      <w:ind w:left="970" w:hanging="403"/>
    </w:pPr>
    <w:rPr>
      <w:rFonts w:ascii="Times New Roman" w:hAnsi="Times New Roman"/>
      <w:b/>
    </w:rPr>
  </w:style>
  <w:style w:type="paragraph" w:styleId="ListNumber">
    <w:name w:val="List Number"/>
    <w:basedOn w:val="List"/>
    <w:rsid w:val="00B10719"/>
    <w:pPr>
      <w:numPr>
        <w:numId w:val="11"/>
      </w:numPr>
    </w:pPr>
  </w:style>
  <w:style w:type="character" w:customStyle="1" w:styleId="WingdingSymbols">
    <w:name w:val="Wingding Symbols"/>
    <w:rsid w:val="00B10719"/>
    <w:rPr>
      <w:rFonts w:ascii="Wingdings" w:hAnsi="Wingdings"/>
    </w:rPr>
  </w:style>
  <w:style w:type="paragraph" w:customStyle="1" w:styleId="TableHeading">
    <w:name w:val="Table Heading"/>
    <w:basedOn w:val="HeadingBase"/>
    <w:rsid w:val="00B10719"/>
    <w:pPr>
      <w:keepLines/>
      <w:pBdr>
        <w:bottom w:val="single" w:sz="6" w:space="1" w:color="918585"/>
      </w:pBdr>
      <w:spacing w:before="240"/>
    </w:pPr>
  </w:style>
  <w:style w:type="character" w:customStyle="1" w:styleId="HotSpot">
    <w:name w:val="HotSpot"/>
    <w:rsid w:val="00B10719"/>
    <w:rPr>
      <w:color w:val="0033CC"/>
      <w:u w:val="none"/>
    </w:rPr>
  </w:style>
  <w:style w:type="paragraph" w:customStyle="1" w:styleId="BodyTextRight">
    <w:name w:val="Body Text Right"/>
    <w:basedOn w:val="BodyText"/>
    <w:rsid w:val="00B10719"/>
    <w:pPr>
      <w:spacing w:before="0" w:after="0"/>
      <w:jc w:val="right"/>
    </w:pPr>
  </w:style>
  <w:style w:type="paragraph" w:styleId="Index3">
    <w:name w:val="index 3"/>
    <w:basedOn w:val="ListNumber2"/>
    <w:next w:val="Normal"/>
    <w:semiHidden/>
    <w:rsid w:val="00B10719"/>
    <w:pPr>
      <w:numPr>
        <w:numId w:val="0"/>
      </w:numPr>
      <w:tabs>
        <w:tab w:val="right" w:leader="dot" w:pos="4176"/>
      </w:tabs>
    </w:pPr>
  </w:style>
  <w:style w:type="paragraph" w:styleId="ListNumber2">
    <w:name w:val="List Number 2"/>
    <w:basedOn w:val="List2"/>
    <w:rsid w:val="00B10719"/>
    <w:pPr>
      <w:numPr>
        <w:numId w:val="10"/>
      </w:numPr>
      <w:tabs>
        <w:tab w:val="clear" w:pos="1060"/>
      </w:tabs>
    </w:pPr>
  </w:style>
  <w:style w:type="paragraph" w:customStyle="1" w:styleId="MarginNote">
    <w:name w:val="Margin Note"/>
    <w:basedOn w:val="BodyText"/>
    <w:rsid w:val="00B10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719"/>
    <w:rPr>
      <w:sz w:val="32"/>
    </w:rPr>
  </w:style>
  <w:style w:type="paragraph" w:customStyle="1" w:styleId="HeadingProcedure">
    <w:name w:val="Heading Procedure"/>
    <w:basedOn w:val="HeadingBase"/>
    <w:next w:val="Normal"/>
    <w:rsid w:val="00B10719"/>
    <w:pPr>
      <w:tabs>
        <w:tab w:val="left" w:pos="0"/>
      </w:tabs>
      <w:spacing w:before="120" w:after="60"/>
    </w:pPr>
    <w:rPr>
      <w:i/>
      <w:color w:val="918585"/>
      <w:sz w:val="22"/>
    </w:rPr>
  </w:style>
  <w:style w:type="paragraph" w:customStyle="1" w:styleId="TableBodyText">
    <w:name w:val="Table Body Text"/>
    <w:basedOn w:val="BodyText"/>
    <w:rsid w:val="00B10719"/>
    <w:pPr>
      <w:spacing w:before="60" w:after="60"/>
    </w:pPr>
  </w:style>
  <w:style w:type="paragraph" w:styleId="ListContinue">
    <w:name w:val="List Continue"/>
    <w:basedOn w:val="List"/>
    <w:rsid w:val="00B10719"/>
    <w:pPr>
      <w:ind w:firstLine="0"/>
    </w:pPr>
  </w:style>
  <w:style w:type="paragraph" w:customStyle="1" w:styleId="ListNote">
    <w:name w:val="List Note"/>
    <w:basedOn w:val="List"/>
    <w:rsid w:val="00B10719"/>
    <w:pPr>
      <w:pBdr>
        <w:top w:val="single" w:sz="6" w:space="2" w:color="918585"/>
        <w:bottom w:val="single" w:sz="6" w:space="2" w:color="918585"/>
      </w:pBdr>
      <w:tabs>
        <w:tab w:val="left" w:pos="1021"/>
      </w:tabs>
      <w:ind w:firstLine="0"/>
    </w:pPr>
  </w:style>
  <w:style w:type="paragraph" w:customStyle="1" w:styleId="Warning">
    <w:name w:val="Warning"/>
    <w:basedOn w:val="BodyText"/>
    <w:rsid w:val="00B10719"/>
    <w:pPr>
      <w:shd w:val="clear" w:color="auto" w:fill="D9D9D9"/>
      <w:tabs>
        <w:tab w:val="left" w:pos="992"/>
      </w:tabs>
      <w:ind w:left="119" w:right="119"/>
    </w:pPr>
    <w:rPr>
      <w:sz w:val="20"/>
    </w:rPr>
  </w:style>
  <w:style w:type="paragraph" w:customStyle="1" w:styleId="MarginIcons">
    <w:name w:val="Margin Icons"/>
    <w:basedOn w:val="BodyText"/>
    <w:rsid w:val="00B10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719"/>
    <w:rPr>
      <w:rFonts w:ascii="Courier New" w:hAnsi="Courier New"/>
    </w:rPr>
  </w:style>
  <w:style w:type="paragraph" w:customStyle="1" w:styleId="NoteBullet">
    <w:name w:val="Note Bullet"/>
    <w:basedOn w:val="Note"/>
    <w:rsid w:val="00B10719"/>
    <w:pPr>
      <w:tabs>
        <w:tab w:val="clear" w:pos="680"/>
      </w:tabs>
      <w:spacing w:before="60" w:after="60"/>
    </w:pPr>
  </w:style>
  <w:style w:type="paragraph" w:customStyle="1" w:styleId="SubHeading2">
    <w:name w:val="SubHeading2"/>
    <w:basedOn w:val="HeadingBase"/>
    <w:rsid w:val="00B10719"/>
    <w:pPr>
      <w:spacing w:before="240" w:after="60"/>
    </w:pPr>
    <w:rPr>
      <w:sz w:val="20"/>
    </w:rPr>
  </w:style>
  <w:style w:type="paragraph" w:customStyle="1" w:styleId="SubHeading1">
    <w:name w:val="SubHeading1"/>
    <w:basedOn w:val="HeadingBase"/>
    <w:rsid w:val="00B10719"/>
    <w:pPr>
      <w:spacing w:before="240" w:after="60"/>
    </w:pPr>
    <w:rPr>
      <w:color w:val="918585"/>
      <w:sz w:val="22"/>
    </w:rPr>
  </w:style>
  <w:style w:type="paragraph" w:customStyle="1" w:styleId="SideHeading">
    <w:name w:val="Side Heading"/>
    <w:basedOn w:val="HeadingBase"/>
    <w:rsid w:val="00B10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719"/>
    <w:pPr>
      <w:numPr>
        <w:numId w:val="12"/>
      </w:numPr>
    </w:pPr>
  </w:style>
  <w:style w:type="paragraph" w:styleId="PlainText">
    <w:name w:val="Plain Text"/>
    <w:basedOn w:val="Normal"/>
    <w:link w:val="PlainTextChar"/>
    <w:rsid w:val="00B10719"/>
    <w:rPr>
      <w:sz w:val="20"/>
    </w:rPr>
  </w:style>
  <w:style w:type="character" w:customStyle="1" w:styleId="PlainTextChar">
    <w:name w:val="Plain Text Char"/>
    <w:basedOn w:val="DefaultParagraphFont"/>
    <w:link w:val="PlainText"/>
    <w:rsid w:val="00B10719"/>
    <w:rPr>
      <w:rFonts w:ascii="Courier New" w:eastAsia="Times New Roman" w:hAnsi="Courier New" w:cs="Times New Roman"/>
      <w:sz w:val="20"/>
      <w:szCs w:val="20"/>
      <w:lang w:eastAsia="en-US"/>
    </w:rPr>
  </w:style>
  <w:style w:type="character" w:customStyle="1" w:styleId="MenuOption">
    <w:name w:val="Menu Option"/>
    <w:basedOn w:val="DefaultParagraphFont"/>
    <w:rsid w:val="00B10719"/>
    <w:rPr>
      <w:b/>
      <w:smallCaps/>
    </w:rPr>
  </w:style>
  <w:style w:type="paragraph" w:customStyle="1" w:styleId="TableListNumber">
    <w:name w:val="Table List Number"/>
    <w:basedOn w:val="ListNumber"/>
    <w:rsid w:val="00B10719"/>
    <w:pPr>
      <w:numPr>
        <w:numId w:val="0"/>
      </w:numPr>
    </w:pPr>
  </w:style>
  <w:style w:type="paragraph" w:styleId="TOC4">
    <w:name w:val="toc 4"/>
    <w:basedOn w:val="TOCBase"/>
    <w:next w:val="Normal"/>
    <w:semiHidden/>
    <w:rsid w:val="00B10719"/>
    <w:pPr>
      <w:tabs>
        <w:tab w:val="right" w:leader="dot" w:pos="9071"/>
      </w:tabs>
      <w:ind w:left="1701"/>
    </w:pPr>
  </w:style>
  <w:style w:type="paragraph" w:customStyle="1" w:styleId="ListAlpha">
    <w:name w:val="List Alpha"/>
    <w:basedOn w:val="List"/>
    <w:rsid w:val="00B10719"/>
    <w:pPr>
      <w:numPr>
        <w:numId w:val="9"/>
      </w:numPr>
    </w:pPr>
  </w:style>
  <w:style w:type="paragraph" w:styleId="List2">
    <w:name w:val="List 2"/>
    <w:basedOn w:val="BodyText"/>
    <w:rsid w:val="00B10719"/>
    <w:pPr>
      <w:tabs>
        <w:tab w:val="left" w:pos="680"/>
      </w:tabs>
      <w:spacing w:before="60" w:after="60"/>
      <w:ind w:left="680" w:hanging="340"/>
    </w:pPr>
  </w:style>
  <w:style w:type="paragraph" w:styleId="List3">
    <w:name w:val="List 3"/>
    <w:basedOn w:val="BodyText"/>
    <w:rsid w:val="00B10719"/>
    <w:pPr>
      <w:tabs>
        <w:tab w:val="left" w:pos="1021"/>
      </w:tabs>
      <w:spacing w:before="60" w:after="60"/>
      <w:ind w:left="1020" w:hanging="340"/>
    </w:pPr>
  </w:style>
  <w:style w:type="paragraph" w:styleId="List4">
    <w:name w:val="List 4"/>
    <w:basedOn w:val="BodyText"/>
    <w:rsid w:val="00B10719"/>
    <w:pPr>
      <w:tabs>
        <w:tab w:val="left" w:pos="1361"/>
      </w:tabs>
      <w:spacing w:before="60" w:after="60"/>
      <w:ind w:left="1361" w:hanging="340"/>
    </w:pPr>
  </w:style>
  <w:style w:type="paragraph" w:styleId="List5">
    <w:name w:val="List 5"/>
    <w:basedOn w:val="BodyText"/>
    <w:rsid w:val="00B10719"/>
    <w:pPr>
      <w:tabs>
        <w:tab w:val="left" w:pos="1701"/>
      </w:tabs>
      <w:spacing w:before="60" w:after="60"/>
      <w:ind w:left="1701" w:hanging="340"/>
    </w:pPr>
  </w:style>
  <w:style w:type="paragraph" w:styleId="ListBullet3">
    <w:name w:val="List Bullet 3"/>
    <w:basedOn w:val="List3"/>
    <w:rsid w:val="00B10719"/>
    <w:pPr>
      <w:numPr>
        <w:numId w:val="15"/>
      </w:numPr>
      <w:tabs>
        <w:tab w:val="clear" w:pos="1021"/>
      </w:tabs>
      <w:ind w:left="1037" w:hanging="357"/>
    </w:pPr>
  </w:style>
  <w:style w:type="paragraph" w:styleId="ListBullet4">
    <w:name w:val="List Bullet 4"/>
    <w:basedOn w:val="List4"/>
    <w:rsid w:val="00B10719"/>
    <w:pPr>
      <w:numPr>
        <w:numId w:val="3"/>
      </w:numPr>
    </w:pPr>
  </w:style>
  <w:style w:type="paragraph" w:styleId="ListBullet5">
    <w:name w:val="List Bullet 5"/>
    <w:basedOn w:val="List5"/>
    <w:rsid w:val="00B10719"/>
    <w:pPr>
      <w:numPr>
        <w:numId w:val="4"/>
      </w:numPr>
    </w:pPr>
  </w:style>
  <w:style w:type="paragraph" w:styleId="ListContinue2">
    <w:name w:val="List Continue 2"/>
    <w:basedOn w:val="List2"/>
    <w:rsid w:val="00B10719"/>
    <w:pPr>
      <w:ind w:firstLine="0"/>
    </w:pPr>
  </w:style>
  <w:style w:type="paragraph" w:styleId="ListContinue3">
    <w:name w:val="List Continue 3"/>
    <w:basedOn w:val="List3"/>
    <w:rsid w:val="00B10719"/>
    <w:pPr>
      <w:ind w:left="1021" w:firstLine="0"/>
    </w:pPr>
  </w:style>
  <w:style w:type="paragraph" w:styleId="ListContinue4">
    <w:name w:val="List Continue 4"/>
    <w:basedOn w:val="List4"/>
    <w:rsid w:val="00B10719"/>
    <w:pPr>
      <w:ind w:firstLine="0"/>
    </w:pPr>
  </w:style>
  <w:style w:type="paragraph" w:styleId="ListContinue5">
    <w:name w:val="List Continue 5"/>
    <w:basedOn w:val="List5"/>
    <w:rsid w:val="00B10719"/>
    <w:pPr>
      <w:ind w:firstLine="0"/>
    </w:pPr>
  </w:style>
  <w:style w:type="paragraph" w:styleId="ListNumber3">
    <w:name w:val="List Number 3"/>
    <w:basedOn w:val="List3"/>
    <w:rsid w:val="00B10719"/>
    <w:pPr>
      <w:numPr>
        <w:numId w:val="5"/>
      </w:numPr>
    </w:pPr>
  </w:style>
  <w:style w:type="paragraph" w:styleId="ListNumber4">
    <w:name w:val="List Number 4"/>
    <w:basedOn w:val="List4"/>
    <w:rsid w:val="00B10719"/>
    <w:pPr>
      <w:numPr>
        <w:numId w:val="6"/>
      </w:numPr>
    </w:pPr>
  </w:style>
  <w:style w:type="paragraph" w:styleId="ListNumber5">
    <w:name w:val="List Number 5"/>
    <w:basedOn w:val="List5"/>
    <w:rsid w:val="00B10719"/>
    <w:pPr>
      <w:numPr>
        <w:numId w:val="7"/>
      </w:numPr>
    </w:pPr>
  </w:style>
  <w:style w:type="paragraph" w:styleId="BlockText">
    <w:name w:val="Block Text"/>
    <w:basedOn w:val="Normal"/>
    <w:rsid w:val="00B10719"/>
    <w:pPr>
      <w:spacing w:after="120"/>
      <w:ind w:left="1440" w:right="1440"/>
    </w:pPr>
  </w:style>
  <w:style w:type="character" w:customStyle="1" w:styleId="Subscript">
    <w:name w:val="Subscript"/>
    <w:basedOn w:val="DefaultParagraphFont"/>
    <w:rsid w:val="00B10719"/>
    <w:rPr>
      <w:sz w:val="16"/>
      <w:vertAlign w:val="subscript"/>
    </w:rPr>
  </w:style>
  <w:style w:type="character" w:customStyle="1" w:styleId="Superscript">
    <w:name w:val="Superscript"/>
    <w:basedOn w:val="DefaultParagraphFont"/>
    <w:rsid w:val="00B10719"/>
    <w:rPr>
      <w:sz w:val="16"/>
      <w:vertAlign w:val="superscript"/>
    </w:rPr>
  </w:style>
  <w:style w:type="character" w:customStyle="1" w:styleId="Symbols">
    <w:name w:val="Symbols"/>
    <w:basedOn w:val="DefaultParagraphFont"/>
    <w:rsid w:val="00B10719"/>
    <w:rPr>
      <w:rFonts w:ascii="Symbol" w:hAnsi="Symbol"/>
    </w:rPr>
  </w:style>
  <w:style w:type="character" w:customStyle="1" w:styleId="MenuOptions">
    <w:name w:val="Menu Options"/>
    <w:basedOn w:val="DefaultParagraphFont"/>
    <w:rsid w:val="00B10719"/>
    <w:rPr>
      <w:rFonts w:ascii="Arial Narrow" w:hAnsi="Arial Narrow"/>
      <w:smallCaps/>
    </w:rPr>
  </w:style>
  <w:style w:type="character" w:customStyle="1" w:styleId="Buttons">
    <w:name w:val="Buttons"/>
    <w:basedOn w:val="DefaultParagraphFont"/>
    <w:rsid w:val="00B10719"/>
    <w:rPr>
      <w:b/>
    </w:rPr>
  </w:style>
  <w:style w:type="character" w:customStyle="1" w:styleId="Underlined">
    <w:name w:val="Underlined"/>
    <w:basedOn w:val="DefaultParagraphFont"/>
    <w:rsid w:val="00B10719"/>
    <w:rPr>
      <w:u w:val="single"/>
    </w:rPr>
  </w:style>
  <w:style w:type="paragraph" w:customStyle="1" w:styleId="TableBodyTextRight">
    <w:name w:val="Table Body Text Right"/>
    <w:basedOn w:val="TableBodyText"/>
    <w:rsid w:val="00B10719"/>
    <w:pPr>
      <w:widowControl w:val="0"/>
      <w:autoSpaceDE w:val="0"/>
      <w:autoSpaceDN w:val="0"/>
      <w:adjustRightInd w:val="0"/>
      <w:jc w:val="right"/>
    </w:pPr>
    <w:rPr>
      <w:rFonts w:cs="Arial"/>
      <w:szCs w:val="18"/>
    </w:rPr>
  </w:style>
  <w:style w:type="paragraph" w:customStyle="1" w:styleId="CopyrightText">
    <w:name w:val="Copyright Text"/>
    <w:basedOn w:val="BodyText"/>
    <w:rsid w:val="00B10719"/>
    <w:rPr>
      <w:sz w:val="18"/>
    </w:rPr>
  </w:style>
  <w:style w:type="paragraph" w:customStyle="1" w:styleId="BodySmallRight">
    <w:name w:val="Body Small Right"/>
    <w:basedOn w:val="BodyTextRight"/>
    <w:rsid w:val="00B10719"/>
    <w:rPr>
      <w:sz w:val="18"/>
      <w:szCs w:val="18"/>
    </w:rPr>
  </w:style>
  <w:style w:type="paragraph" w:customStyle="1" w:styleId="MarginEdition">
    <w:name w:val="Margin Edition"/>
    <w:basedOn w:val="MarginNote"/>
    <w:rsid w:val="00B10719"/>
    <w:pPr>
      <w:spacing w:before="0" w:after="0"/>
    </w:pPr>
    <w:rPr>
      <w:rFonts w:ascii="Times New Roman" w:hAnsi="Times New Roman"/>
      <w:color w:val="999999"/>
    </w:rPr>
  </w:style>
  <w:style w:type="paragraph" w:customStyle="1" w:styleId="Spacer">
    <w:name w:val="Spacer"/>
    <w:basedOn w:val="Normal"/>
    <w:rsid w:val="00B10719"/>
    <w:rPr>
      <w:sz w:val="2"/>
      <w:szCs w:val="2"/>
    </w:rPr>
  </w:style>
  <w:style w:type="character" w:customStyle="1" w:styleId="Small">
    <w:name w:val="Small"/>
    <w:basedOn w:val="DefaultParagraphFont"/>
    <w:rsid w:val="00B10719"/>
    <w:rPr>
      <w:sz w:val="16"/>
    </w:rPr>
  </w:style>
  <w:style w:type="paragraph" w:customStyle="1" w:styleId="WideTable">
    <w:name w:val="Wide Table"/>
    <w:basedOn w:val="Normal"/>
    <w:rsid w:val="00B10719"/>
    <w:pPr>
      <w:ind w:left="-1418"/>
    </w:pPr>
    <w:rPr>
      <w:sz w:val="2"/>
      <w:szCs w:val="2"/>
    </w:rPr>
  </w:style>
  <w:style w:type="character" w:styleId="PageNumber">
    <w:name w:val="page number"/>
    <w:basedOn w:val="DefaultParagraphFont"/>
    <w:rsid w:val="00B10719"/>
  </w:style>
  <w:style w:type="paragraph" w:styleId="Quote">
    <w:name w:val="Quote"/>
    <w:basedOn w:val="Heading1"/>
    <w:link w:val="QuoteChar"/>
    <w:qFormat/>
    <w:rsid w:val="00B10719"/>
    <w:rPr>
      <w:b w:val="0"/>
      <w:sz w:val="72"/>
      <w:szCs w:val="72"/>
      <w:lang w:val="en-NZ"/>
    </w:rPr>
  </w:style>
  <w:style w:type="character" w:customStyle="1" w:styleId="QuoteChar">
    <w:name w:val="Quote Char"/>
    <w:basedOn w:val="DefaultParagraphFont"/>
    <w:link w:val="Quote"/>
    <w:rsid w:val="00B10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719"/>
    <w:pPr>
      <w:pageBreakBefore/>
    </w:pPr>
  </w:style>
  <w:style w:type="paragraph" w:customStyle="1" w:styleId="Border">
    <w:name w:val="Border"/>
    <w:basedOn w:val="Normal"/>
    <w:qFormat/>
    <w:rsid w:val="00B10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719"/>
    <w:rPr>
      <w:b/>
      <w:bCs/>
      <w:i/>
      <w:iCs/>
      <w:color w:val="auto"/>
    </w:rPr>
  </w:style>
  <w:style w:type="paragraph" w:styleId="IntenseQuote">
    <w:name w:val="Intense Quote"/>
    <w:basedOn w:val="Normal"/>
    <w:next w:val="Normal"/>
    <w:link w:val="IntenseQuoteChar"/>
    <w:uiPriority w:val="30"/>
    <w:qFormat/>
    <w:rsid w:val="00B10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719"/>
    <w:rPr>
      <w:smallCaps/>
      <w:color w:val="auto"/>
      <w:u w:val="single"/>
    </w:rPr>
  </w:style>
  <w:style w:type="character" w:styleId="IntenseReference">
    <w:name w:val="Intense Reference"/>
    <w:basedOn w:val="DefaultParagraphFont"/>
    <w:uiPriority w:val="32"/>
    <w:qFormat/>
    <w:rsid w:val="00B10719"/>
    <w:rPr>
      <w:b/>
      <w:bCs/>
      <w:smallCaps/>
      <w:color w:val="auto"/>
      <w:spacing w:val="5"/>
      <w:u w:val="single"/>
    </w:rPr>
  </w:style>
  <w:style w:type="paragraph" w:customStyle="1" w:styleId="2ColumnHeading">
    <w:name w:val="2Column Heading"/>
    <w:basedOn w:val="BodyText"/>
    <w:qFormat/>
    <w:rsid w:val="00B10719"/>
    <w:pPr>
      <w:spacing w:after="60"/>
      <w:ind w:left="-2268"/>
    </w:pPr>
    <w:rPr>
      <w:b/>
    </w:rPr>
  </w:style>
  <w:style w:type="paragraph" w:customStyle="1" w:styleId="Heading1TOC">
    <w:name w:val="Heading1 TOC"/>
    <w:basedOn w:val="Normal"/>
    <w:qFormat/>
    <w:rsid w:val="00B10719"/>
    <w:pPr>
      <w:spacing w:before="240" w:after="120"/>
    </w:pPr>
    <w:rPr>
      <w:rFonts w:ascii="Times New Roman" w:hAnsi="Times New Roman"/>
      <w:b/>
      <w:sz w:val="32"/>
    </w:rPr>
  </w:style>
  <w:style w:type="paragraph" w:customStyle="1" w:styleId="Heading2TOC">
    <w:name w:val="Heading2 TOC"/>
    <w:basedOn w:val="Normal"/>
    <w:qFormat/>
    <w:rsid w:val="00B10719"/>
    <w:pPr>
      <w:spacing w:before="240" w:after="60"/>
    </w:pPr>
    <w:rPr>
      <w:rFonts w:ascii="Times New Roman" w:hAnsi="Times New Roman"/>
      <w:b/>
      <w:sz w:val="28"/>
    </w:rPr>
  </w:style>
  <w:style w:type="character" w:customStyle="1" w:styleId="Underline">
    <w:name w:val="Underline"/>
    <w:basedOn w:val="DefaultParagraphFont"/>
    <w:qFormat/>
    <w:rsid w:val="00B10719"/>
    <w:rPr>
      <w:u w:val="single"/>
    </w:rPr>
  </w:style>
  <w:style w:type="character" w:customStyle="1" w:styleId="BoldandItalics">
    <w:name w:val="Bold and Italics"/>
    <w:qFormat/>
    <w:rsid w:val="00B10719"/>
    <w:rPr>
      <w:b/>
      <w:i/>
      <w:u w:val="none"/>
    </w:rPr>
  </w:style>
  <w:style w:type="paragraph" w:styleId="BalloonText">
    <w:name w:val="Balloon Text"/>
    <w:basedOn w:val="Normal"/>
    <w:link w:val="BalloonTextChar"/>
    <w:rsid w:val="00B10719"/>
    <w:rPr>
      <w:rFonts w:ascii="Tahoma" w:hAnsi="Tahoma" w:cs="Tahoma"/>
      <w:sz w:val="16"/>
      <w:szCs w:val="16"/>
    </w:rPr>
  </w:style>
  <w:style w:type="character" w:customStyle="1" w:styleId="BalloonTextChar">
    <w:name w:val="Balloon Text Char"/>
    <w:basedOn w:val="DefaultParagraphFont"/>
    <w:link w:val="BalloonText"/>
    <w:rsid w:val="00B10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7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719"/>
    <w:rPr>
      <w:b/>
      <w:color w:val="660033"/>
      <w:spacing w:val="0"/>
    </w:rPr>
  </w:style>
  <w:style w:type="paragraph" w:customStyle="1" w:styleId="Nameditemlist">
    <w:name w:val="Named item list"/>
    <w:basedOn w:val="BodyText"/>
    <w:qFormat/>
    <w:rsid w:val="00B107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1893</Words>
  <Characters>11752</Characters>
  <Application>Microsoft Office Word</Application>
  <DocSecurity>0</DocSecurity>
  <Lines>429</Lines>
  <Paragraphs>174</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UEENEEH183A Analyse the performance of wireless-based electronic - communication systems</dc:title>
  <dc:subject>Approved</dc:subject>
  <dc:creator>E-OZ Training Standards</dc:creator>
  <cp:keywords>Release: 2</cp:keywords>
  <dc:description>Review Date: 12 April 2008</dc:description>
  <cp:lastModifiedBy>TPCMS</cp:lastModifiedBy>
  <cp:revision>3</cp:revision>
  <dcterms:created xsi:type="dcterms:W3CDTF">2013-08-14T08:02:00Z</dcterms:created>
  <dcterms:modified xsi:type="dcterms:W3CDTF">2013-08-14T08:02:00Z</dcterms:modified>
</cp:coreProperties>
</file>