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B04" w:rsidP="00504B04">
      <w:pPr>
        <w:pStyle w:val="Title"/>
      </w:pPr>
      <w:r>
        <w:fldChar w:fldCharType="begin"/>
      </w:r>
      <w:r>
        <w:instrText xml:space="preserve"> TITLE   \* MERGEFORMAT </w:instrText>
      </w:r>
      <w:r>
        <w:fldChar w:fldCharType="separate"/>
      </w:r>
      <w:r>
        <w:t>UEENEEH176A Diagnose and rectify faults in electronic display circuits</w:t>
      </w:r>
      <w:r>
        <w:fldChar w:fldCharType="end"/>
      </w:r>
    </w:p>
    <w:p w:rsidR="00504B04" w:rsidP="00504B04">
      <w:pPr>
        <w:pStyle w:val="Version"/>
        <w:sectPr w:rsidSect="007005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0502" w:rsidP="00700502">
      <w:pPr>
        <w:pStyle w:val="SuperHeading"/>
      </w:pPr>
      <w:r w:rsidRPr="00700502">
        <w:t>UEENEEH176A Diagnose and rectify faults in electronic display circuits</w:t>
      </w:r>
    </w:p>
    <w:p w:rsidR="00000000" w:rsidRPr="00700502" w:rsidP="00700502">
      <w:pPr>
        <w:pStyle w:val="Heading1"/>
      </w:pPr>
      <w:bookmarkStart w:id="1" w:name="O_588411"/>
      <w:bookmarkEnd w:id="1"/>
      <w:r w:rsidRPr="00700502">
        <w:t>Modification History</w:t>
      </w:r>
    </w:p>
    <w:p w:rsidR="00000000" w:rsidRPr="00700502" w:rsidP="00700502">
      <w:pPr>
        <w:pStyle w:val="BodyText"/>
      </w:pPr>
      <w:r w:rsidRPr="00700502">
        <w:t>Not applicable.</w:t>
      </w:r>
    </w:p>
    <w:p w:rsidR="00000000" w:rsidRPr="00700502" w:rsidP="00700502">
      <w:pPr>
        <w:pStyle w:val="AllowPageBreak"/>
      </w:pPr>
    </w:p>
    <w:p w:rsidR="00000000" w:rsidRPr="00700502" w:rsidP="00700502">
      <w:pPr>
        <w:pStyle w:val="Heading1"/>
      </w:pPr>
      <w:bookmarkStart w:id="2" w:name="O_588410"/>
      <w:bookmarkEnd w:id="2"/>
      <w:r w:rsidRPr="00700502">
        <w:t>Unit Descriptor</w:t>
      </w:r>
    </w:p>
    <w:tbl>
      <w:tblPr>
        <w:tblW w:w="0" w:type="auto"/>
        <w:tblLayout w:type="fixed"/>
        <w:tblCellMar>
          <w:left w:w="62" w:type="dxa"/>
          <w:right w:w="62" w:type="dxa"/>
        </w:tblCellMar>
        <w:tblLook w:val="0000"/>
      </w:tblPr>
      <w:tblGrid>
        <w:gridCol w:w="2700"/>
        <w:gridCol w:w="5760"/>
      </w:tblGrid>
      <w:tr w:rsidTr="00504B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1)</w:t>
            </w:r>
            <w:r w:rsidRPr="00700502">
              <w:t xml:space="preserve"> </w:t>
            </w:r>
            <w:r w:rsidRPr="00700502">
              <w:rPr>
                <w:rStyle w:val="SpecialBold"/>
              </w:rPr>
              <w:t>Scope:</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50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1.1) Descriptor</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This unit covers fault finding and repair of faults in cathode ray tubes, liquid crystal and plasma display circuits. The unit encompasses safe working practices, interpreting diagrams, applying logical diagnostic methods and knowledge of display circuit c</w:t>
            </w:r>
            <w:r w:rsidRPr="00700502">
              <w:t>omponents, rectifying faults, safety and functional testing and completing the necessary service documentation.</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3" w:name="O_588409"/>
      <w:bookmarkEnd w:id="3"/>
      <w:r w:rsidRPr="00700502">
        <w:t>Application of the Unit</w:t>
      </w:r>
    </w:p>
    <w:tbl>
      <w:tblPr>
        <w:tblW w:w="0" w:type="auto"/>
        <w:tblLayout w:type="fixed"/>
        <w:tblCellMar>
          <w:left w:w="62" w:type="dxa"/>
          <w:right w:w="62" w:type="dxa"/>
        </w:tblCellMar>
        <w:tblLook w:val="0000"/>
      </w:tblPr>
      <w:tblGrid>
        <w:gridCol w:w="2672"/>
        <w:gridCol w:w="5699"/>
      </w:tblGrid>
      <w:tr w:rsidTr="00504B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2)</w:t>
            </w:r>
          </w:p>
        </w:tc>
      </w:tr>
      <w:tr w:rsidTr="00504B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This unit is intended as an additional competency to relevant competencies previously acquired. It is suitable for employment-based programs under an approved contract of training at the aligned AQF 4 level or higher.</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4" w:name="O_588408"/>
      <w:bookmarkEnd w:id="4"/>
      <w:r w:rsidRPr="00700502">
        <w:t>Licensing/Regulator</w:t>
      </w:r>
      <w:r w:rsidRPr="00700502">
        <w:t>y Information</w:t>
      </w:r>
    </w:p>
    <w:tbl>
      <w:tblPr>
        <w:tblW w:w="0" w:type="auto"/>
        <w:tblLayout w:type="fixed"/>
        <w:tblCellMar>
          <w:left w:w="62" w:type="dxa"/>
          <w:right w:w="62" w:type="dxa"/>
        </w:tblCellMar>
        <w:tblLook w:val="0000"/>
      </w:tblPr>
      <w:tblGrid>
        <w:gridCol w:w="2700"/>
        <w:gridCol w:w="5760"/>
      </w:tblGrid>
      <w:tr w:rsidTr="00504B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 xml:space="preserve">3) </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 xml:space="preserve">The skills and knowledge described in this unit do not require a license to practice in the workplace provided equipment is not connected to installation wiring at voltage above 50 V a.c. or 120 V d.c. However other </w:t>
            </w:r>
            <w:r w:rsidRPr="00700502">
              <w:t xml:space="preserve">conditions may apply in some States/Territories subject to regulations related to electrical work. </w:t>
            </w:r>
          </w:p>
          <w:p w:rsidR="00000000" w:rsidRPr="00700502" w:rsidP="00700502">
            <w:pPr>
              <w:pStyle w:val="BodyText"/>
            </w:pPr>
            <w:r w:rsidRPr="00700502">
              <w:t>Practice in the workplace and during training is also subject to regulations directly related to occupational health and safety and where applicable contracts of training such as apprenticeships.</w:t>
            </w:r>
          </w:p>
          <w:p w:rsidR="00000000" w:rsidRPr="00700502" w:rsidP="00700502">
            <w:pPr>
              <w:pStyle w:val="BodyText"/>
            </w:pPr>
            <w:r w:rsidRPr="00700502">
              <w:t>Note:</w:t>
            </w:r>
          </w:p>
          <w:p w:rsidR="00000000" w:rsidRPr="00700502" w:rsidP="00700502">
            <w:pPr>
              <w:pStyle w:val="BodyText"/>
            </w:pPr>
            <w:r w:rsidRPr="00700502">
              <w:t xml:space="preserve">1. Compliance with permits may be required in various </w:t>
            </w:r>
            <w:r w:rsidRPr="00700502">
              <w:t>jurisdictions and typically relates to the operation of plant, machinery and equipment such as elevating work platforms, powder operated fixing tools, power operated tools, vehicles, road signage and traffic control, lifting equipment and the like. Permits</w:t>
            </w:r>
            <w:r w:rsidRPr="00700502">
              <w:t xml:space="preserve"> may also be required for some work environments such as confined spaces, working aloft, near live electrical apparatus and site rehabilitation.</w:t>
            </w:r>
          </w:p>
          <w:p w:rsidR="00000000" w:rsidRPr="00700502" w:rsidP="00700502">
            <w:pPr>
              <w:pStyle w:val="BodyText"/>
            </w:pPr>
            <w:r w:rsidRPr="00700502">
              <w:t>2. Compliance may be required in various jurisdictions relating to currency in First Aid, confined space, lifti</w:t>
            </w:r>
            <w:r w:rsidRPr="00700502">
              <w:t>ng and risk safety measures</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5" w:name="O_588407"/>
      <w:bookmarkEnd w:id="5"/>
      <w:r w:rsidRPr="00700502">
        <w:t>Pre-Requisites</w:t>
      </w:r>
    </w:p>
    <w:tbl>
      <w:tblPr>
        <w:tblW w:w="0" w:type="auto"/>
        <w:tblLayout w:type="fixed"/>
        <w:tblCellMar>
          <w:left w:w="62" w:type="dxa"/>
          <w:right w:w="62" w:type="dxa"/>
        </w:tblCellMar>
        <w:tblLook w:val="0000"/>
      </w:tblPr>
      <w:tblGrid>
        <w:gridCol w:w="2700"/>
        <w:gridCol w:w="1530"/>
        <w:gridCol w:w="4230"/>
      </w:tblGrid>
      <w:tr w:rsidTr="00504B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 xml:space="preserve">4) </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4.1)</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Granting competency in this unit shall be made only after competency in the following unit(s) has/have been confirmed.</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 xml:space="preserve">UEENEEH171A </w:t>
            </w:r>
          </w:p>
        </w:tc>
        <w:tc>
          <w:tcPr>
            <w:tcW w:w="423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Troubleshoot faults in television receivers</w:t>
            </w:r>
          </w:p>
        </w:tc>
      </w:tr>
    </w:tbl>
    <w:p w:rsidR="00000000" w:rsidRPr="00700502" w:rsidP="0070050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04B0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 xml:space="preserve">4.2) </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 xml:space="preserve">Participants are best equipped to achieve competency in this unit if they have reading, writing and numeracy skills indicated by the following </w:t>
            </w:r>
            <w:r w:rsidRPr="00700502">
              <w:t>scales. Description of each scale is given in Volume 2, Part 3 ‘Literacy and Numeracy’</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Reading</w:t>
            </w:r>
          </w:p>
        </w:tc>
        <w:tc>
          <w:tcPr>
            <w:tcW w:w="81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4</w:t>
            </w:r>
          </w:p>
        </w:tc>
        <w:tc>
          <w:tcPr>
            <w:tcW w:w="99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Writing</w:t>
            </w: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4</w:t>
            </w:r>
          </w:p>
        </w:tc>
        <w:tc>
          <w:tcPr>
            <w:tcW w:w="12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Numeracy</w:t>
            </w:r>
          </w:p>
        </w:tc>
        <w:tc>
          <w:tcPr>
            <w:tcW w:w="72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4</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6" w:name="O_588406"/>
      <w:bookmarkEnd w:id="6"/>
      <w:r w:rsidRPr="00700502">
        <w:t>Employability Skills Information</w:t>
      </w:r>
    </w:p>
    <w:tbl>
      <w:tblPr>
        <w:tblW w:w="0" w:type="auto"/>
        <w:tblLayout w:type="fixed"/>
        <w:tblCellMar>
          <w:left w:w="62" w:type="dxa"/>
          <w:right w:w="62" w:type="dxa"/>
        </w:tblCellMar>
        <w:tblLook w:val="0000"/>
      </w:tblPr>
      <w:tblGrid>
        <w:gridCol w:w="2700"/>
        <w:gridCol w:w="5760"/>
      </w:tblGrid>
      <w:tr w:rsidTr="00504B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 xml:space="preserve">5) </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This unit contains Employability Skills</w:t>
            </w:r>
          </w:p>
          <w:p w:rsidR="00000000" w:rsidRPr="00700502" w:rsidP="00700502">
            <w:pPr>
              <w:pStyle w:val="BodyText"/>
            </w:pPr>
            <w:r w:rsidRPr="0070050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00502">
              <w:t>requirements.</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7" w:name="O_588405"/>
      <w:bookmarkEnd w:id="7"/>
      <w:r w:rsidRPr="00700502">
        <w:t>Elements and Performance Criteria Pre-Content</w:t>
      </w:r>
    </w:p>
    <w:tbl>
      <w:tblPr>
        <w:tblW w:w="0" w:type="auto"/>
        <w:tblLayout w:type="fixed"/>
        <w:tblCellMar>
          <w:left w:w="62" w:type="dxa"/>
          <w:right w:w="62" w:type="dxa"/>
        </w:tblCellMar>
        <w:tblLook w:val="0000"/>
      </w:tblPr>
      <w:tblGrid>
        <w:gridCol w:w="2700"/>
        <w:gridCol w:w="5760"/>
      </w:tblGrid>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6)</w:t>
            </w:r>
            <w:r w:rsidRPr="0070050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Performance Criteria describe the required performance needed to demonstrate achievement of the element. Assessment of performance is to be consistent with the Evidence Guide.</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8" w:name="O_588404"/>
      <w:bookmarkEnd w:id="8"/>
      <w:r w:rsidRPr="007005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04B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PERFORMANCE CRITER</w:t>
            </w:r>
            <w:r w:rsidRPr="00700502">
              <w:rPr>
                <w:rStyle w:val="SpecialBold"/>
              </w:rPr>
              <w:t>IA</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1</w:t>
            </w:r>
          </w:p>
        </w:tc>
        <w:tc>
          <w:tcPr>
            <w:tcW w:w="2296"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1.1</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OHS procedures for a given work area are identified, obtained and understood.</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1.2</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Established OHS risk control measures and procedures are followed in preparation for the work.</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1.3</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Safety hazards, which have not previously been identified, are documented and risk control measures devised and implemented in consultation with appropriate personnel.</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1.4</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The extent of faults is determined from reports and other documentation and from discussion with appropriate personnel.</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1.5</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Appropriate personnel are consulted to ensure the work is co-ordinated effectively with others involved on the work site.</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1.6</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Tools, equipment and testing devices needed to diagnose faults are obtained in accordance with established procedures and checked for correct operation and safety.</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w:t>
            </w:r>
          </w:p>
        </w:tc>
        <w:tc>
          <w:tcPr>
            <w:tcW w:w="2296"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Diagnose and rectify faults</w:t>
            </w: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2.1</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OHS risk control measures and procedures for carrying out</w:t>
            </w:r>
            <w:r w:rsidRPr="00700502">
              <w:t xml:space="preserve"> the work are followed.</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2.2</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The need to test or measure live is determined in strict accordance with OHS requirements and when necessary conducted within established safety procedures.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2.3</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Circuits/machines/plant are checked as being isolated where necessary in strict accordance OHS requirements and procedures.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2.4</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Logical diagnostic methods are applied to diagnose display circuits faults employing measurements of circuit operating parame</w:t>
            </w:r>
            <w:r w:rsidRPr="00700502">
              <w:t>ters referenced to display operating specifications.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2.5</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Suspected fault scenarios are tested as being the source of display circuit problems.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2.6</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Faults in the electronic components of the display circuits are rectified to raise display circuits to its operation standard.</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2.7</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Circuits are tested to verify that the display operates as intended and to specified requirements.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2.8</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Decisions for de</w:t>
            </w:r>
            <w:r w:rsidRPr="00700502">
              <w:t>aling with unexpected situations are made from discussions with appropriate persons and consistent with job specifications and requirements.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2.9</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Diagnosis and rectification activities are carried out efficiently without waste of materials or damage to a</w:t>
            </w:r>
            <w:r w:rsidRPr="00700502">
              <w:t>pparatus and the surrounding environment or services and using sustainable energy practices.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3</w:t>
            </w:r>
          </w:p>
        </w:tc>
        <w:tc>
          <w:tcPr>
            <w:tcW w:w="2296"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Complete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3.1</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OHS work completion risk control measures and procedures are followed.</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3.2</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Work site is made safe in accordance with established safety procedures.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3.3</w:t>
            </w:r>
          </w:p>
        </w:tc>
        <w:tc>
          <w:tcPr>
            <w:tcW w:w="48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Rectification of faults is documented in accordance with established procedures.</w:t>
            </w:r>
          </w:p>
        </w:tc>
      </w:tr>
      <w:tr w:rsidTr="00504B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t>3.4</w:t>
            </w:r>
          </w:p>
        </w:tc>
        <w:tc>
          <w:tcPr>
            <w:tcW w:w="48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 xml:space="preserve">Appropriate person or persons notified, in accordance with established procedures, that </w:t>
            </w:r>
            <w:r w:rsidRPr="00700502">
              <w:t>display circuit faults have been rectified.</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9" w:name="O_588403"/>
      <w:bookmarkEnd w:id="9"/>
      <w:r w:rsidRPr="00700502">
        <w:t>Required Skills and Knowledge</w:t>
      </w:r>
    </w:p>
    <w:tbl>
      <w:tblPr>
        <w:tblW w:w="0" w:type="auto"/>
        <w:tblLayout w:type="fixed"/>
        <w:tblCellMar>
          <w:left w:w="62" w:type="dxa"/>
          <w:right w:w="62" w:type="dxa"/>
        </w:tblCellMar>
        <w:tblLook w:val="0000"/>
      </w:tblPr>
      <w:tblGrid>
        <w:gridCol w:w="8460"/>
      </w:tblGrid>
      <w:tr w:rsidTr="00504B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REQUIRED SKILLS AND KNOWLEDGE</w:t>
            </w:r>
          </w:p>
        </w:tc>
      </w:tr>
      <w:tr w:rsidTr="00504B0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8)</w:t>
            </w:r>
            <w:r w:rsidRPr="00700502">
              <w:t xml:space="preserve">  This describes the essential skills and knowledge and their level, required for this unit.</w:t>
            </w:r>
          </w:p>
          <w:p w:rsidR="00000000" w:rsidRPr="00700502" w:rsidP="00700502">
            <w:pPr>
              <w:pStyle w:val="BodyText"/>
            </w:pPr>
            <w:r w:rsidRPr="00700502">
              <w:t xml:space="preserve">Evidence shall show that knowledge has been acquired of safe working practices and diagnosing and rectifying faults in display circuits. </w:t>
            </w:r>
          </w:p>
          <w:p w:rsidR="00000000" w:rsidRPr="00700502" w:rsidP="00700502">
            <w:pPr>
              <w:pStyle w:val="BodyText"/>
            </w:pPr>
            <w:r w:rsidRPr="00700502">
              <w:t>All knowledge and skills detailed in this unit should be contextualised to current industry practices and technologies</w:t>
            </w:r>
            <w:r w:rsidRPr="00700502">
              <w:t>.</w:t>
            </w:r>
          </w:p>
          <w:p w:rsidR="00000000" w:rsidRPr="00700502" w:rsidP="00700502">
            <w:pPr>
              <w:pStyle w:val="BodyText"/>
            </w:pPr>
            <w:r w:rsidRPr="00700502">
              <w:rPr>
                <w:rStyle w:val="SpecialBold"/>
              </w:rPr>
              <w:t>KS01-EH176A                       Electronic displays faults</w:t>
            </w:r>
          </w:p>
          <w:p w:rsidR="00000000" w:rsidRPr="00700502" w:rsidP="00700502">
            <w:pPr>
              <w:pStyle w:val="BodyText"/>
            </w:pPr>
            <w:r w:rsidRPr="00700502">
              <w:t>Evidence shall show an understanding of electronic displays faults, applying safe working practices and relevant Standards, Codes and Regulations to an extent indicated by the following aspects</w:t>
            </w:r>
            <w:r w:rsidRPr="00700502">
              <w:t>:</w:t>
            </w:r>
          </w:p>
          <w:p w:rsidR="00000000" w:rsidRPr="00700502" w:rsidP="00700502">
            <w:pPr>
              <w:pStyle w:val="BodyText"/>
            </w:pPr>
            <w:r w:rsidRPr="00700502">
              <w:t>T1.</w:t>
            </w:r>
            <w:r w:rsidRPr="00700502">
              <w:tab/>
              <w:t>Cathode ray tube displays encompassing:</w:t>
            </w:r>
          </w:p>
          <w:p w:rsidR="00000000" w:rsidRPr="00700502" w:rsidP="00700502">
            <w:pPr>
              <w:pStyle w:val="ListBullet"/>
            </w:pPr>
            <w:r w:rsidRPr="00700502">
              <w:t>Operation and characteristics of various types of cathode-ray tubes including delta, in-line and precision in-line</w:t>
            </w:r>
          </w:p>
          <w:p w:rsidR="00000000" w:rsidRPr="00700502" w:rsidP="00700502">
            <w:pPr>
              <w:pStyle w:val="ListBullet"/>
            </w:pPr>
            <w:r w:rsidRPr="00700502">
              <w:t>Voltages, statics and x-rays around CRTs</w:t>
            </w:r>
          </w:p>
          <w:p w:rsidR="00000000" w:rsidRPr="00700502" w:rsidP="00700502">
            <w:pPr>
              <w:pStyle w:val="ListBullet"/>
            </w:pPr>
            <w:r w:rsidRPr="00700502">
              <w:t>Set up and adjustment techniques</w:t>
            </w:r>
          </w:p>
          <w:p w:rsidR="00000000" w:rsidRPr="00700502" w:rsidP="00700502">
            <w:pPr>
              <w:pStyle w:val="ListBullet"/>
            </w:pPr>
            <w:r w:rsidRPr="00700502">
              <w:t>Rear and front proje</w:t>
            </w:r>
            <w:r w:rsidRPr="00700502">
              <w:t>ction TV systems</w:t>
            </w:r>
          </w:p>
          <w:p w:rsidR="00000000" w:rsidRPr="00700502" w:rsidP="00700502">
            <w:pPr>
              <w:pStyle w:val="ListBullet"/>
            </w:pPr>
            <w:r w:rsidRPr="00700502">
              <w:t>Typical faults</w:t>
            </w:r>
          </w:p>
          <w:p w:rsidR="00000000" w:rsidRPr="00700502" w:rsidP="00700502">
            <w:pPr>
              <w:pStyle w:val="BodyText"/>
            </w:pPr>
            <w:r w:rsidRPr="00700502">
              <w:t>T2.</w:t>
            </w:r>
            <w:r w:rsidRPr="00700502">
              <w:tab/>
              <w:t>Plasma displays and their circuit control operation encompassing:</w:t>
            </w:r>
          </w:p>
          <w:p w:rsidR="00000000" w:rsidRPr="00700502" w:rsidP="00700502">
            <w:pPr>
              <w:pStyle w:val="ListBullet"/>
            </w:pPr>
            <w:r w:rsidRPr="00700502">
              <w:t>Advantages of flat panel displays (over conventional CRT’s, Raster geometry etc)</w:t>
            </w:r>
          </w:p>
          <w:p w:rsidR="00000000" w:rsidRPr="00700502" w:rsidP="00700502">
            <w:pPr>
              <w:pStyle w:val="ListBullet"/>
            </w:pPr>
            <w:r w:rsidRPr="00700502">
              <w:t>Theory of plasma gas discharge and phosphor excitation</w:t>
            </w:r>
          </w:p>
          <w:p w:rsidR="00000000" w:rsidRPr="00700502" w:rsidP="00700502">
            <w:pPr>
              <w:pStyle w:val="ListBullet"/>
            </w:pPr>
            <w:r w:rsidRPr="00700502">
              <w:t>Scanning techniqu</w:t>
            </w:r>
            <w:r w:rsidRPr="00700502">
              <w:t>es (column/row addressing</w:t>
            </w:r>
          </w:p>
          <w:p w:rsidR="00000000" w:rsidRPr="00700502" w:rsidP="00700502">
            <w:pPr>
              <w:pStyle w:val="ListBullet"/>
            </w:pPr>
            <w:r w:rsidRPr="00700502">
              <w:t>Luminance/colour aspects (the need to re-address pixels to control light output</w:t>
            </w:r>
          </w:p>
          <w:p w:rsidR="00000000" w:rsidRPr="00700502" w:rsidP="00700502">
            <w:pPr>
              <w:pStyle w:val="ListBullet"/>
            </w:pPr>
            <w:r w:rsidRPr="00700502">
              <w:t>Gamma correction considerations. (reversal of the gamma correc</w:t>
            </w:r>
            <w:r w:rsidRPr="00700502">
              <w:t>tion that is carried out at the TV studio to compensate for the non-linearity of light output of a conventional CRT)</w:t>
            </w:r>
          </w:p>
          <w:p w:rsidR="00000000" w:rsidRPr="00700502" w:rsidP="00700502">
            <w:pPr>
              <w:pStyle w:val="ListBullet"/>
            </w:pPr>
            <w:r w:rsidRPr="00700502">
              <w:t>Plasma flat panel construction (and handling)</w:t>
            </w:r>
          </w:p>
          <w:p w:rsidR="00000000" w:rsidRPr="00700502" w:rsidP="00700502">
            <w:pPr>
              <w:pStyle w:val="BodyText"/>
            </w:pPr>
            <w:r w:rsidRPr="00700502">
              <w:t>T3.</w:t>
            </w:r>
            <w:r w:rsidRPr="00700502">
              <w:tab/>
              <w:t>Liquid crystal displays and the control circuit operation encompassing:</w:t>
            </w:r>
          </w:p>
          <w:p w:rsidR="00000000" w:rsidRPr="00700502" w:rsidP="00700502">
            <w:pPr>
              <w:pStyle w:val="ListBullet"/>
            </w:pPr>
            <w:r w:rsidRPr="00700502">
              <w:t>Principles of tr</w:t>
            </w:r>
            <w:r w:rsidRPr="00700502">
              <w:t>ansmissive LCD displays (as opposed to reflective types)</w:t>
            </w:r>
          </w:p>
          <w:p w:rsidR="00000000" w:rsidRPr="00700502" w:rsidP="00700502">
            <w:pPr>
              <w:pStyle w:val="ListBullet"/>
            </w:pPr>
            <w:r w:rsidRPr="00700502">
              <w:t xml:space="preserve">Light polarisation. (polarisation twisting characteristics of liquid crystal and the </w:t>
            </w:r>
          </w:p>
          <w:p w:rsidR="00000000" w:rsidRPr="00700502" w:rsidP="00700502">
            <w:pPr>
              <w:pStyle w:val="ListBullet"/>
            </w:pPr>
            <w:r w:rsidRPr="00700502">
              <w:t>need for polarisation filters in display panel)</w:t>
            </w:r>
          </w:p>
          <w:p w:rsidR="00000000" w:rsidRPr="00700502" w:rsidP="00700502">
            <w:pPr>
              <w:pStyle w:val="ListBullet"/>
            </w:pPr>
            <w:r w:rsidRPr="00700502">
              <w:t>Voltage/current requirements and need for electric field</w:t>
            </w:r>
          </w:p>
          <w:p w:rsidR="00000000" w:rsidRPr="00700502" w:rsidP="00700502">
            <w:pPr>
              <w:pStyle w:val="ListBullet"/>
            </w:pPr>
            <w:r w:rsidRPr="00700502">
              <w:t>Fluoresc</w:t>
            </w:r>
            <w:r w:rsidRPr="00700502">
              <w:t>ent back light (need for high frequency operation and power requirements)</w:t>
            </w:r>
          </w:p>
          <w:p w:rsidR="00000000" w:rsidRPr="00700502" w:rsidP="00700502">
            <w:pPr>
              <w:pStyle w:val="ListBullet"/>
            </w:pPr>
            <w:r w:rsidRPr="00700502">
              <w:t>Scanning techniques (colour/row addressing and thin film transistors)</w:t>
            </w:r>
          </w:p>
          <w:p w:rsidR="00000000" w:rsidRPr="00700502" w:rsidP="00700502">
            <w:pPr>
              <w:pStyle w:val="ListBullet"/>
            </w:pPr>
            <w:r w:rsidRPr="00700502">
              <w:t>Light attenuation (caused by the many layers/filters the back light has to pass through)</w:t>
            </w:r>
          </w:p>
          <w:p w:rsidR="00000000" w:rsidRPr="00700502" w:rsidP="00700502">
            <w:pPr>
              <w:pStyle w:val="ListBullet"/>
            </w:pPr>
            <w:r w:rsidRPr="00700502">
              <w:t>Construction and handli</w:t>
            </w:r>
            <w:r w:rsidRPr="00700502">
              <w:t>ng</w:t>
            </w:r>
          </w:p>
          <w:p w:rsidR="00000000" w:rsidRPr="00700502" w:rsidP="00700502">
            <w:pPr>
              <w:pStyle w:val="BodyText"/>
            </w:pPr>
            <w:r w:rsidRPr="00700502">
              <w:t>T4.</w:t>
            </w:r>
            <w:r w:rsidRPr="00700502">
              <w:tab/>
              <w:t>Display circuit diagnostics encompassing:</w:t>
            </w:r>
          </w:p>
          <w:p w:rsidR="00000000" w:rsidRPr="00700502" w:rsidP="00700502">
            <w:pPr>
              <w:pStyle w:val="ListBullet"/>
            </w:pPr>
            <w:r w:rsidRPr="00700502">
              <w:t>Sub-system components (i.e. functional blocks) and their operating parameters</w:t>
            </w:r>
          </w:p>
          <w:p w:rsidR="00000000" w:rsidRPr="00700502" w:rsidP="00700502">
            <w:pPr>
              <w:pStyle w:val="ListBullet"/>
            </w:pPr>
            <w:r w:rsidRPr="00700502">
              <w:t>Factors effecting system performance</w:t>
            </w:r>
          </w:p>
          <w:p w:rsidR="00000000" w:rsidRPr="00700502" w:rsidP="00700502">
            <w:pPr>
              <w:pStyle w:val="ListBullet"/>
            </w:pPr>
            <w:r w:rsidRPr="00700502">
              <w:t>Typical faults, their symptoms and cause.</w:t>
            </w:r>
          </w:p>
          <w:p w:rsidR="00000000" w:rsidRPr="00700502" w:rsidP="00700502">
            <w:pPr>
              <w:pStyle w:val="ListBullet"/>
            </w:pPr>
            <w:r w:rsidRPr="00700502">
              <w:t xml:space="preserve">Fault diagnosis procedures and testing </w:t>
            </w:r>
          </w:p>
          <w:p w:rsidR="00000000" w:rsidRPr="00700502" w:rsidP="00700502">
            <w:pPr>
              <w:pStyle w:val="ListBullet"/>
            </w:pPr>
            <w:r w:rsidRPr="00700502">
              <w:t>Sub-syste</w:t>
            </w:r>
            <w:r w:rsidRPr="00700502">
              <w:t>m adjustments</w:t>
            </w:r>
          </w:p>
          <w:p w:rsidR="00000000" w:rsidRPr="00700502" w:rsidP="00700502">
            <w:pPr>
              <w:pStyle w:val="BodyText"/>
            </w:pPr>
            <w:r w:rsidRPr="00700502">
              <w:t>T5.</w:t>
            </w:r>
            <w:r w:rsidRPr="00700502">
              <w:tab/>
              <w:t xml:space="preserve">Advance electronic measuring instruments encompassing: </w:t>
            </w:r>
          </w:p>
          <w:p w:rsidR="00000000" w:rsidRPr="00700502" w:rsidP="00700502">
            <w:pPr>
              <w:pStyle w:val="ListBullet"/>
            </w:pPr>
            <w:r w:rsidRPr="00700502">
              <w:t>Test/measuring devices and their application - Examples are frequency counters, and synthesisers, spectrum analysers, noise and distortion meters and RF communications service monit</w:t>
            </w:r>
            <w:r w:rsidRPr="00700502">
              <w:t>or.</w:t>
            </w:r>
          </w:p>
          <w:p w:rsidR="00000000" w:rsidRPr="00700502" w:rsidP="00700502">
            <w:pPr>
              <w:pStyle w:val="BodyText"/>
            </w:pPr>
            <w:r w:rsidRPr="00700502">
              <w:t>T6</w:t>
            </w:r>
            <w:r w:rsidRPr="00700502">
              <w:tab/>
              <w:t>Connection of test/measuring devices into a circuit encompassing:</w:t>
            </w:r>
          </w:p>
          <w:p w:rsidR="00000000" w:rsidRPr="00700502" w:rsidP="00700502">
            <w:pPr>
              <w:pStyle w:val="ListBullet"/>
            </w:pPr>
            <w:r w:rsidRPr="00700502">
              <w:t>safety procedures</w:t>
            </w:r>
          </w:p>
          <w:p w:rsidR="00000000" w:rsidRPr="00700502" w:rsidP="00700502">
            <w:pPr>
              <w:pStyle w:val="ListBullet"/>
            </w:pPr>
            <w:r w:rsidRPr="00700502">
              <w:t>loading and matching</w:t>
            </w:r>
          </w:p>
          <w:p w:rsidR="00000000" w:rsidRPr="00700502" w:rsidP="00700502">
            <w:pPr>
              <w:pStyle w:val="ListBullet"/>
            </w:pPr>
            <w:r w:rsidRPr="00700502">
              <w:t>storage and delay</w:t>
            </w:r>
          </w:p>
          <w:p w:rsidR="00000000" w:rsidRPr="00700502" w:rsidP="00700502">
            <w:pPr>
              <w:pStyle w:val="ListBullet"/>
            </w:pPr>
            <w:r w:rsidRPr="00700502">
              <w:t>circuit arrangement of test/measuring devices</w:t>
            </w:r>
          </w:p>
          <w:p w:rsidR="00000000" w:rsidRPr="00700502" w:rsidP="00700502">
            <w:pPr>
              <w:pStyle w:val="BodyText"/>
            </w:pPr>
            <w:r w:rsidRPr="00700502">
              <w:t>T7</w:t>
            </w:r>
            <w:r w:rsidRPr="00700502">
              <w:tab/>
              <w:t>Taking and interpreting readings</w:t>
            </w:r>
          </w:p>
          <w:p w:rsidR="00000000" w:rsidRPr="00700502" w:rsidP="00700502">
            <w:pPr>
              <w:pStyle w:val="BodyText"/>
            </w:pPr>
            <w:r w:rsidRPr="00700502">
              <w:t>T8</w:t>
            </w:r>
            <w:r w:rsidRPr="00700502">
              <w:tab/>
            </w:r>
            <w:r w:rsidRPr="00700502">
              <w:t>Notion of decibels including dBm, dBr, dBu, dBo</w:t>
            </w:r>
          </w:p>
          <w:p w:rsidR="00000000" w:rsidRPr="00700502" w:rsidP="00700502">
            <w:pPr>
              <w:pStyle w:val="BodyText"/>
            </w:pPr>
            <w:r w:rsidRPr="00700502">
              <w:t>T9.</w:t>
            </w:r>
            <w:r w:rsidRPr="00700502">
              <w:tab/>
              <w:t xml:space="preserve">OHS enterprise responsibilities encompassing: </w:t>
            </w:r>
          </w:p>
          <w:p w:rsidR="00000000" w:rsidRPr="00700502" w:rsidP="00700502">
            <w:pPr>
              <w:pStyle w:val="ListBullet"/>
            </w:pPr>
            <w:r w:rsidRPr="00700502">
              <w:t>Provisions of relevant health and safety legislation</w:t>
            </w:r>
          </w:p>
          <w:p w:rsidR="00000000" w:rsidRPr="00700502" w:rsidP="00700502">
            <w:pPr>
              <w:pStyle w:val="ListBullet"/>
            </w:pPr>
            <w:r w:rsidRPr="00700502">
              <w:t>Principles and practice of effective occupational health and safety management</w:t>
            </w:r>
          </w:p>
          <w:p w:rsidR="00000000" w:rsidRPr="00700502" w:rsidP="00700502">
            <w:pPr>
              <w:pStyle w:val="ListBullet"/>
            </w:pPr>
            <w:r w:rsidRPr="00700502">
              <w:t xml:space="preserve">Management arrangements </w:t>
            </w:r>
            <w:r w:rsidRPr="00700502">
              <w:t>relating to regulatory compliance</w:t>
            </w:r>
          </w:p>
          <w:p w:rsidR="00000000" w:rsidRPr="00700502" w:rsidP="00700502">
            <w:pPr>
              <w:pStyle w:val="ListBullet"/>
            </w:pPr>
            <w:r w:rsidRPr="00700502">
              <w:t>Enterprise hazards and risks, control measures and relevant expertise required</w:t>
            </w:r>
          </w:p>
          <w:p w:rsidR="00000000" w:rsidRPr="00700502" w:rsidP="00700502">
            <w:pPr>
              <w:pStyle w:val="ListBullet"/>
            </w:pPr>
            <w:r w:rsidRPr="00700502">
              <w:t>Characteristics and composition of workforce and their impact on occupational health and safety management</w:t>
            </w:r>
          </w:p>
          <w:p w:rsidR="00000000" w:rsidRPr="00700502" w:rsidP="00700502">
            <w:pPr>
              <w:pStyle w:val="ListBullet"/>
            </w:pPr>
            <w:r w:rsidRPr="00700502">
              <w:t>Relevance of enterprise management s</w:t>
            </w:r>
            <w:r w:rsidRPr="00700502">
              <w:t>ystems to occupational health and safety management</w:t>
            </w:r>
          </w:p>
          <w:p w:rsidR="00000000" w:rsidRPr="00700502" w:rsidP="00700502">
            <w:pPr>
              <w:pStyle w:val="ListBullet"/>
            </w:pPr>
            <w:r w:rsidRPr="00700502">
              <w:t>Analysis of working environment and design of appropriate occupational health and safety management systems</w:t>
            </w:r>
          </w:p>
          <w:p w:rsidR="00000000" w:rsidRPr="00700502" w:rsidP="00700502">
            <w:pPr>
              <w:pStyle w:val="ListBullet"/>
            </w:pPr>
            <w:r w:rsidRPr="00700502">
              <w:t>Analysis of relevant data and evaluation of occupational health and safety system effectiveness</w:t>
            </w:r>
          </w:p>
          <w:p w:rsidR="00000000" w:rsidRPr="00700502" w:rsidP="00700502">
            <w:pPr>
              <w:pStyle w:val="ListBullet"/>
            </w:pPr>
            <w:r w:rsidRPr="00700502">
              <w:t>Assess resources to establish and maintain occupational health and safety management systems.</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10" w:name="O_588402"/>
      <w:bookmarkEnd w:id="10"/>
      <w:r w:rsidRPr="00700502">
        <w:t>Evidence Guide</w:t>
      </w:r>
    </w:p>
    <w:tbl>
      <w:tblPr>
        <w:tblW w:w="0" w:type="auto"/>
        <w:tblLayout w:type="fixed"/>
        <w:tblCellMar>
          <w:left w:w="62" w:type="dxa"/>
          <w:right w:w="62" w:type="dxa"/>
        </w:tblCellMar>
        <w:tblLook w:val="0000"/>
      </w:tblPr>
      <w:tblGrid>
        <w:gridCol w:w="8460"/>
      </w:tblGrid>
      <w:tr w:rsidTr="00504B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EVIDENCE GUIDE</w:t>
            </w:r>
          </w:p>
        </w:tc>
      </w:tr>
      <w:tr w:rsidTr="00504B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9)</w:t>
            </w:r>
            <w:r w:rsidRPr="00700502">
              <w:t xml:space="preserve">  The evidence guide provides advice on assessment and must be read in conjunction with the Performance </w:t>
            </w:r>
            <w:r w:rsidRPr="00700502">
              <w:t>Criteria, Required Skills and Knowledge, the Range Statement and the Assessment Guidelines for this Training Package. .</w:t>
            </w:r>
          </w:p>
          <w:p w:rsidR="00000000" w:rsidRPr="00700502" w:rsidP="00700502">
            <w:pPr>
              <w:pStyle w:val="BodyText"/>
            </w:pPr>
            <w:r w:rsidRPr="00700502">
              <w:t>The Evidence Guide forms an integral part of this unit. It must be used in conjunction with all parts of the unit and performed in accor</w:t>
            </w:r>
            <w:r w:rsidRPr="00700502">
              <w:t>dance with the Assessment Guidelines of this Training Package.</w:t>
            </w:r>
          </w:p>
        </w:tc>
      </w:tr>
    </w:tbl>
    <w:p w:rsidR="00000000" w:rsidRPr="00700502" w:rsidP="00700502">
      <w:pPr>
        <w:pStyle w:val="BodyText"/>
      </w:pPr>
    </w:p>
    <w:tbl>
      <w:tblPr>
        <w:tblW w:w="0" w:type="auto"/>
        <w:tblLayout w:type="fixed"/>
        <w:tblCellMar>
          <w:left w:w="62" w:type="dxa"/>
          <w:right w:w="62" w:type="dxa"/>
        </w:tblCellMar>
        <w:tblLook w:val="0000"/>
      </w:tblPr>
      <w:tblGrid>
        <w:gridCol w:w="1890"/>
        <w:gridCol w:w="6570"/>
      </w:tblGrid>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9.1)</w:t>
            </w:r>
          </w:p>
        </w:tc>
      </w:tr>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 xml:space="preserve">Longitudinal competency development approaches to assessment, such as Profiling, require data to be reliably gathered in a form that can be </w:t>
            </w:r>
            <w:r w:rsidRPr="00700502">
              <w:t>consistently interpreted over time. This approach is best utilised in Apprenticeship programs and reduces assessment intervention. It is the Industry-preferred model for apprenticeships. However, where summative (or final) assessment is used it must includ</w:t>
            </w:r>
            <w:r w:rsidRPr="00700502">
              <w:t>e the application of the competency in the normal work environment or, at a minimum, the application of the competency in a realistically simulated work environment. It is recognised that, in some circumstances, assessment in part or full can occur outside</w:t>
            </w:r>
            <w:r w:rsidRPr="00700502">
              <w:t xml:space="preserve"> the workplace. However, it must be in accord with industry and regulatory policy.</w:t>
            </w:r>
          </w:p>
          <w:p w:rsidR="00000000" w:rsidRPr="00700502" w:rsidP="00700502">
            <w:pPr>
              <w:pStyle w:val="BodyText"/>
            </w:pPr>
            <w:r w:rsidRPr="00700502">
              <w:t>Methods chosen for a particular assessment will be influenced by various factors. These include the extent of the assessment, the most effective locations for the assessment</w:t>
            </w:r>
            <w:r w:rsidRPr="00700502">
              <w:t xml:space="preserve"> activities to take place, access to physical resources, additional safety measures that may be required and the critical nature of the competencies being assessed.</w:t>
            </w:r>
          </w:p>
          <w:p w:rsidR="00000000" w:rsidRPr="00700502" w:rsidP="00700502">
            <w:pPr>
              <w:pStyle w:val="BodyText"/>
            </w:pPr>
            <w:r w:rsidRPr="00700502">
              <w:t>The critical safety nature of working with electricity, electrical equipment, gas or any ot</w:t>
            </w:r>
            <w:r w:rsidRPr="00700502">
              <w:t>her hazardous substance/material carries risk in deeming a person competent. Sources of evidence need to be ‘rich’ in nature to minimise error in judgment.</w:t>
            </w:r>
          </w:p>
          <w:p w:rsidR="00000000" w:rsidRPr="00700502" w:rsidP="00700502">
            <w:pPr>
              <w:pStyle w:val="BodyText"/>
            </w:pPr>
            <w:r w:rsidRPr="00700502">
              <w:t>Activities associated with normal everyday work influence decisions about how/how much the data gath</w:t>
            </w:r>
            <w:r w:rsidRPr="00700502">
              <w:t>ered will contribute to its ‘richness’. Some skills are more critical to safety and operational requirements while the same skills may be more or less frequently practised. These points are raised for the assessors to consider when choosing an assessment m</w:t>
            </w:r>
            <w:r w:rsidRPr="00700502">
              <w:t>ethod and developing assessment instruments. Sample assessment instruments are included for Assessors in the Assessment Guidelines of this Training Package.</w:t>
            </w:r>
          </w:p>
        </w:tc>
      </w:tr>
    </w:tbl>
    <w:p w:rsidR="00000000" w:rsidRPr="00700502" w:rsidP="00700502">
      <w:pPr>
        <w:pStyle w:val="BodyText"/>
      </w:pPr>
    </w:p>
    <w:tbl>
      <w:tblPr>
        <w:tblW w:w="0" w:type="auto"/>
        <w:tblLayout w:type="fixed"/>
        <w:tblCellMar>
          <w:left w:w="62" w:type="dxa"/>
          <w:right w:w="62" w:type="dxa"/>
        </w:tblCellMar>
        <w:tblLook w:val="0000"/>
      </w:tblPr>
      <w:tblGrid>
        <w:gridCol w:w="1890"/>
        <w:gridCol w:w="6570"/>
      </w:tblGrid>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9.2)</w:t>
            </w:r>
          </w:p>
        </w:tc>
      </w:tr>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Before the cr</w:t>
            </w:r>
            <w:r w:rsidRPr="00700502">
              <w:t>itical aspects of evidence are considered all prerequisites shall be met.</w:t>
            </w:r>
          </w:p>
          <w:p w:rsidR="00000000" w:rsidRPr="00700502" w:rsidP="00700502">
            <w:pPr>
              <w:pStyle w:val="BodyText"/>
            </w:pPr>
            <w:r w:rsidRPr="00700502">
              <w:t>Evidence for competence in this unit shall be considered holistically.  Each Element and associated performance criteria shall be demonstrated on at least two occasions in accordance</w:t>
            </w:r>
            <w:r w:rsidRPr="00700502">
              <w:t xml:space="preserve"> with the ‘Assessment Guidelines – UEE11’.  Evidence shall also comprise:</w:t>
            </w:r>
          </w:p>
          <w:p w:rsidR="00000000" w:rsidRPr="00700502" w:rsidP="00700502">
            <w:pPr>
              <w:pStyle w:val="ListBullet"/>
            </w:pPr>
            <w:r w:rsidRPr="00700502">
              <w:t>A representative body of work performance demonstrated within the timeframes typically expected of the discipline, work function and industrial environment. In particular this shall</w:t>
            </w:r>
            <w:r w:rsidRPr="00700502">
              <w:t xml:space="preserve"> incorporate evidence that shows a candidate is able to:</w:t>
            </w:r>
          </w:p>
          <w:p w:rsidR="00000000" w:rsidRPr="00700502" w:rsidP="00700502">
            <w:pPr>
              <w:pStyle w:val="ListBullet2"/>
            </w:pPr>
            <w:r w:rsidRPr="00700502">
              <w:t>Implement Occupational Health and Safety workplace procedures and practices, including the use of risk control measures as specified in the performance criteria and range statement</w:t>
            </w:r>
          </w:p>
          <w:p w:rsidR="00000000" w:rsidRPr="00700502" w:rsidP="00700502">
            <w:pPr>
              <w:pStyle w:val="ListBullet2"/>
            </w:pPr>
            <w:r w:rsidRPr="00700502">
              <w:t>Apply sustainable energy principles and practices as specified in the performance criteria and range statement</w:t>
            </w:r>
          </w:p>
          <w:p w:rsidR="00000000" w:rsidRPr="00700502" w:rsidP="00700502">
            <w:pPr>
              <w:pStyle w:val="ListBullet2"/>
            </w:pPr>
            <w:r w:rsidRPr="00700502">
              <w:t>Demonstrate an understanding of the essential knowledge and associated skills as described in this unit.  It may be required by some jurisdiction</w:t>
            </w:r>
            <w:r w:rsidRPr="00700502">
              <w:t>s that RTOs provide a percentile graded result for the purpose of regulatory or licensing requirements.</w:t>
            </w:r>
          </w:p>
          <w:p w:rsidR="00000000" w:rsidRPr="00700502" w:rsidP="00700502">
            <w:pPr>
              <w:pStyle w:val="ListBullet2"/>
            </w:pPr>
            <w:r w:rsidRPr="00700502">
              <w:t>Demonstrate an appropriate level of skills enabling employment</w:t>
            </w:r>
          </w:p>
          <w:p w:rsidR="00000000" w:rsidRPr="00700502" w:rsidP="00700502">
            <w:pPr>
              <w:pStyle w:val="ListBullet2"/>
            </w:pPr>
            <w:r w:rsidRPr="00700502">
              <w:t>Conduct work observing the relevant Anti Discrimination legislation, regulations, polices</w:t>
            </w:r>
            <w:r w:rsidRPr="00700502">
              <w:t xml:space="preserve"> and workplace procedures</w:t>
            </w:r>
          </w:p>
          <w:p w:rsidR="00000000" w:rsidRPr="00700502" w:rsidP="00700502">
            <w:pPr>
              <w:pStyle w:val="ListBullet"/>
            </w:pPr>
            <w:r w:rsidRPr="00700502">
              <w:t>Demonstrated consistent performance across a representative range of contexts from the prescribed items below:</w:t>
            </w:r>
          </w:p>
          <w:p w:rsidR="00000000" w:rsidRPr="00700502" w:rsidP="00700502">
            <w:pPr>
              <w:pStyle w:val="ListBullet2"/>
            </w:pPr>
            <w:r w:rsidRPr="00700502">
              <w:t>Diagnose and rectify faults in display circuits as described in 8) and including:</w:t>
            </w:r>
          </w:p>
          <w:p w:rsidR="00000000" w:rsidRPr="00700502" w:rsidP="00700502">
            <w:pPr>
              <w:pStyle w:val="ListAlpha2"/>
            </w:pPr>
            <w:r w:rsidRPr="00700502">
              <w:t>Applying logic</w:t>
            </w:r>
            <w:r w:rsidRPr="00700502">
              <w:t>al diagnostic methods.</w:t>
            </w:r>
          </w:p>
          <w:p w:rsidR="00000000" w:rsidRPr="00700502" w:rsidP="00700502">
            <w:pPr>
              <w:pStyle w:val="ListAlpha2"/>
            </w:pPr>
            <w:r w:rsidRPr="00700502">
              <w:t>Using fault scenarios to test the source of circuit faults.</w:t>
            </w:r>
          </w:p>
          <w:p w:rsidR="00000000" w:rsidRPr="00700502" w:rsidP="00700502">
            <w:pPr>
              <w:pStyle w:val="ListAlpha2"/>
            </w:pPr>
            <w:r w:rsidRPr="00700502">
              <w:t>Identifying the cause faults using logical diagnostic methods.</w:t>
            </w:r>
          </w:p>
          <w:p w:rsidR="00000000" w:rsidRPr="00700502" w:rsidP="00700502">
            <w:pPr>
              <w:pStyle w:val="ListAlpha2"/>
            </w:pPr>
            <w:r w:rsidRPr="00700502">
              <w:t>Rectifying faults effectively.</w:t>
            </w:r>
          </w:p>
          <w:p w:rsidR="00000000" w:rsidRPr="00700502" w:rsidP="00700502">
            <w:pPr>
              <w:pStyle w:val="ListAlpha2"/>
            </w:pPr>
            <w:r w:rsidRPr="00700502">
              <w:t>Verifying that the display operates correctly.</w:t>
            </w:r>
          </w:p>
          <w:p w:rsidR="00000000" w:rsidRPr="00700502" w:rsidP="00700502">
            <w:pPr>
              <w:pStyle w:val="ListAlpha2"/>
            </w:pPr>
            <w:r w:rsidRPr="00700502">
              <w:t>Documenting fault rectification.</w:t>
            </w:r>
          </w:p>
          <w:p w:rsidR="00000000" w:rsidRPr="00700502" w:rsidP="00700502">
            <w:pPr>
              <w:pStyle w:val="ListAlpha2"/>
            </w:pPr>
            <w:r w:rsidRPr="00700502">
              <w:t>Dealing with unplanned events by drawing on essential knowledge and skills to provide appropriate solutions incorporated in a holistic assessment with the above listed items.</w:t>
            </w:r>
          </w:p>
          <w:p w:rsidR="00000000" w:rsidRPr="00700502" w:rsidP="00700502">
            <w:pPr>
              <w:pStyle w:val="BodyText"/>
            </w:pPr>
            <w:r w:rsidRPr="00700502">
              <w:t>Note:</w:t>
            </w:r>
          </w:p>
          <w:p w:rsidR="00000000" w:rsidRPr="00700502" w:rsidP="00700502">
            <w:pPr>
              <w:pStyle w:val="BodyText"/>
            </w:pPr>
            <w:r w:rsidRPr="00700502">
              <w:t>Successful completion of relevant vendor t</w:t>
            </w:r>
            <w:r w:rsidRPr="00700502">
              <w:t>raining may be used to contribute to evidence on which competency is deemed. In these cases the alignment of outcomes of vendor training with performance criteria and critical aspects of evidence shall be clearly identified.</w:t>
            </w:r>
          </w:p>
        </w:tc>
      </w:tr>
    </w:tbl>
    <w:p w:rsidR="00000000" w:rsidRPr="00700502" w:rsidP="00700502">
      <w:pPr>
        <w:pStyle w:val="BodyText"/>
      </w:pPr>
    </w:p>
    <w:tbl>
      <w:tblPr>
        <w:tblW w:w="0" w:type="auto"/>
        <w:tblLayout w:type="fixed"/>
        <w:tblCellMar>
          <w:left w:w="62" w:type="dxa"/>
          <w:right w:w="62" w:type="dxa"/>
        </w:tblCellMar>
        <w:tblLook w:val="0000"/>
      </w:tblPr>
      <w:tblGrid>
        <w:gridCol w:w="1890"/>
        <w:gridCol w:w="6570"/>
      </w:tblGrid>
      <w:tr w:rsidTr="00504B0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Context of and specific resou</w:t>
            </w:r>
            <w:r w:rsidRPr="00700502">
              <w:rPr>
                <w:rStyle w:val="SpecialBold"/>
              </w:rPr>
              <w:t>rces for assessment</w:t>
            </w:r>
          </w:p>
        </w:tc>
        <w:tc>
          <w:tcPr>
            <w:tcW w:w="657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9.3)</w:t>
            </w:r>
          </w:p>
        </w:tc>
      </w:tr>
      <w:tr w:rsidTr="00504B0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This unit should be assessed as it relates to normal work practice using procedures, information and resources typical of a workplace. This should include:</w:t>
            </w:r>
          </w:p>
          <w:p w:rsidR="00000000" w:rsidRPr="00700502" w:rsidP="00700502">
            <w:pPr>
              <w:pStyle w:val="ListBullet"/>
            </w:pPr>
            <w:r w:rsidRPr="00700502">
              <w:t>OHS policy and work procedures and instructions.</w:t>
            </w:r>
          </w:p>
          <w:p w:rsidR="00000000" w:rsidRPr="00700502" w:rsidP="00700502">
            <w:pPr>
              <w:pStyle w:val="ListBullet"/>
            </w:pPr>
            <w:r w:rsidRPr="00700502">
              <w:t>Suitable work environment, facilities, equipment and materials to undertake actual work as prescribed by this unit.</w:t>
            </w:r>
          </w:p>
          <w:p w:rsidR="00000000" w:rsidRPr="00700502" w:rsidP="00700502">
            <w:pPr>
              <w:pStyle w:val="BodyText"/>
            </w:pPr>
            <w:r w:rsidRPr="00700502">
              <w:t>These should be part of the formal learning/assessment environment.</w:t>
            </w:r>
          </w:p>
          <w:p w:rsidR="00000000" w:rsidRPr="00700502" w:rsidP="00700502">
            <w:pPr>
              <w:pStyle w:val="BodyText"/>
            </w:pPr>
            <w:r w:rsidRPr="00700502">
              <w:t>Note:</w:t>
            </w:r>
          </w:p>
          <w:p w:rsidR="00000000" w:rsidRPr="00700502" w:rsidP="00700502">
            <w:pPr>
              <w:pStyle w:val="BodyText"/>
            </w:pPr>
            <w:r w:rsidRPr="00700502">
              <w:t>Where simulation is considered a suitable strategy for assessment,</w:t>
            </w:r>
            <w:r w:rsidRPr="00700502">
              <w:t xml:space="preserve"> conditions must be authentic and as far as possible reproduce and replicate the workplace and be consistent with the approved industry simulation policy.</w:t>
            </w:r>
          </w:p>
          <w:p w:rsidR="00000000" w:rsidRPr="00700502" w:rsidP="00700502">
            <w:pPr>
              <w:pStyle w:val="BodyText"/>
            </w:pPr>
            <w:r w:rsidRPr="00700502">
              <w:t>The resources used for assessment should reflect current industry practices in relation to diagnosing</w:t>
            </w:r>
            <w:r w:rsidRPr="00700502">
              <w:t xml:space="preserve"> and rectifying faults in display circuits.</w:t>
            </w:r>
          </w:p>
        </w:tc>
      </w:tr>
    </w:tbl>
    <w:p w:rsidR="00000000" w:rsidRPr="00700502" w:rsidP="00700502">
      <w:pPr>
        <w:pStyle w:val="BodyText"/>
      </w:pPr>
    </w:p>
    <w:tbl>
      <w:tblPr>
        <w:tblW w:w="0" w:type="auto"/>
        <w:tblLayout w:type="fixed"/>
        <w:tblCellMar>
          <w:left w:w="62" w:type="dxa"/>
          <w:right w:w="62" w:type="dxa"/>
        </w:tblCellMar>
        <w:tblLook w:val="0000"/>
      </w:tblPr>
      <w:tblGrid>
        <w:gridCol w:w="1890"/>
        <w:gridCol w:w="6570"/>
      </w:tblGrid>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9.4)</w:t>
            </w:r>
          </w:p>
        </w:tc>
      </w:tr>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This unit shall be assessed by methods given in Volume 1, Part 3 ‘Assessment Guidelines’.</w:t>
            </w:r>
          </w:p>
          <w:p w:rsidR="00000000" w:rsidRPr="00700502" w:rsidP="00700502">
            <w:pPr>
              <w:pStyle w:val="BodyText"/>
            </w:pPr>
            <w:r w:rsidRPr="00700502">
              <w:t>Note:</w:t>
            </w:r>
          </w:p>
          <w:p w:rsidR="00000000" w:rsidRPr="00700502" w:rsidP="00700502">
            <w:pPr>
              <w:pStyle w:val="BodyText"/>
            </w:pPr>
            <w:r w:rsidRPr="00700502">
              <w:t>Competent performance with inherent safe working practices is expected in the industry to which this unit applies. This requires that the specified essential knowledge and associated skills are assessed in a structured environment which is primarily intend</w:t>
            </w:r>
            <w:r w:rsidRPr="00700502">
              <w:t>ed for learning/assessment and incorporates all necessary equipment and facilities for learners to develop and demonstrate the essential knowledge and skills described in this unit.</w:t>
            </w:r>
          </w:p>
        </w:tc>
      </w:tr>
    </w:tbl>
    <w:p w:rsidR="00000000" w:rsidRPr="00700502" w:rsidP="00700502">
      <w:pPr>
        <w:pStyle w:val="BodyText"/>
      </w:pPr>
    </w:p>
    <w:tbl>
      <w:tblPr>
        <w:tblW w:w="0" w:type="auto"/>
        <w:tblLayout w:type="fixed"/>
        <w:tblCellMar>
          <w:left w:w="62" w:type="dxa"/>
          <w:right w:w="62" w:type="dxa"/>
        </w:tblCellMar>
        <w:tblLook w:val="0000"/>
      </w:tblPr>
      <w:tblGrid>
        <w:gridCol w:w="1890"/>
        <w:gridCol w:w="6570"/>
      </w:tblGrid>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9.5)</w:t>
            </w:r>
          </w:p>
        </w:tc>
      </w:tr>
      <w:tr w:rsidTr="00504B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There are</w:t>
            </w:r>
            <w:r w:rsidRPr="00700502">
              <w:t xml:space="preserve"> no concurrent assessment recommendations for this unit.</w:t>
            </w:r>
          </w:p>
          <w:p w:rsidR="00000000" w:rsidRPr="00700502" w:rsidP="00700502">
            <w:pPr>
              <w:pStyle w:val="BodyText"/>
            </w:pPr>
            <w:r w:rsidRPr="00700502">
              <w:t>The critical aspects of occupational health and safety covered in unit UEENEEE101A and other discipline specific occupational health and safety units shall be incorporated in relation to this unit.</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11" w:name="O_588401"/>
      <w:bookmarkEnd w:id="11"/>
      <w:r w:rsidRPr="00700502">
        <w:t>Range Statement</w:t>
      </w:r>
    </w:p>
    <w:tbl>
      <w:tblPr>
        <w:tblW w:w="0" w:type="auto"/>
        <w:tblLayout w:type="fixed"/>
        <w:tblCellMar>
          <w:left w:w="62" w:type="dxa"/>
          <w:right w:w="62" w:type="dxa"/>
        </w:tblCellMar>
        <w:tblLook w:val="0000"/>
      </w:tblPr>
      <w:tblGrid>
        <w:gridCol w:w="8460"/>
      </w:tblGrid>
      <w:tr w:rsidTr="00504B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RANGE STATEMENT</w:t>
            </w:r>
          </w:p>
        </w:tc>
      </w:tr>
      <w:tr w:rsidTr="00504B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10)</w:t>
            </w:r>
            <w:r w:rsidRPr="00700502">
              <w:t xml:space="preserve">  This relates to the unit as a whole providing the range of contexts and conditions to which the performance criteria apply. It allows for different work environments and situations that will affect pe</w:t>
            </w:r>
            <w:r w:rsidRPr="00700502">
              <w:t>rformance.</w:t>
            </w:r>
          </w:p>
          <w:p w:rsidR="00000000" w:rsidRPr="00700502" w:rsidP="00700502">
            <w:pPr>
              <w:pStyle w:val="BodyText"/>
            </w:pPr>
            <w:r w:rsidRPr="00700502">
              <w:t>This unit shall be demonstrated using a representative range of display circuits by diagnosing and rectifying at least four circuit faults in two different types of displays.</w:t>
            </w:r>
          </w:p>
          <w:p w:rsidR="00000000" w:rsidRPr="00700502" w:rsidP="00700502">
            <w:pPr>
              <w:pStyle w:val="BodyText"/>
            </w:pPr>
            <w:r w:rsidRPr="00700502">
              <w:t>Generic terms used throughout this Vocational Standard shall be regard</w:t>
            </w:r>
            <w:r w:rsidRPr="00700502">
              <w:t>ed as part of the Range Statement in which competency is demonstrated. The definition of these and other terms that apply are given in Volume 2, Part 2.1.</w:t>
            </w:r>
          </w:p>
        </w:tc>
      </w:tr>
    </w:tbl>
    <w:p w:rsidR="00000000" w:rsidRPr="00700502" w:rsidP="00700502">
      <w:pPr>
        <w:pStyle w:val="BodyText"/>
      </w:pPr>
    </w:p>
    <w:p w:rsidR="00000000" w:rsidRPr="00700502" w:rsidP="00700502">
      <w:pPr>
        <w:pStyle w:val="AllowPageBreak"/>
      </w:pPr>
    </w:p>
    <w:p w:rsidR="00000000" w:rsidRPr="00700502" w:rsidP="00700502">
      <w:pPr>
        <w:pStyle w:val="Heading1"/>
      </w:pPr>
      <w:bookmarkStart w:id="12" w:name="O_588400"/>
      <w:bookmarkEnd w:id="12"/>
      <w:r w:rsidRPr="00700502">
        <w:t>Unit Sector(s)</w:t>
      </w:r>
    </w:p>
    <w:p w:rsidR="00000000" w:rsidRPr="00700502" w:rsidP="00700502">
      <w:pPr>
        <w:pStyle w:val="BodyText"/>
      </w:pPr>
      <w:r w:rsidRPr="00700502">
        <w:t>Not applicable.</w:t>
      </w:r>
    </w:p>
    <w:p w:rsidR="00000000" w:rsidRPr="00700502" w:rsidP="00700502">
      <w:pPr>
        <w:pStyle w:val="AllowPageBreak"/>
      </w:pPr>
    </w:p>
    <w:p w:rsidR="00000000" w:rsidRPr="00700502" w:rsidP="00700502">
      <w:pPr>
        <w:pStyle w:val="Heading1"/>
      </w:pPr>
      <w:bookmarkStart w:id="13" w:name="O_588399"/>
      <w:bookmarkEnd w:id="13"/>
      <w:r w:rsidRPr="00700502">
        <w:t>Competency Field</w:t>
      </w:r>
    </w:p>
    <w:tbl>
      <w:tblPr>
        <w:tblW w:w="0" w:type="auto"/>
        <w:tblLayout w:type="fixed"/>
        <w:tblCellMar>
          <w:left w:w="62" w:type="dxa"/>
          <w:right w:w="62" w:type="dxa"/>
        </w:tblCellMar>
        <w:tblLook w:val="0000"/>
      </w:tblPr>
      <w:tblGrid>
        <w:gridCol w:w="2700"/>
        <w:gridCol w:w="5760"/>
      </w:tblGrid>
      <w:tr w:rsidTr="00504B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00502">
            <w:pPr>
              <w:pStyle w:val="BodyText"/>
              <w:rPr>
                <w:lang w:val="en-NZ"/>
              </w:rPr>
            </w:pPr>
            <w:r w:rsidRPr="00700502">
              <w:rPr>
                <w:rStyle w:val="SpecialBold"/>
              </w:rPr>
              <w:t xml:space="preserve">11) </w:t>
            </w:r>
          </w:p>
        </w:tc>
      </w:tr>
      <w:tr w:rsidTr="00504B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00502" w:rsidP="00700502">
            <w:pPr>
              <w:pStyle w:val="BodyText"/>
            </w:pPr>
            <w:r w:rsidRPr="00700502">
              <w:t>Electronics</w:t>
            </w:r>
          </w:p>
        </w:tc>
      </w:tr>
    </w:tbl>
    <w:p w:rsidR="00000000" w:rsidRPr="00700502" w:rsidP="00700502">
      <w:pPr>
        <w:pStyle w:val="BodyText"/>
      </w:pPr>
    </w:p>
    <w:p w:rsidR="00000000" w:rsidRPr="00700502" w:rsidP="00700502"/>
    <w:sectPr w:rsidSect="007005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02" w:rsidRPr="00504B04" w:rsidP="00504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04" w:rsidP="00700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04B04" w:rsidP="007005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04B04" w:rsidP="00700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02" w:rsidRPr="00504B04" w:rsidP="00504B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04" w:rsidRPr="002D2AF8" w:rsidP="00700502">
    <w:pPr>
      <w:pStyle w:val="Header"/>
      <w:framePr w:wrap="around"/>
    </w:pPr>
    <w:r>
      <w:fldChar w:fldCharType="begin"/>
    </w:r>
    <w:r>
      <w:instrText xml:space="preserve"> TITLE   \* MERGEFORMAT </w:instrText>
    </w:r>
    <w:r>
      <w:fldChar w:fldCharType="separate"/>
    </w:r>
    <w:r>
      <w:t>UEENEEH176A Diagnose and rectify faults in electronic display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04B04" w:rsidP="00700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966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80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ADA74"/>
    <w:lvl w:ilvl="0">
      <w:start w:val="0"/>
      <w:numFmt w:val="bullet"/>
      <w:lvlText w:val="*"/>
      <w:lvlJc w:val="left"/>
    </w:lvl>
  </w:abstractNum>
  <w:abstractNum w:abstractNumId="9">
    <w:nsid w:val="0AA74A2A"/>
    <w:multiLevelType w:val="multilevel"/>
    <w:tmpl w:val="00A28C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10"/>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502"/>
    <w:pPr>
      <w:spacing w:before="360" w:after="60"/>
      <w:outlineLvl w:val="0"/>
    </w:pPr>
    <w:rPr>
      <w:sz w:val="32"/>
    </w:rPr>
  </w:style>
  <w:style w:type="paragraph" w:styleId="Heading2">
    <w:name w:val="heading 2"/>
    <w:basedOn w:val="HeadingBase"/>
    <w:next w:val="BodyText"/>
    <w:link w:val="Heading2Char"/>
    <w:qFormat/>
    <w:rsid w:val="00700502"/>
    <w:pPr>
      <w:keepLines/>
      <w:spacing w:before="240" w:after="120"/>
      <w:outlineLvl w:val="1"/>
    </w:pPr>
    <w:rPr>
      <w:sz w:val="28"/>
      <w:szCs w:val="40"/>
    </w:rPr>
  </w:style>
  <w:style w:type="paragraph" w:styleId="Heading3">
    <w:name w:val="heading 3"/>
    <w:basedOn w:val="HeadingBase"/>
    <w:next w:val="BodyText"/>
    <w:link w:val="Heading3Char"/>
    <w:qFormat/>
    <w:rsid w:val="00700502"/>
    <w:pPr>
      <w:spacing w:before="180" w:after="120"/>
      <w:outlineLvl w:val="2"/>
    </w:pPr>
    <w:rPr>
      <w:spacing w:val="-10"/>
      <w:kern w:val="32"/>
    </w:rPr>
  </w:style>
  <w:style w:type="paragraph" w:styleId="Heading4">
    <w:name w:val="heading 4"/>
    <w:basedOn w:val="HeadingBase"/>
    <w:next w:val="BodyText"/>
    <w:link w:val="Heading4Char"/>
    <w:qFormat/>
    <w:rsid w:val="00700502"/>
    <w:pPr>
      <w:spacing w:before="160" w:after="120"/>
      <w:outlineLvl w:val="3"/>
    </w:pPr>
    <w:rPr>
      <w:sz w:val="22"/>
    </w:rPr>
  </w:style>
  <w:style w:type="paragraph" w:styleId="Heading5">
    <w:name w:val="heading 5"/>
    <w:basedOn w:val="HeadingBase"/>
    <w:next w:val="Normal"/>
    <w:link w:val="Heading5Char"/>
    <w:qFormat/>
    <w:rsid w:val="00700502"/>
    <w:pPr>
      <w:spacing w:before="80"/>
      <w:outlineLvl w:val="4"/>
    </w:pPr>
    <w:rPr>
      <w:color w:val="918585"/>
      <w:sz w:val="20"/>
    </w:rPr>
  </w:style>
  <w:style w:type="paragraph" w:styleId="Heading6">
    <w:name w:val="heading 6"/>
    <w:basedOn w:val="HeadingBase"/>
    <w:next w:val="Normal"/>
    <w:link w:val="Heading6Char"/>
    <w:qFormat/>
    <w:rsid w:val="00700502"/>
    <w:pPr>
      <w:spacing w:before="60"/>
      <w:outlineLvl w:val="5"/>
    </w:pPr>
    <w:rPr>
      <w:color w:val="918585"/>
      <w:sz w:val="20"/>
    </w:rPr>
  </w:style>
  <w:style w:type="paragraph" w:styleId="Heading7">
    <w:name w:val="heading 7"/>
    <w:basedOn w:val="Normal"/>
    <w:next w:val="Normal"/>
    <w:link w:val="Heading7Char"/>
    <w:qFormat/>
    <w:rsid w:val="00700502"/>
    <w:pPr>
      <w:ind w:left="720"/>
      <w:outlineLvl w:val="6"/>
    </w:pPr>
    <w:rPr>
      <w:i/>
    </w:rPr>
  </w:style>
  <w:style w:type="paragraph" w:styleId="Heading8">
    <w:name w:val="heading 8"/>
    <w:basedOn w:val="Normal"/>
    <w:next w:val="Normal"/>
    <w:link w:val="Heading8Char"/>
    <w:qFormat/>
    <w:rsid w:val="00700502"/>
    <w:pPr>
      <w:ind w:left="720"/>
      <w:outlineLvl w:val="7"/>
    </w:pPr>
    <w:rPr>
      <w:i/>
    </w:rPr>
  </w:style>
  <w:style w:type="paragraph" w:styleId="Heading9">
    <w:name w:val="heading 9"/>
    <w:basedOn w:val="Normal"/>
    <w:next w:val="Normal"/>
    <w:link w:val="Heading9Char"/>
    <w:qFormat/>
    <w:rsid w:val="00700502"/>
    <w:pPr>
      <w:ind w:left="720"/>
      <w:outlineLvl w:val="8"/>
    </w:pPr>
    <w:rPr>
      <w:i/>
    </w:rPr>
  </w:style>
  <w:style w:type="character" w:default="1" w:styleId="DefaultParagraphFont">
    <w:name w:val="Default Paragraph Font"/>
    <w:uiPriority w:val="1"/>
    <w:unhideWhenUsed/>
    <w:rsid w:val="00700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502"/>
  </w:style>
  <w:style w:type="character" w:customStyle="1" w:styleId="Heading1Char">
    <w:name w:val="Heading 1 Char"/>
    <w:basedOn w:val="DefaultParagraphFont"/>
    <w:link w:val="Heading1"/>
    <w:rsid w:val="00700502"/>
    <w:rPr>
      <w:rFonts w:ascii="Times New Roman" w:eastAsia="Times New Roman" w:hAnsi="Times New Roman" w:cs="Times New Roman"/>
      <w:b/>
      <w:sz w:val="32"/>
      <w:szCs w:val="20"/>
      <w:lang w:eastAsia="en-US"/>
    </w:rPr>
  </w:style>
  <w:style w:type="paragraph" w:styleId="BodyText">
    <w:name w:val="Body Text"/>
    <w:basedOn w:val="Normal"/>
    <w:link w:val="BodyTextChar"/>
    <w:rsid w:val="007005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502"/>
    <w:rPr>
      <w:rFonts w:ascii="Times New Roman" w:eastAsia="Times New Roman" w:hAnsi="Times New Roman" w:cs="Times New Roman"/>
      <w:sz w:val="24"/>
      <w:lang w:eastAsia="en-US"/>
    </w:rPr>
  </w:style>
  <w:style w:type="paragraph" w:styleId="ListBullet">
    <w:name w:val="List Bullet"/>
    <w:basedOn w:val="List"/>
    <w:rsid w:val="00700502"/>
    <w:pPr>
      <w:numPr>
        <w:numId w:val="13"/>
      </w:numPr>
      <w:tabs>
        <w:tab w:val="clear" w:pos="340"/>
      </w:tabs>
      <w:spacing w:before="40" w:after="40"/>
    </w:pPr>
  </w:style>
  <w:style w:type="character" w:customStyle="1" w:styleId="SpecialBold">
    <w:name w:val="Special Bold"/>
    <w:basedOn w:val="DefaultParagraphFont"/>
    <w:rsid w:val="00700502"/>
    <w:rPr>
      <w:b/>
      <w:spacing w:val="0"/>
    </w:rPr>
  </w:style>
  <w:style w:type="paragraph" w:styleId="ListBullet2">
    <w:name w:val="List Bullet 2"/>
    <w:basedOn w:val="List2"/>
    <w:rsid w:val="00700502"/>
    <w:pPr>
      <w:numPr>
        <w:numId w:val="14"/>
      </w:numPr>
      <w:tabs>
        <w:tab w:val="clear" w:pos="680"/>
      </w:tabs>
    </w:pPr>
  </w:style>
  <w:style w:type="paragraph" w:customStyle="1" w:styleId="SuperHeading">
    <w:name w:val="SuperHeading"/>
    <w:basedOn w:val="Normal"/>
    <w:rsid w:val="00700502"/>
    <w:pPr>
      <w:spacing w:before="240" w:after="120"/>
      <w:outlineLvl w:val="0"/>
    </w:pPr>
    <w:rPr>
      <w:rFonts w:ascii="Times New Roman" w:hAnsi="Times New Roman"/>
      <w:b/>
      <w:sz w:val="32"/>
    </w:rPr>
  </w:style>
  <w:style w:type="paragraph" w:customStyle="1" w:styleId="AllowPageBreak">
    <w:name w:val="AllowPageBreak"/>
    <w:rsid w:val="007005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700502"/>
    <w:pPr>
      <w:numPr>
        <w:numId w:val="8"/>
      </w:numPr>
    </w:pPr>
  </w:style>
  <w:style w:type="character" w:customStyle="1" w:styleId="Heading2Char">
    <w:name w:val="Heading 2 Char"/>
    <w:basedOn w:val="DefaultParagraphFont"/>
    <w:link w:val="Heading2"/>
    <w:rsid w:val="00700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502"/>
    <w:rPr>
      <w:rFonts w:ascii="Courier New" w:eastAsia="Times New Roman" w:hAnsi="Courier New" w:cs="Times New Roman"/>
      <w:i/>
      <w:szCs w:val="20"/>
      <w:lang w:eastAsia="en-US"/>
    </w:rPr>
  </w:style>
  <w:style w:type="paragraph" w:customStyle="1" w:styleId="HeadingBase">
    <w:name w:val="Heading Base"/>
    <w:rsid w:val="00700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502"/>
    <w:pPr>
      <w:tabs>
        <w:tab w:val="right" w:leader="dot" w:pos="9072"/>
      </w:tabs>
      <w:ind w:left="567"/>
    </w:pPr>
    <w:rPr>
      <w:szCs w:val="22"/>
    </w:rPr>
  </w:style>
  <w:style w:type="paragraph" w:customStyle="1" w:styleId="TOCBase">
    <w:name w:val="TOC Base"/>
    <w:rsid w:val="00700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502"/>
    <w:pPr>
      <w:tabs>
        <w:tab w:val="right" w:leader="dot" w:pos="9072"/>
      </w:tabs>
      <w:spacing w:before="40" w:after="40"/>
      <w:ind w:left="284"/>
    </w:pPr>
    <w:rPr>
      <w:rFonts w:ascii="Times New Roman" w:hAnsi="Times New Roman"/>
    </w:rPr>
  </w:style>
  <w:style w:type="paragraph" w:styleId="TOC1">
    <w:name w:val="toc 1"/>
    <w:basedOn w:val="TOCBase"/>
    <w:next w:val="Normal"/>
    <w:rsid w:val="00700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502"/>
    <w:rPr>
      <w:rFonts w:ascii="Times New Roman" w:eastAsia="Times New Roman" w:hAnsi="Times New Roman" w:cs="Times New Roman"/>
      <w:sz w:val="16"/>
      <w:lang w:eastAsia="en-US"/>
    </w:rPr>
  </w:style>
  <w:style w:type="paragraph" w:styleId="Title">
    <w:name w:val="Title"/>
    <w:basedOn w:val="HeadingBase"/>
    <w:link w:val="TitleChar"/>
    <w:qFormat/>
    <w:rsid w:val="00700502"/>
    <w:pPr>
      <w:spacing w:before="5040"/>
      <w:jc w:val="center"/>
    </w:pPr>
    <w:rPr>
      <w:sz w:val="48"/>
      <w:szCs w:val="72"/>
      <w:lang w:val="en-US"/>
    </w:rPr>
  </w:style>
  <w:style w:type="character" w:customStyle="1" w:styleId="TitleChar">
    <w:name w:val="Title Char"/>
    <w:basedOn w:val="DefaultParagraphFont"/>
    <w:link w:val="Title"/>
    <w:rsid w:val="00700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502"/>
    <w:pPr>
      <w:tabs>
        <w:tab w:val="left" w:pos="3600"/>
        <w:tab w:val="left" w:pos="3958"/>
      </w:tabs>
    </w:pPr>
  </w:style>
  <w:style w:type="paragraph" w:styleId="List">
    <w:name w:val="List"/>
    <w:basedOn w:val="BodyText"/>
    <w:next w:val="BodyText"/>
    <w:rsid w:val="00700502"/>
    <w:pPr>
      <w:tabs>
        <w:tab w:val="left" w:pos="340"/>
      </w:tabs>
      <w:spacing w:before="60" w:after="60"/>
      <w:ind w:left="340" w:hanging="340"/>
    </w:pPr>
  </w:style>
  <w:style w:type="paragraph" w:customStyle="1" w:styleId="Note">
    <w:name w:val="Note"/>
    <w:basedOn w:val="BodyText"/>
    <w:rsid w:val="00700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502"/>
    <w:pPr>
      <w:framePr w:wrap="auto" w:hAnchor="text" w:y="6049"/>
    </w:pPr>
    <w:rPr>
      <w:color w:val="000000"/>
      <w:sz w:val="40"/>
    </w:rPr>
  </w:style>
  <w:style w:type="paragraph" w:customStyle="1" w:styleId="TOCTitle">
    <w:name w:val="TOCTitle"/>
    <w:basedOn w:val="Heading1"/>
    <w:rsid w:val="00700502"/>
    <w:pPr>
      <w:spacing w:after="240"/>
      <w:jc w:val="center"/>
      <w:outlineLvl w:val="9"/>
    </w:pPr>
    <w:rPr>
      <w:caps/>
    </w:rPr>
  </w:style>
  <w:style w:type="paragraph" w:customStyle="1" w:styleId="Version">
    <w:name w:val="Version"/>
    <w:rsid w:val="007005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502"/>
    <w:pPr>
      <w:keepNext w:val="0"/>
      <w:tabs>
        <w:tab w:val="right" w:pos="4176"/>
      </w:tabs>
      <w:ind w:left="198" w:hanging="198"/>
    </w:pPr>
    <w:rPr>
      <w:rFonts w:ascii="Garamond" w:hAnsi="Garamond"/>
    </w:rPr>
  </w:style>
  <w:style w:type="paragraph" w:styleId="IndexHeading">
    <w:name w:val="index heading"/>
    <w:basedOn w:val="Normal"/>
    <w:next w:val="Index1"/>
    <w:semiHidden/>
    <w:rsid w:val="00700502"/>
    <w:pPr>
      <w:spacing w:before="120" w:after="120"/>
    </w:pPr>
    <w:rPr>
      <w:rFonts w:ascii="Arial" w:hAnsi="Arial"/>
      <w:b/>
      <w:color w:val="918585"/>
      <w:sz w:val="24"/>
    </w:rPr>
  </w:style>
  <w:style w:type="paragraph" w:styleId="Header">
    <w:name w:val="header"/>
    <w:basedOn w:val="Normal"/>
    <w:link w:val="HeaderChar"/>
    <w:rsid w:val="00700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502"/>
    <w:rPr>
      <w:rFonts w:ascii="Times New Roman" w:eastAsia="Times New Roman" w:hAnsi="Times New Roman" w:cs="Times New Roman"/>
      <w:sz w:val="16"/>
      <w:szCs w:val="20"/>
      <w:lang w:val="en-GB" w:eastAsia="en-US"/>
    </w:rPr>
  </w:style>
  <w:style w:type="paragraph" w:customStyle="1" w:styleId="Chapter">
    <w:name w:val="Chapter"/>
    <w:basedOn w:val="Normal"/>
    <w:rsid w:val="00700502"/>
    <w:pPr>
      <w:spacing w:before="240"/>
    </w:pPr>
    <w:rPr>
      <w:rFonts w:ascii="Times New Roman" w:hAnsi="Times New Roman"/>
      <w:smallCaps/>
      <w:spacing w:val="80"/>
      <w:sz w:val="28"/>
    </w:rPr>
  </w:style>
  <w:style w:type="paragraph" w:customStyle="1" w:styleId="InChapter">
    <w:name w:val="InChapter"/>
    <w:basedOn w:val="Heading3"/>
    <w:rsid w:val="00700502"/>
    <w:pPr>
      <w:spacing w:after="240"/>
      <w:outlineLvl w:val="9"/>
    </w:pPr>
    <w:rPr>
      <w:noProof/>
    </w:rPr>
  </w:style>
  <w:style w:type="paragraph" w:styleId="Index2">
    <w:name w:val="index 2"/>
    <w:basedOn w:val="Normal"/>
    <w:next w:val="Normal"/>
    <w:semiHidden/>
    <w:rsid w:val="00700502"/>
    <w:pPr>
      <w:tabs>
        <w:tab w:val="right" w:pos="4176"/>
      </w:tabs>
      <w:ind w:left="568" w:hanging="284"/>
    </w:pPr>
    <w:rPr>
      <w:rFonts w:ascii="Garamond" w:hAnsi="Garamond"/>
    </w:rPr>
  </w:style>
  <w:style w:type="paragraph" w:customStyle="1" w:styleId="Byline">
    <w:name w:val="Byline"/>
    <w:rsid w:val="00700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502"/>
    <w:pPr>
      <w:tabs>
        <w:tab w:val="clear" w:pos="3600"/>
        <w:tab w:val="clear" w:pos="3958"/>
      </w:tabs>
      <w:jc w:val="right"/>
    </w:pPr>
  </w:style>
  <w:style w:type="character" w:styleId="Emphasis">
    <w:name w:val="Emphasis"/>
    <w:basedOn w:val="DefaultParagraphFont"/>
    <w:qFormat/>
    <w:rsid w:val="00700502"/>
    <w:rPr>
      <w:i/>
    </w:rPr>
  </w:style>
  <w:style w:type="paragraph" w:styleId="Caption">
    <w:name w:val="caption"/>
    <w:basedOn w:val="BodyText"/>
    <w:next w:val="Normal"/>
    <w:qFormat/>
    <w:rsid w:val="00700502"/>
    <w:pPr>
      <w:framePr w:w="2268" w:hSpace="181" w:vSpace="181" w:wrap="around" w:vAnchor="text" w:hAnchor="page" w:x="1135" w:y="285" w:anchorLock="1"/>
    </w:pPr>
    <w:rPr>
      <w:i/>
    </w:rPr>
  </w:style>
  <w:style w:type="paragraph" w:customStyle="1" w:styleId="MiniTOCTitle">
    <w:name w:val="MiniTOCTitle"/>
    <w:basedOn w:val="Heading4"/>
    <w:rsid w:val="00700502"/>
    <w:pPr>
      <w:spacing w:before="240"/>
      <w:outlineLvl w:val="9"/>
    </w:pPr>
    <w:rPr>
      <w:noProof/>
      <w:sz w:val="24"/>
    </w:rPr>
  </w:style>
  <w:style w:type="paragraph" w:customStyle="1" w:styleId="MiniTOCItem">
    <w:name w:val="MiniTOCItem"/>
    <w:basedOn w:val="ListBullet"/>
    <w:rsid w:val="00700502"/>
    <w:pPr>
      <w:numPr>
        <w:numId w:val="0"/>
      </w:numPr>
      <w:tabs>
        <w:tab w:val="right" w:leader="dot" w:pos="6521"/>
      </w:tabs>
      <w:spacing w:before="0" w:after="0"/>
    </w:pPr>
  </w:style>
  <w:style w:type="paragraph" w:customStyle="1" w:styleId="TOFTitle">
    <w:name w:val="TOFTitle"/>
    <w:basedOn w:val="TOCTitle"/>
    <w:rsid w:val="00700502"/>
  </w:style>
  <w:style w:type="paragraph" w:styleId="TableofFigures">
    <w:name w:val="table of figures"/>
    <w:basedOn w:val="Normal"/>
    <w:next w:val="Normal"/>
    <w:semiHidden/>
    <w:rsid w:val="00700502"/>
    <w:pPr>
      <w:tabs>
        <w:tab w:val="right" w:leader="dot" w:pos="9072"/>
      </w:tabs>
      <w:ind w:left="970" w:hanging="403"/>
    </w:pPr>
    <w:rPr>
      <w:rFonts w:ascii="Times New Roman" w:hAnsi="Times New Roman"/>
      <w:b/>
    </w:rPr>
  </w:style>
  <w:style w:type="paragraph" w:styleId="ListNumber">
    <w:name w:val="List Number"/>
    <w:basedOn w:val="List"/>
    <w:rsid w:val="00700502"/>
    <w:pPr>
      <w:numPr>
        <w:numId w:val="11"/>
      </w:numPr>
    </w:pPr>
  </w:style>
  <w:style w:type="character" w:customStyle="1" w:styleId="WingdingSymbols">
    <w:name w:val="Wingding Symbols"/>
    <w:rsid w:val="00700502"/>
    <w:rPr>
      <w:rFonts w:ascii="Wingdings" w:hAnsi="Wingdings"/>
    </w:rPr>
  </w:style>
  <w:style w:type="paragraph" w:customStyle="1" w:styleId="TableHeading">
    <w:name w:val="Table Heading"/>
    <w:basedOn w:val="HeadingBase"/>
    <w:rsid w:val="00700502"/>
    <w:pPr>
      <w:keepLines/>
      <w:pBdr>
        <w:bottom w:val="single" w:sz="6" w:space="1" w:color="918585"/>
      </w:pBdr>
      <w:spacing w:before="240"/>
    </w:pPr>
  </w:style>
  <w:style w:type="character" w:customStyle="1" w:styleId="HotSpot">
    <w:name w:val="HotSpot"/>
    <w:rsid w:val="00700502"/>
    <w:rPr>
      <w:color w:val="0033CC"/>
      <w:u w:val="none"/>
    </w:rPr>
  </w:style>
  <w:style w:type="paragraph" w:customStyle="1" w:styleId="BodyTextRight">
    <w:name w:val="Body Text Right"/>
    <w:basedOn w:val="BodyText"/>
    <w:rsid w:val="00700502"/>
    <w:pPr>
      <w:spacing w:before="0" w:after="0"/>
      <w:jc w:val="right"/>
    </w:pPr>
  </w:style>
  <w:style w:type="paragraph" w:styleId="Index3">
    <w:name w:val="index 3"/>
    <w:basedOn w:val="ListNumber2"/>
    <w:next w:val="Normal"/>
    <w:semiHidden/>
    <w:rsid w:val="00700502"/>
    <w:pPr>
      <w:numPr>
        <w:numId w:val="0"/>
      </w:numPr>
      <w:tabs>
        <w:tab w:val="right" w:leader="dot" w:pos="4176"/>
      </w:tabs>
    </w:pPr>
  </w:style>
  <w:style w:type="paragraph" w:styleId="ListNumber2">
    <w:name w:val="List Number 2"/>
    <w:basedOn w:val="List2"/>
    <w:rsid w:val="00700502"/>
    <w:pPr>
      <w:numPr>
        <w:numId w:val="10"/>
      </w:numPr>
      <w:tabs>
        <w:tab w:val="clear" w:pos="1060"/>
      </w:tabs>
    </w:pPr>
  </w:style>
  <w:style w:type="paragraph" w:customStyle="1" w:styleId="MarginNote">
    <w:name w:val="Margin Note"/>
    <w:basedOn w:val="BodyText"/>
    <w:rsid w:val="00700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502"/>
    <w:rPr>
      <w:sz w:val="32"/>
    </w:rPr>
  </w:style>
  <w:style w:type="paragraph" w:customStyle="1" w:styleId="HeadingProcedure">
    <w:name w:val="Heading Procedure"/>
    <w:basedOn w:val="HeadingBase"/>
    <w:next w:val="Normal"/>
    <w:rsid w:val="00700502"/>
    <w:pPr>
      <w:tabs>
        <w:tab w:val="left" w:pos="0"/>
      </w:tabs>
      <w:spacing w:before="120" w:after="60"/>
    </w:pPr>
    <w:rPr>
      <w:i/>
      <w:color w:val="918585"/>
      <w:sz w:val="22"/>
    </w:rPr>
  </w:style>
  <w:style w:type="paragraph" w:customStyle="1" w:styleId="TableBodyText">
    <w:name w:val="Table Body Text"/>
    <w:basedOn w:val="BodyText"/>
    <w:rsid w:val="00700502"/>
    <w:pPr>
      <w:spacing w:before="60" w:after="60"/>
    </w:pPr>
  </w:style>
  <w:style w:type="paragraph" w:styleId="ListContinue">
    <w:name w:val="List Continue"/>
    <w:basedOn w:val="List"/>
    <w:rsid w:val="00700502"/>
    <w:pPr>
      <w:ind w:firstLine="0"/>
    </w:pPr>
  </w:style>
  <w:style w:type="paragraph" w:customStyle="1" w:styleId="ListNote">
    <w:name w:val="List Note"/>
    <w:basedOn w:val="List"/>
    <w:rsid w:val="00700502"/>
    <w:pPr>
      <w:pBdr>
        <w:top w:val="single" w:sz="6" w:space="2" w:color="918585"/>
        <w:bottom w:val="single" w:sz="6" w:space="2" w:color="918585"/>
      </w:pBdr>
      <w:tabs>
        <w:tab w:val="left" w:pos="1021"/>
      </w:tabs>
      <w:ind w:firstLine="0"/>
    </w:pPr>
  </w:style>
  <w:style w:type="paragraph" w:customStyle="1" w:styleId="Warning">
    <w:name w:val="Warning"/>
    <w:basedOn w:val="BodyText"/>
    <w:rsid w:val="00700502"/>
    <w:pPr>
      <w:shd w:val="clear" w:color="auto" w:fill="D9D9D9"/>
      <w:tabs>
        <w:tab w:val="left" w:pos="992"/>
      </w:tabs>
      <w:ind w:left="119" w:right="119"/>
    </w:pPr>
    <w:rPr>
      <w:sz w:val="20"/>
    </w:rPr>
  </w:style>
  <w:style w:type="paragraph" w:customStyle="1" w:styleId="MarginIcons">
    <w:name w:val="Margin Icons"/>
    <w:basedOn w:val="BodyText"/>
    <w:rsid w:val="00700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502"/>
    <w:rPr>
      <w:rFonts w:ascii="Courier New" w:hAnsi="Courier New"/>
    </w:rPr>
  </w:style>
  <w:style w:type="paragraph" w:customStyle="1" w:styleId="NoteBullet">
    <w:name w:val="Note Bullet"/>
    <w:basedOn w:val="Note"/>
    <w:rsid w:val="00700502"/>
    <w:pPr>
      <w:tabs>
        <w:tab w:val="clear" w:pos="680"/>
      </w:tabs>
      <w:spacing w:before="60" w:after="60"/>
    </w:pPr>
  </w:style>
  <w:style w:type="paragraph" w:customStyle="1" w:styleId="SubHeading2">
    <w:name w:val="SubHeading2"/>
    <w:basedOn w:val="HeadingBase"/>
    <w:rsid w:val="00700502"/>
    <w:pPr>
      <w:spacing w:before="240" w:after="60"/>
    </w:pPr>
    <w:rPr>
      <w:sz w:val="20"/>
    </w:rPr>
  </w:style>
  <w:style w:type="paragraph" w:customStyle="1" w:styleId="SubHeading1">
    <w:name w:val="SubHeading1"/>
    <w:basedOn w:val="HeadingBase"/>
    <w:rsid w:val="00700502"/>
    <w:pPr>
      <w:spacing w:before="240" w:after="60"/>
    </w:pPr>
    <w:rPr>
      <w:color w:val="918585"/>
      <w:sz w:val="22"/>
    </w:rPr>
  </w:style>
  <w:style w:type="paragraph" w:customStyle="1" w:styleId="SideHeading">
    <w:name w:val="Side Heading"/>
    <w:basedOn w:val="HeadingBase"/>
    <w:rsid w:val="00700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502"/>
    <w:pPr>
      <w:numPr>
        <w:numId w:val="12"/>
      </w:numPr>
    </w:pPr>
  </w:style>
  <w:style w:type="paragraph" w:styleId="PlainText">
    <w:name w:val="Plain Text"/>
    <w:basedOn w:val="Normal"/>
    <w:link w:val="PlainTextChar"/>
    <w:rsid w:val="00700502"/>
    <w:rPr>
      <w:sz w:val="20"/>
    </w:rPr>
  </w:style>
  <w:style w:type="character" w:customStyle="1" w:styleId="PlainTextChar">
    <w:name w:val="Plain Text Char"/>
    <w:basedOn w:val="DefaultParagraphFont"/>
    <w:link w:val="PlainText"/>
    <w:rsid w:val="00700502"/>
    <w:rPr>
      <w:rFonts w:ascii="Courier New" w:eastAsia="Times New Roman" w:hAnsi="Courier New" w:cs="Times New Roman"/>
      <w:sz w:val="20"/>
      <w:szCs w:val="20"/>
      <w:lang w:eastAsia="en-US"/>
    </w:rPr>
  </w:style>
  <w:style w:type="character" w:customStyle="1" w:styleId="MenuOption">
    <w:name w:val="Menu Option"/>
    <w:basedOn w:val="DefaultParagraphFont"/>
    <w:rsid w:val="00700502"/>
    <w:rPr>
      <w:b/>
      <w:smallCaps/>
    </w:rPr>
  </w:style>
  <w:style w:type="paragraph" w:customStyle="1" w:styleId="TableListNumber">
    <w:name w:val="Table List Number"/>
    <w:basedOn w:val="ListNumber"/>
    <w:rsid w:val="00700502"/>
    <w:pPr>
      <w:numPr>
        <w:numId w:val="0"/>
      </w:numPr>
    </w:pPr>
  </w:style>
  <w:style w:type="paragraph" w:styleId="TOC4">
    <w:name w:val="toc 4"/>
    <w:basedOn w:val="TOCBase"/>
    <w:next w:val="Normal"/>
    <w:semiHidden/>
    <w:rsid w:val="00700502"/>
    <w:pPr>
      <w:tabs>
        <w:tab w:val="right" w:leader="dot" w:pos="9071"/>
      </w:tabs>
      <w:ind w:left="1701"/>
    </w:pPr>
  </w:style>
  <w:style w:type="paragraph" w:customStyle="1" w:styleId="ListAlpha">
    <w:name w:val="List Alpha"/>
    <w:basedOn w:val="List"/>
    <w:rsid w:val="00700502"/>
    <w:pPr>
      <w:numPr>
        <w:numId w:val="9"/>
      </w:numPr>
    </w:pPr>
  </w:style>
  <w:style w:type="paragraph" w:styleId="List2">
    <w:name w:val="List 2"/>
    <w:basedOn w:val="BodyText"/>
    <w:rsid w:val="00700502"/>
    <w:pPr>
      <w:tabs>
        <w:tab w:val="left" w:pos="680"/>
      </w:tabs>
      <w:spacing w:before="60" w:after="60"/>
      <w:ind w:left="680" w:hanging="340"/>
    </w:pPr>
  </w:style>
  <w:style w:type="paragraph" w:styleId="List3">
    <w:name w:val="List 3"/>
    <w:basedOn w:val="BodyText"/>
    <w:rsid w:val="00700502"/>
    <w:pPr>
      <w:tabs>
        <w:tab w:val="left" w:pos="1021"/>
      </w:tabs>
      <w:spacing w:before="60" w:after="60"/>
      <w:ind w:left="1020" w:hanging="340"/>
    </w:pPr>
  </w:style>
  <w:style w:type="paragraph" w:styleId="List4">
    <w:name w:val="List 4"/>
    <w:basedOn w:val="BodyText"/>
    <w:rsid w:val="00700502"/>
    <w:pPr>
      <w:tabs>
        <w:tab w:val="left" w:pos="1361"/>
      </w:tabs>
      <w:spacing w:before="60" w:after="60"/>
      <w:ind w:left="1361" w:hanging="340"/>
    </w:pPr>
  </w:style>
  <w:style w:type="paragraph" w:styleId="List5">
    <w:name w:val="List 5"/>
    <w:basedOn w:val="BodyText"/>
    <w:rsid w:val="00700502"/>
    <w:pPr>
      <w:tabs>
        <w:tab w:val="left" w:pos="1701"/>
      </w:tabs>
      <w:spacing w:before="60" w:after="60"/>
      <w:ind w:left="1701" w:hanging="340"/>
    </w:pPr>
  </w:style>
  <w:style w:type="paragraph" w:styleId="ListBullet3">
    <w:name w:val="List Bullet 3"/>
    <w:basedOn w:val="List3"/>
    <w:rsid w:val="00700502"/>
    <w:pPr>
      <w:numPr>
        <w:numId w:val="15"/>
      </w:numPr>
      <w:tabs>
        <w:tab w:val="clear" w:pos="1021"/>
      </w:tabs>
      <w:ind w:left="1037" w:hanging="357"/>
    </w:pPr>
  </w:style>
  <w:style w:type="paragraph" w:styleId="ListBullet4">
    <w:name w:val="List Bullet 4"/>
    <w:basedOn w:val="List4"/>
    <w:rsid w:val="00700502"/>
    <w:pPr>
      <w:numPr>
        <w:numId w:val="3"/>
      </w:numPr>
    </w:pPr>
  </w:style>
  <w:style w:type="paragraph" w:styleId="ListBullet5">
    <w:name w:val="List Bullet 5"/>
    <w:basedOn w:val="List5"/>
    <w:rsid w:val="00700502"/>
    <w:pPr>
      <w:numPr>
        <w:numId w:val="4"/>
      </w:numPr>
    </w:pPr>
  </w:style>
  <w:style w:type="paragraph" w:styleId="ListContinue2">
    <w:name w:val="List Continue 2"/>
    <w:basedOn w:val="List2"/>
    <w:rsid w:val="00700502"/>
    <w:pPr>
      <w:ind w:firstLine="0"/>
    </w:pPr>
  </w:style>
  <w:style w:type="paragraph" w:styleId="ListContinue3">
    <w:name w:val="List Continue 3"/>
    <w:basedOn w:val="List3"/>
    <w:rsid w:val="00700502"/>
    <w:pPr>
      <w:ind w:left="1021" w:firstLine="0"/>
    </w:pPr>
  </w:style>
  <w:style w:type="paragraph" w:styleId="ListContinue4">
    <w:name w:val="List Continue 4"/>
    <w:basedOn w:val="List4"/>
    <w:rsid w:val="00700502"/>
    <w:pPr>
      <w:ind w:firstLine="0"/>
    </w:pPr>
  </w:style>
  <w:style w:type="paragraph" w:styleId="ListContinue5">
    <w:name w:val="List Continue 5"/>
    <w:basedOn w:val="List5"/>
    <w:rsid w:val="00700502"/>
    <w:pPr>
      <w:ind w:firstLine="0"/>
    </w:pPr>
  </w:style>
  <w:style w:type="paragraph" w:styleId="ListNumber3">
    <w:name w:val="List Number 3"/>
    <w:basedOn w:val="List3"/>
    <w:rsid w:val="00700502"/>
    <w:pPr>
      <w:numPr>
        <w:numId w:val="5"/>
      </w:numPr>
    </w:pPr>
  </w:style>
  <w:style w:type="paragraph" w:styleId="ListNumber4">
    <w:name w:val="List Number 4"/>
    <w:basedOn w:val="List4"/>
    <w:rsid w:val="00700502"/>
    <w:pPr>
      <w:numPr>
        <w:numId w:val="6"/>
      </w:numPr>
    </w:pPr>
  </w:style>
  <w:style w:type="paragraph" w:styleId="ListNumber5">
    <w:name w:val="List Number 5"/>
    <w:basedOn w:val="List5"/>
    <w:rsid w:val="00700502"/>
    <w:pPr>
      <w:numPr>
        <w:numId w:val="7"/>
      </w:numPr>
    </w:pPr>
  </w:style>
  <w:style w:type="paragraph" w:styleId="BlockText">
    <w:name w:val="Block Text"/>
    <w:basedOn w:val="Normal"/>
    <w:rsid w:val="00700502"/>
    <w:pPr>
      <w:spacing w:after="120"/>
      <w:ind w:left="1440" w:right="1440"/>
    </w:pPr>
  </w:style>
  <w:style w:type="character" w:customStyle="1" w:styleId="Subscript">
    <w:name w:val="Subscript"/>
    <w:basedOn w:val="DefaultParagraphFont"/>
    <w:rsid w:val="00700502"/>
    <w:rPr>
      <w:sz w:val="16"/>
      <w:vertAlign w:val="subscript"/>
    </w:rPr>
  </w:style>
  <w:style w:type="character" w:customStyle="1" w:styleId="Superscript">
    <w:name w:val="Superscript"/>
    <w:basedOn w:val="DefaultParagraphFont"/>
    <w:rsid w:val="00700502"/>
    <w:rPr>
      <w:sz w:val="16"/>
      <w:vertAlign w:val="superscript"/>
    </w:rPr>
  </w:style>
  <w:style w:type="character" w:customStyle="1" w:styleId="Symbols">
    <w:name w:val="Symbols"/>
    <w:basedOn w:val="DefaultParagraphFont"/>
    <w:rsid w:val="00700502"/>
    <w:rPr>
      <w:rFonts w:ascii="Symbol" w:hAnsi="Symbol"/>
    </w:rPr>
  </w:style>
  <w:style w:type="character" w:customStyle="1" w:styleId="MenuOptions">
    <w:name w:val="Menu Options"/>
    <w:basedOn w:val="DefaultParagraphFont"/>
    <w:rsid w:val="00700502"/>
    <w:rPr>
      <w:rFonts w:ascii="Arial Narrow" w:hAnsi="Arial Narrow"/>
      <w:smallCaps/>
    </w:rPr>
  </w:style>
  <w:style w:type="character" w:customStyle="1" w:styleId="Buttons">
    <w:name w:val="Buttons"/>
    <w:basedOn w:val="DefaultParagraphFont"/>
    <w:rsid w:val="00700502"/>
    <w:rPr>
      <w:b/>
    </w:rPr>
  </w:style>
  <w:style w:type="character" w:customStyle="1" w:styleId="Underlined">
    <w:name w:val="Underlined"/>
    <w:basedOn w:val="DefaultParagraphFont"/>
    <w:rsid w:val="00700502"/>
    <w:rPr>
      <w:u w:val="single"/>
    </w:rPr>
  </w:style>
  <w:style w:type="paragraph" w:customStyle="1" w:styleId="TableBodyTextRight">
    <w:name w:val="Table Body Text Right"/>
    <w:basedOn w:val="TableBodyText"/>
    <w:rsid w:val="00700502"/>
    <w:pPr>
      <w:widowControl w:val="0"/>
      <w:autoSpaceDE w:val="0"/>
      <w:autoSpaceDN w:val="0"/>
      <w:adjustRightInd w:val="0"/>
      <w:jc w:val="right"/>
    </w:pPr>
    <w:rPr>
      <w:rFonts w:cs="Arial"/>
      <w:szCs w:val="18"/>
    </w:rPr>
  </w:style>
  <w:style w:type="paragraph" w:customStyle="1" w:styleId="CopyrightText">
    <w:name w:val="Copyright Text"/>
    <w:basedOn w:val="BodyText"/>
    <w:rsid w:val="00700502"/>
    <w:rPr>
      <w:sz w:val="18"/>
    </w:rPr>
  </w:style>
  <w:style w:type="paragraph" w:customStyle="1" w:styleId="BodySmallRight">
    <w:name w:val="Body Small Right"/>
    <w:basedOn w:val="BodyTextRight"/>
    <w:rsid w:val="00700502"/>
    <w:rPr>
      <w:sz w:val="18"/>
      <w:szCs w:val="18"/>
    </w:rPr>
  </w:style>
  <w:style w:type="paragraph" w:customStyle="1" w:styleId="MarginEdition">
    <w:name w:val="Margin Edition"/>
    <w:basedOn w:val="MarginNote"/>
    <w:rsid w:val="00700502"/>
    <w:pPr>
      <w:spacing w:before="0" w:after="0"/>
    </w:pPr>
    <w:rPr>
      <w:rFonts w:ascii="Times New Roman" w:hAnsi="Times New Roman"/>
      <w:color w:val="999999"/>
    </w:rPr>
  </w:style>
  <w:style w:type="paragraph" w:customStyle="1" w:styleId="Spacer">
    <w:name w:val="Spacer"/>
    <w:basedOn w:val="Normal"/>
    <w:rsid w:val="00700502"/>
    <w:rPr>
      <w:sz w:val="2"/>
      <w:szCs w:val="2"/>
    </w:rPr>
  </w:style>
  <w:style w:type="character" w:customStyle="1" w:styleId="Small">
    <w:name w:val="Small"/>
    <w:basedOn w:val="DefaultParagraphFont"/>
    <w:rsid w:val="00700502"/>
    <w:rPr>
      <w:sz w:val="16"/>
    </w:rPr>
  </w:style>
  <w:style w:type="paragraph" w:customStyle="1" w:styleId="WideTable">
    <w:name w:val="Wide Table"/>
    <w:basedOn w:val="Normal"/>
    <w:rsid w:val="00700502"/>
    <w:pPr>
      <w:ind w:left="-1418"/>
    </w:pPr>
    <w:rPr>
      <w:sz w:val="2"/>
      <w:szCs w:val="2"/>
    </w:rPr>
  </w:style>
  <w:style w:type="character" w:styleId="PageNumber">
    <w:name w:val="page number"/>
    <w:basedOn w:val="DefaultParagraphFont"/>
    <w:rsid w:val="00700502"/>
  </w:style>
  <w:style w:type="paragraph" w:styleId="Quote">
    <w:name w:val="Quote"/>
    <w:basedOn w:val="Heading1"/>
    <w:link w:val="QuoteChar"/>
    <w:qFormat/>
    <w:rsid w:val="00700502"/>
    <w:rPr>
      <w:b w:val="0"/>
      <w:sz w:val="72"/>
      <w:szCs w:val="72"/>
      <w:lang w:val="en-NZ"/>
    </w:rPr>
  </w:style>
  <w:style w:type="character" w:customStyle="1" w:styleId="QuoteChar">
    <w:name w:val="Quote Char"/>
    <w:basedOn w:val="DefaultParagraphFont"/>
    <w:link w:val="Quote"/>
    <w:rsid w:val="00700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502"/>
    <w:pPr>
      <w:pageBreakBefore/>
    </w:pPr>
  </w:style>
  <w:style w:type="paragraph" w:customStyle="1" w:styleId="Border">
    <w:name w:val="Border"/>
    <w:basedOn w:val="Normal"/>
    <w:qFormat/>
    <w:rsid w:val="00700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502"/>
    <w:rPr>
      <w:b/>
      <w:bCs/>
      <w:i/>
      <w:iCs/>
      <w:color w:val="auto"/>
    </w:rPr>
  </w:style>
  <w:style w:type="paragraph" w:styleId="IntenseQuote">
    <w:name w:val="Intense Quote"/>
    <w:basedOn w:val="Normal"/>
    <w:next w:val="Normal"/>
    <w:link w:val="IntenseQuoteChar"/>
    <w:uiPriority w:val="30"/>
    <w:qFormat/>
    <w:rsid w:val="00700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502"/>
    <w:rPr>
      <w:smallCaps/>
      <w:color w:val="auto"/>
      <w:u w:val="single"/>
    </w:rPr>
  </w:style>
  <w:style w:type="character" w:styleId="IntenseReference">
    <w:name w:val="Intense Reference"/>
    <w:basedOn w:val="DefaultParagraphFont"/>
    <w:uiPriority w:val="32"/>
    <w:qFormat/>
    <w:rsid w:val="00700502"/>
    <w:rPr>
      <w:b/>
      <w:bCs/>
      <w:smallCaps/>
      <w:color w:val="auto"/>
      <w:spacing w:val="5"/>
      <w:u w:val="single"/>
    </w:rPr>
  </w:style>
  <w:style w:type="paragraph" w:customStyle="1" w:styleId="2ColumnHeading">
    <w:name w:val="2Column Heading"/>
    <w:basedOn w:val="BodyText"/>
    <w:qFormat/>
    <w:rsid w:val="00700502"/>
    <w:pPr>
      <w:spacing w:after="60"/>
      <w:ind w:left="-2268"/>
    </w:pPr>
    <w:rPr>
      <w:b/>
    </w:rPr>
  </w:style>
  <w:style w:type="paragraph" w:customStyle="1" w:styleId="Heading1TOC">
    <w:name w:val="Heading1 TOC"/>
    <w:basedOn w:val="Normal"/>
    <w:qFormat/>
    <w:rsid w:val="00700502"/>
    <w:pPr>
      <w:spacing w:before="240" w:after="120"/>
    </w:pPr>
    <w:rPr>
      <w:rFonts w:ascii="Times New Roman" w:hAnsi="Times New Roman"/>
      <w:b/>
      <w:sz w:val="32"/>
    </w:rPr>
  </w:style>
  <w:style w:type="paragraph" w:customStyle="1" w:styleId="Heading2TOC">
    <w:name w:val="Heading2 TOC"/>
    <w:basedOn w:val="Normal"/>
    <w:qFormat/>
    <w:rsid w:val="00700502"/>
    <w:pPr>
      <w:spacing w:before="240" w:after="60"/>
    </w:pPr>
    <w:rPr>
      <w:rFonts w:ascii="Times New Roman" w:hAnsi="Times New Roman"/>
      <w:b/>
      <w:sz w:val="28"/>
    </w:rPr>
  </w:style>
  <w:style w:type="character" w:customStyle="1" w:styleId="Underline">
    <w:name w:val="Underline"/>
    <w:basedOn w:val="DefaultParagraphFont"/>
    <w:qFormat/>
    <w:rsid w:val="00700502"/>
    <w:rPr>
      <w:u w:val="single"/>
    </w:rPr>
  </w:style>
  <w:style w:type="character" w:customStyle="1" w:styleId="BoldandItalics">
    <w:name w:val="Bold and Italics"/>
    <w:qFormat/>
    <w:rsid w:val="00700502"/>
    <w:rPr>
      <w:b/>
      <w:i/>
      <w:u w:val="none"/>
    </w:rPr>
  </w:style>
  <w:style w:type="paragraph" w:styleId="BalloonText">
    <w:name w:val="Balloon Text"/>
    <w:basedOn w:val="Normal"/>
    <w:link w:val="BalloonTextChar"/>
    <w:rsid w:val="00700502"/>
    <w:rPr>
      <w:rFonts w:ascii="Tahoma" w:hAnsi="Tahoma" w:cs="Tahoma"/>
      <w:sz w:val="16"/>
      <w:szCs w:val="16"/>
    </w:rPr>
  </w:style>
  <w:style w:type="character" w:customStyle="1" w:styleId="BalloonTextChar">
    <w:name w:val="Balloon Text Char"/>
    <w:basedOn w:val="DefaultParagraphFont"/>
    <w:link w:val="BalloonText"/>
    <w:rsid w:val="00700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5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502"/>
    <w:rPr>
      <w:b/>
      <w:color w:val="660033"/>
      <w:spacing w:val="0"/>
    </w:rPr>
  </w:style>
  <w:style w:type="paragraph" w:customStyle="1" w:styleId="Nameditemlist">
    <w:name w:val="Named item list"/>
    <w:basedOn w:val="BodyText"/>
    <w:qFormat/>
    <w:rsid w:val="007005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2339</Words>
  <Characters>14264</Characters>
  <Application>Microsoft Office Word</Application>
  <DocSecurity>0</DocSecurity>
  <Lines>486</Lines>
  <Paragraphs>208</Paragraphs>
  <ScaleCrop>false</ScaleCrop>
  <Company>Author-it Software Corporation Ltd.</Company>
  <LinksUpToDate>false</LinksUpToDate>
  <CharactersWithSpaces>16484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UEENEEH176A Diagnose and rectify faults in electronic display circuits</dc:title>
  <dc:subject>Approved</dc:subject>
  <dc:creator>E-OZ Training Standards</dc:creator>
  <cp:keywords>Release 2</cp:keywords>
  <dc:description>Review Date: 12 April 2008</dc:description>
  <cp:lastModifiedBy>TPCMS</cp:lastModifiedBy>
  <cp:revision>3</cp:revision>
  <dcterms:created xsi:type="dcterms:W3CDTF">2013-08-14T00:51:00Z</dcterms:created>
  <dcterms:modified xsi:type="dcterms:W3CDTF">2013-08-14T00:51:00Z</dcterms:modified>
</cp:coreProperties>
</file>