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26CA" w:rsidP="006126CA">
      <w:pPr>
        <w:pStyle w:val="Title"/>
      </w:pPr>
      <w:r>
        <w:fldChar w:fldCharType="begin"/>
      </w:r>
      <w:r>
        <w:instrText xml:space="preserve"> TITLE   \* MERGEFORMAT </w:instrText>
      </w:r>
      <w:r>
        <w:fldChar w:fldCharType="separate"/>
      </w:r>
      <w:r>
        <w:t>UEENEEH174A Troubleshoot audio - video recording equipment</w:t>
      </w:r>
      <w:r>
        <w:fldChar w:fldCharType="end"/>
      </w:r>
    </w:p>
    <w:p w:rsidR="006126CA" w:rsidP="006126CA">
      <w:pPr>
        <w:pStyle w:val="Version"/>
        <w:sectPr w:rsidSect="001F06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F067E" w:rsidP="001F067E">
      <w:pPr>
        <w:pStyle w:val="SuperHeading"/>
      </w:pPr>
      <w:r w:rsidRPr="001F067E">
        <w:t>UEENEEH174A Troubleshoot audio - video recording equipment</w:t>
      </w:r>
    </w:p>
    <w:p w:rsidR="00000000" w:rsidRPr="001F067E" w:rsidP="001F067E">
      <w:pPr>
        <w:pStyle w:val="Heading1"/>
      </w:pPr>
      <w:bookmarkStart w:id="1" w:name="O_588383"/>
      <w:bookmarkEnd w:id="1"/>
      <w:r w:rsidRPr="001F067E">
        <w:t>Modification History</w:t>
      </w:r>
    </w:p>
    <w:p w:rsidR="00000000" w:rsidRPr="001F067E" w:rsidP="001F067E">
      <w:pPr>
        <w:pStyle w:val="BodyText"/>
      </w:pPr>
      <w:r w:rsidRPr="001F067E">
        <w:t>Not applicable.</w:t>
      </w:r>
    </w:p>
    <w:p w:rsidR="00000000" w:rsidRPr="001F067E" w:rsidP="001F067E">
      <w:pPr>
        <w:pStyle w:val="AllowPageBreak"/>
      </w:pPr>
    </w:p>
    <w:p w:rsidR="00000000" w:rsidRPr="001F067E" w:rsidP="001F067E">
      <w:pPr>
        <w:pStyle w:val="Heading1"/>
      </w:pPr>
      <w:bookmarkStart w:id="2" w:name="O_588382"/>
      <w:bookmarkEnd w:id="2"/>
      <w:r w:rsidRPr="001F067E">
        <w:t>Unit Descriptor</w:t>
      </w:r>
    </w:p>
    <w:tbl>
      <w:tblPr>
        <w:tblW w:w="0" w:type="auto"/>
        <w:tblLayout w:type="fixed"/>
        <w:tblCellMar>
          <w:left w:w="62" w:type="dxa"/>
          <w:right w:w="62" w:type="dxa"/>
        </w:tblCellMar>
        <w:tblLook w:val="0000"/>
      </w:tblPr>
      <w:tblGrid>
        <w:gridCol w:w="2700"/>
        <w:gridCol w:w="5760"/>
      </w:tblGrid>
      <w:tr w:rsidTr="006126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F067E" w:rsidP="001F067E">
            <w:pPr>
              <w:pStyle w:val="BodyText"/>
            </w:pPr>
            <w:r w:rsidRPr="001F067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rPr>
                <w:rStyle w:val="SpecialBold"/>
              </w:rPr>
              <w:t>1)</w:t>
            </w:r>
            <w:r w:rsidRPr="001F067E">
              <w:t xml:space="preserve"> </w:t>
            </w:r>
            <w:r w:rsidRPr="001F067E">
              <w:rPr>
                <w:rStyle w:val="SpecialBold"/>
              </w:rPr>
              <w:t>Scope:</w:t>
            </w:r>
          </w:p>
        </w:tc>
      </w:tr>
      <w:tr w:rsidTr="006126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F067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rPr>
                <w:rStyle w:val="SpecialBold"/>
              </w:rPr>
              <w:t>1.1) Descriptor</w:t>
            </w:r>
          </w:p>
        </w:tc>
      </w:tr>
      <w:tr w:rsidTr="006126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F067E" w:rsidP="001F067E">
            <w:pPr>
              <w:pStyle w:val="BodyText"/>
            </w:pPr>
            <w:r w:rsidRPr="001F067E">
              <w:t>This unit covers fault finding and repair of ACR, CD, VCR and DVD players/recorders. The unit encompasses safe working pract</w:t>
            </w:r>
            <w:r w:rsidRPr="001F067E">
              <w:t>ices, interpreting circuit diagrams, applying logical fault finding procedures, conducting repairs, safety and functional testing and completing the necessary service documentation.</w:t>
            </w:r>
          </w:p>
        </w:tc>
      </w:tr>
    </w:tbl>
    <w:p w:rsidR="00000000" w:rsidRPr="001F067E" w:rsidP="001F067E">
      <w:pPr>
        <w:pStyle w:val="BodyText"/>
      </w:pPr>
    </w:p>
    <w:p w:rsidR="00000000" w:rsidRPr="001F067E" w:rsidP="001F067E">
      <w:pPr>
        <w:pStyle w:val="AllowPageBreak"/>
      </w:pPr>
    </w:p>
    <w:p w:rsidR="00000000" w:rsidRPr="001F067E" w:rsidP="001F067E">
      <w:pPr>
        <w:pStyle w:val="Heading1"/>
      </w:pPr>
      <w:bookmarkStart w:id="3" w:name="O_588381"/>
      <w:bookmarkEnd w:id="3"/>
      <w:r w:rsidRPr="001F067E">
        <w:t>Application of the Unit</w:t>
      </w:r>
    </w:p>
    <w:tbl>
      <w:tblPr>
        <w:tblW w:w="0" w:type="auto"/>
        <w:tblLayout w:type="fixed"/>
        <w:tblCellMar>
          <w:left w:w="62" w:type="dxa"/>
          <w:right w:w="62" w:type="dxa"/>
        </w:tblCellMar>
        <w:tblLook w:val="0000"/>
      </w:tblPr>
      <w:tblGrid>
        <w:gridCol w:w="2672"/>
        <w:gridCol w:w="5699"/>
      </w:tblGrid>
      <w:tr w:rsidTr="006126C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F067E" w:rsidP="001F067E">
            <w:pPr>
              <w:pStyle w:val="BodyText"/>
            </w:pPr>
            <w:r w:rsidRPr="001F067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rPr>
                <w:rStyle w:val="SpecialBold"/>
              </w:rPr>
              <w:t>2)</w:t>
            </w:r>
          </w:p>
        </w:tc>
      </w:tr>
      <w:tr w:rsidTr="006126C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F067E" w:rsidP="001F067E">
            <w:pPr>
              <w:pStyle w:val="BodyText"/>
            </w:pPr>
            <w:r w:rsidRPr="001F067E">
              <w:t>This unit is intended for competency development entry-level employment based programs incorporated in approved contracts of training or approved training programs. It may also used to augment formally acquired competencies.</w:t>
            </w:r>
          </w:p>
        </w:tc>
      </w:tr>
    </w:tbl>
    <w:p w:rsidR="00000000" w:rsidRPr="001F067E" w:rsidP="001F067E">
      <w:pPr>
        <w:pStyle w:val="BodyText"/>
      </w:pPr>
    </w:p>
    <w:p w:rsidR="00000000" w:rsidRPr="001F067E" w:rsidP="001F067E">
      <w:pPr>
        <w:pStyle w:val="AllowPageBreak"/>
      </w:pPr>
    </w:p>
    <w:p w:rsidR="00000000" w:rsidRPr="001F067E" w:rsidP="001F067E">
      <w:pPr>
        <w:pStyle w:val="Heading1"/>
      </w:pPr>
      <w:bookmarkStart w:id="4" w:name="O_588380"/>
      <w:bookmarkEnd w:id="4"/>
      <w:r w:rsidRPr="001F067E">
        <w:t>Licensing/Re</w:t>
      </w:r>
      <w:r w:rsidRPr="001F067E">
        <w:t>gulatory Information</w:t>
      </w:r>
    </w:p>
    <w:tbl>
      <w:tblPr>
        <w:tblW w:w="0" w:type="auto"/>
        <w:tblLayout w:type="fixed"/>
        <w:tblCellMar>
          <w:left w:w="62" w:type="dxa"/>
          <w:right w:w="62" w:type="dxa"/>
        </w:tblCellMar>
        <w:tblLook w:val="0000"/>
      </w:tblPr>
      <w:tblGrid>
        <w:gridCol w:w="2700"/>
        <w:gridCol w:w="5760"/>
      </w:tblGrid>
      <w:tr w:rsidTr="006126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F067E" w:rsidP="001F067E">
            <w:pPr>
              <w:pStyle w:val="BodyText"/>
            </w:pPr>
            <w:r w:rsidRPr="001F067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rPr>
                <w:rStyle w:val="SpecialBold"/>
              </w:rPr>
              <w:t xml:space="preserve">3) </w:t>
            </w:r>
          </w:p>
        </w:tc>
      </w:tr>
      <w:tr w:rsidTr="006126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F067E" w:rsidP="001F067E">
            <w:pPr>
              <w:pStyle w:val="BodyText"/>
            </w:pPr>
            <w:r w:rsidRPr="001F067E">
              <w:t>The skills and knowledge described in this unit do not require a license to practice in the workplace provided equipment is not connected to installation wiring at voltage above 50 V a.c. or 120 V d.c. However</w:t>
            </w:r>
            <w:r w:rsidRPr="001F067E">
              <w:t xml:space="preserve"> other conditions may apply in some States/Territories subject to regulations related to electrical work. </w:t>
            </w:r>
          </w:p>
          <w:p w:rsidR="00000000" w:rsidRPr="001F067E" w:rsidP="001F067E">
            <w:pPr>
              <w:pStyle w:val="BodyText"/>
            </w:pPr>
            <w:r w:rsidRPr="001F067E">
              <w:t xml:space="preserve">Practice in the workplace and during training is also subject to regulations directly related to occupational </w:t>
            </w:r>
            <w:r w:rsidRPr="001F067E">
              <w:t>health and safety and where applicable contracts of training such as apprenticeships.</w:t>
            </w:r>
          </w:p>
          <w:p w:rsidR="00000000" w:rsidRPr="001F067E" w:rsidP="001F067E">
            <w:pPr>
              <w:pStyle w:val="BodyText"/>
            </w:pPr>
          </w:p>
          <w:p w:rsidR="00000000" w:rsidRPr="001F067E" w:rsidP="001F067E">
            <w:pPr>
              <w:pStyle w:val="BodyText"/>
            </w:pPr>
            <w:r w:rsidRPr="001F067E">
              <w:t>Note:</w:t>
            </w:r>
          </w:p>
          <w:p w:rsidR="00000000" w:rsidRPr="001F067E" w:rsidP="001F067E">
            <w:pPr>
              <w:pStyle w:val="BodyText"/>
            </w:pPr>
            <w:r w:rsidRPr="001F067E">
              <w:t>1. Compliance with permits may be required in various</w:t>
            </w:r>
            <w:r w:rsidRPr="001F067E">
              <w:t xml:space="preserve"> jurisdictions and typically relates to the operation of plant, machinery and equipment such as elevating work platforms, powder operated fixing tools, power operated tools, vehicles, road signage and traffic control, lifting equipment and the like. Permit</w:t>
            </w:r>
            <w:r w:rsidRPr="001F067E">
              <w:t>s may also be required for some work environments such as confined spaces, working aloft, near live electrical apparatus and site rehabilitation.</w:t>
            </w:r>
          </w:p>
          <w:p w:rsidR="00000000" w:rsidRPr="001F067E" w:rsidP="001F067E">
            <w:pPr>
              <w:pStyle w:val="BodyText"/>
            </w:pPr>
            <w:r w:rsidRPr="001F067E">
              <w:t>2. Compliance may be required in various jurisdictions relating to currency in First Aid, confined space, lift</w:t>
            </w:r>
            <w:r w:rsidRPr="001F067E">
              <w:t>ing and risk safety measures</w:t>
            </w:r>
          </w:p>
        </w:tc>
      </w:tr>
    </w:tbl>
    <w:p w:rsidR="00000000" w:rsidRPr="001F067E" w:rsidP="001F067E">
      <w:pPr>
        <w:pStyle w:val="BodyText"/>
      </w:pPr>
    </w:p>
    <w:p w:rsidR="00000000" w:rsidRPr="001F067E" w:rsidP="001F067E">
      <w:pPr>
        <w:pStyle w:val="AllowPageBreak"/>
      </w:pPr>
    </w:p>
    <w:p w:rsidR="00000000" w:rsidRPr="001F067E" w:rsidP="001F067E">
      <w:pPr>
        <w:pStyle w:val="Heading1"/>
      </w:pPr>
      <w:bookmarkStart w:id="5" w:name="O_588379"/>
      <w:bookmarkEnd w:id="5"/>
      <w:r w:rsidRPr="001F067E">
        <w:t>Pre-Requisites</w:t>
      </w:r>
    </w:p>
    <w:tbl>
      <w:tblPr>
        <w:tblW w:w="0" w:type="auto"/>
        <w:tblLayout w:type="fixed"/>
        <w:tblCellMar>
          <w:left w:w="62" w:type="dxa"/>
          <w:right w:w="62" w:type="dxa"/>
        </w:tblCellMar>
        <w:tblLook w:val="0000"/>
      </w:tblPr>
      <w:tblGrid>
        <w:gridCol w:w="2700"/>
        <w:gridCol w:w="1530"/>
        <w:gridCol w:w="4230"/>
      </w:tblGrid>
      <w:tr w:rsidTr="006126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F067E" w:rsidP="001F067E">
            <w:pPr>
              <w:pStyle w:val="BodyText"/>
            </w:pPr>
            <w:r w:rsidRPr="001F067E">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rPr>
                <w:rStyle w:val="SpecialBold"/>
              </w:rPr>
              <w:t xml:space="preserve">4) </w:t>
            </w:r>
          </w:p>
        </w:tc>
      </w:tr>
      <w:tr w:rsidTr="006126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F067E" w:rsidP="001F067E">
            <w:pPr>
              <w:pStyle w:val="BodyText"/>
            </w:pPr>
            <w:r w:rsidRPr="001F067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rPr>
                <w:rStyle w:val="SpecialBold"/>
              </w:rPr>
              <w:t>4.1)</w:t>
            </w:r>
          </w:p>
        </w:tc>
      </w:tr>
      <w:tr w:rsidTr="006126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Granting competency in this unit shall be made only after competency in the following unit(s) has/have been confirmed.</w:t>
            </w:r>
          </w:p>
        </w:tc>
      </w:tr>
      <w:tr w:rsidTr="006126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 xml:space="preserve">UEENEEH117A </w:t>
            </w:r>
          </w:p>
        </w:tc>
        <w:tc>
          <w:tcPr>
            <w:tcW w:w="4230" w:type="dxa"/>
            <w:tcBorders>
              <w:top w:val="nil"/>
              <w:left w:val="nil"/>
              <w:bottom w:val="nil"/>
              <w:right w:val="nil"/>
            </w:tcBorders>
            <w:tcMar>
              <w:top w:w="0" w:type="dxa"/>
              <w:left w:w="62" w:type="dxa"/>
              <w:bottom w:w="0" w:type="dxa"/>
              <w:right w:w="62" w:type="dxa"/>
            </w:tcMar>
          </w:tcPr>
          <w:p w:rsidR="00000000" w:rsidRPr="001F067E" w:rsidP="001F067E">
            <w:pPr>
              <w:pStyle w:val="BodyText"/>
            </w:pPr>
            <w:r w:rsidRPr="001F067E">
              <w:t>Carry out repairs of predictable faults in video and audio replay/recording apparatus</w:t>
            </w:r>
          </w:p>
        </w:tc>
      </w:tr>
    </w:tbl>
    <w:p w:rsidR="00000000" w:rsidRPr="001F067E" w:rsidP="001F067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126C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F067E" w:rsidP="001F067E">
            <w:pPr>
              <w:pStyle w:val="BodyText"/>
            </w:pPr>
            <w:r w:rsidRPr="001F067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rPr>
                <w:rStyle w:val="SpecialBold"/>
              </w:rPr>
              <w:t xml:space="preserve">4.2) </w:t>
            </w:r>
          </w:p>
        </w:tc>
      </w:tr>
      <w:tr w:rsidTr="006126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Participants are best equipped to achieve competency in this unit if they have reading, writing and numeracy skills indicated by the following scales. Description of each scale is given in Volume 2, Part 3 ‘Literacy and Numeracy’</w:t>
            </w:r>
          </w:p>
        </w:tc>
      </w:tr>
      <w:tr w:rsidTr="006126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Reading</w:t>
            </w:r>
          </w:p>
        </w:tc>
        <w:tc>
          <w:tcPr>
            <w:tcW w:w="81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4</w:t>
            </w:r>
          </w:p>
        </w:tc>
        <w:tc>
          <w:tcPr>
            <w:tcW w:w="99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Writing</w:t>
            </w:r>
          </w:p>
        </w:tc>
        <w:tc>
          <w:tcPr>
            <w:tcW w:w="90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4</w:t>
            </w:r>
          </w:p>
        </w:tc>
        <w:tc>
          <w:tcPr>
            <w:tcW w:w="126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Numeracy</w:t>
            </w:r>
          </w:p>
        </w:tc>
        <w:tc>
          <w:tcPr>
            <w:tcW w:w="720" w:type="dxa"/>
            <w:tcBorders>
              <w:top w:val="nil"/>
              <w:left w:val="nil"/>
              <w:bottom w:val="nil"/>
              <w:right w:val="nil"/>
            </w:tcBorders>
            <w:tcMar>
              <w:top w:w="0" w:type="dxa"/>
              <w:left w:w="62" w:type="dxa"/>
              <w:bottom w:w="0" w:type="dxa"/>
              <w:right w:w="62" w:type="dxa"/>
            </w:tcMar>
          </w:tcPr>
          <w:p w:rsidR="00000000" w:rsidRPr="001F067E" w:rsidP="001F067E">
            <w:pPr>
              <w:pStyle w:val="BodyText"/>
            </w:pPr>
            <w:r w:rsidRPr="001F067E">
              <w:t>4</w:t>
            </w:r>
          </w:p>
        </w:tc>
      </w:tr>
    </w:tbl>
    <w:p w:rsidR="00000000" w:rsidRPr="001F067E" w:rsidP="001F067E">
      <w:pPr>
        <w:pStyle w:val="BodyText"/>
      </w:pPr>
    </w:p>
    <w:p w:rsidR="00000000" w:rsidRPr="001F067E" w:rsidP="001F067E">
      <w:pPr>
        <w:pStyle w:val="AllowPageBreak"/>
      </w:pPr>
    </w:p>
    <w:p w:rsidR="00000000" w:rsidRPr="001F067E" w:rsidP="001F067E">
      <w:pPr>
        <w:pStyle w:val="Heading1"/>
      </w:pPr>
      <w:bookmarkStart w:id="6" w:name="O_588378"/>
      <w:bookmarkEnd w:id="6"/>
      <w:r w:rsidRPr="001F067E">
        <w:t>Employability Skills Information</w:t>
      </w:r>
    </w:p>
    <w:tbl>
      <w:tblPr>
        <w:tblW w:w="0" w:type="auto"/>
        <w:tblLayout w:type="fixed"/>
        <w:tblCellMar>
          <w:left w:w="62" w:type="dxa"/>
          <w:right w:w="62" w:type="dxa"/>
        </w:tblCellMar>
        <w:tblLook w:val="0000"/>
      </w:tblPr>
      <w:tblGrid>
        <w:gridCol w:w="2700"/>
        <w:gridCol w:w="5760"/>
      </w:tblGrid>
      <w:tr w:rsidTr="006126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F067E" w:rsidP="001F067E">
            <w:pPr>
              <w:pStyle w:val="BodyText"/>
            </w:pPr>
            <w:r w:rsidRPr="001F067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rPr>
                <w:rStyle w:val="SpecialBold"/>
              </w:rPr>
              <w:t xml:space="preserve">5) </w:t>
            </w:r>
          </w:p>
        </w:tc>
      </w:tr>
      <w:tr w:rsidTr="006126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F067E" w:rsidP="001F067E">
            <w:pPr>
              <w:pStyle w:val="BodyText"/>
            </w:pPr>
            <w:r w:rsidRPr="001F067E">
              <w:t>This unit contains Employability Skills</w:t>
            </w:r>
          </w:p>
          <w:p w:rsidR="00000000" w:rsidRPr="001F067E" w:rsidP="001F067E">
            <w:pPr>
              <w:pStyle w:val="BodyText"/>
            </w:pPr>
            <w:r w:rsidRPr="001F067E">
              <w:t>The required outcomes described in this unit of competency contain applicable facets of Employability Skills. The Employabili</w:t>
            </w:r>
            <w:r w:rsidRPr="001F067E">
              <w:t>ty Skills Summary of the qualification in which this unit of competency is packaged will assist in identifying Employability Skill requirements.</w:t>
            </w:r>
          </w:p>
        </w:tc>
      </w:tr>
    </w:tbl>
    <w:p w:rsidR="00000000" w:rsidRPr="001F067E" w:rsidP="001F067E">
      <w:pPr>
        <w:pStyle w:val="BodyText"/>
      </w:pPr>
    </w:p>
    <w:p w:rsidR="00000000" w:rsidRPr="001F067E" w:rsidP="001F067E">
      <w:pPr>
        <w:pStyle w:val="AllowPageBreak"/>
      </w:pPr>
    </w:p>
    <w:p w:rsidR="00000000" w:rsidRPr="001F067E" w:rsidP="001F067E">
      <w:pPr>
        <w:pStyle w:val="Heading1"/>
      </w:pPr>
      <w:bookmarkStart w:id="7" w:name="O_588377"/>
      <w:bookmarkEnd w:id="7"/>
      <w:r w:rsidRPr="001F067E">
        <w:t>Elements and Performance Criteria Pre-Content</w:t>
      </w:r>
    </w:p>
    <w:tbl>
      <w:tblPr>
        <w:tblW w:w="0" w:type="auto"/>
        <w:tblLayout w:type="fixed"/>
        <w:tblCellMar>
          <w:left w:w="62" w:type="dxa"/>
          <w:right w:w="62" w:type="dxa"/>
        </w:tblCellMar>
        <w:tblLook w:val="0000"/>
      </w:tblPr>
      <w:tblGrid>
        <w:gridCol w:w="2700"/>
        <w:gridCol w:w="5760"/>
      </w:tblGrid>
      <w:tr w:rsidTr="006126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rPr>
                <w:rStyle w:val="SpecialBold"/>
              </w:rPr>
              <w:t>6)</w:t>
            </w:r>
            <w:r w:rsidRPr="001F067E">
              <w:t xml:space="preserve"> Elements d</w:t>
            </w:r>
            <w:r w:rsidRPr="001F067E">
              <w:t>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F067E" w:rsidP="001F067E">
            <w:pPr>
              <w:pStyle w:val="BodyText"/>
            </w:pPr>
            <w:r w:rsidRPr="001F067E">
              <w:t>Performance Criteria describe the required performance needed to demonstrate achievement of the element. Assessment of performance is to be consistent with the Evidence Guide.</w:t>
            </w:r>
          </w:p>
        </w:tc>
      </w:tr>
    </w:tbl>
    <w:p w:rsidR="00000000" w:rsidRPr="001F067E" w:rsidP="001F067E">
      <w:pPr>
        <w:pStyle w:val="BodyText"/>
      </w:pPr>
    </w:p>
    <w:p w:rsidR="00000000" w:rsidRPr="001F067E" w:rsidP="001F067E">
      <w:pPr>
        <w:pStyle w:val="AllowPageBreak"/>
      </w:pPr>
    </w:p>
    <w:p w:rsidR="00000000" w:rsidRPr="001F067E" w:rsidP="001F067E">
      <w:pPr>
        <w:pStyle w:val="Heading1"/>
      </w:pPr>
      <w:bookmarkStart w:id="8" w:name="O_588376"/>
      <w:bookmarkEnd w:id="8"/>
      <w:r w:rsidRPr="001F067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126C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F067E" w:rsidP="001F067E">
            <w:pPr>
              <w:pStyle w:val="BodyText"/>
            </w:pPr>
            <w:r w:rsidRPr="001F067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rPr>
                <w:rStyle w:val="SpecialBold"/>
              </w:rPr>
              <w:t>PERFORMANCE CRITERIA</w:t>
            </w:r>
          </w:p>
        </w:tc>
      </w:tr>
      <w:tr w:rsidTr="006126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1</w:t>
            </w:r>
          </w:p>
        </w:tc>
        <w:tc>
          <w:tcPr>
            <w:tcW w:w="2296"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Prepare to find and repair faults</w:t>
            </w:r>
          </w:p>
        </w:tc>
        <w:tc>
          <w:tcPr>
            <w:tcW w:w="90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1.1</w:t>
            </w:r>
          </w:p>
        </w:tc>
        <w:tc>
          <w:tcPr>
            <w:tcW w:w="486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OHS procedures for a given work area are identified, obtained and understood.</w:t>
            </w:r>
          </w:p>
        </w:tc>
      </w:tr>
      <w:tr w:rsidTr="006126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1.2</w:t>
            </w:r>
          </w:p>
        </w:tc>
        <w:tc>
          <w:tcPr>
            <w:tcW w:w="486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OHS risk control measures and procedures are followed in preparation for the work.</w:t>
            </w:r>
          </w:p>
        </w:tc>
      </w:tr>
      <w:tr w:rsidTr="006126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1.3</w:t>
            </w:r>
          </w:p>
        </w:tc>
        <w:tc>
          <w:tcPr>
            <w:tcW w:w="486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The nature of the fault is obtained from documentation or from work supervisor to establish the scope of work to be undertaken.</w:t>
            </w:r>
          </w:p>
        </w:tc>
      </w:tr>
      <w:tr w:rsidTr="006126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1.4</w:t>
            </w:r>
          </w:p>
        </w:tc>
        <w:tc>
          <w:tcPr>
            <w:tcW w:w="486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Advice is sought from the work supervisor to ensure the work is co-ordinated effectively with others.</w:t>
            </w:r>
          </w:p>
        </w:tc>
      </w:tr>
      <w:tr w:rsidTr="006126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1.5</w:t>
            </w:r>
          </w:p>
        </w:tc>
        <w:tc>
          <w:tcPr>
            <w:tcW w:w="486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Sources of materials that may be required for the work are established in accordance with established procedures.</w:t>
            </w:r>
          </w:p>
        </w:tc>
      </w:tr>
      <w:tr w:rsidTr="006126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1.6</w:t>
            </w:r>
          </w:p>
        </w:tc>
        <w:tc>
          <w:tcPr>
            <w:tcW w:w="486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Tools, equipment and testi</w:t>
            </w:r>
            <w:r w:rsidRPr="001F067E">
              <w:t>ng devices needed to carry out the work are obtained in accordance with established procedures and checked for correct operation and safety.</w:t>
            </w:r>
          </w:p>
        </w:tc>
      </w:tr>
      <w:tr w:rsidTr="006126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2</w:t>
            </w:r>
          </w:p>
        </w:tc>
        <w:tc>
          <w:tcPr>
            <w:tcW w:w="2296"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Find faults</w:t>
            </w:r>
          </w:p>
        </w:tc>
        <w:tc>
          <w:tcPr>
            <w:tcW w:w="90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2.1</w:t>
            </w:r>
          </w:p>
        </w:tc>
        <w:tc>
          <w:tcPr>
            <w:tcW w:w="486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OHS risk control measures and procedures for carrying out the work are followed.</w:t>
            </w:r>
          </w:p>
        </w:tc>
      </w:tr>
      <w:tr w:rsidTr="006126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2.2</w:t>
            </w:r>
          </w:p>
        </w:tc>
        <w:tc>
          <w:tcPr>
            <w:tcW w:w="486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The need to test or measure live is determined in strict accordance with OHS requirements and when necessary conducted within established safety procedures.</w:t>
            </w:r>
          </w:p>
        </w:tc>
      </w:tr>
      <w:tr w:rsidTr="006126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2.3</w:t>
            </w:r>
          </w:p>
        </w:tc>
        <w:tc>
          <w:tcPr>
            <w:tcW w:w="486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Apparatus is checked as being isolated where necessary in strict accordance OHS requirements</w:t>
            </w:r>
            <w:r w:rsidRPr="001F067E">
              <w:t xml:space="preserve"> and procedures.</w:t>
            </w:r>
          </w:p>
        </w:tc>
      </w:tr>
      <w:tr w:rsidTr="006126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2.4</w:t>
            </w:r>
          </w:p>
        </w:tc>
        <w:tc>
          <w:tcPr>
            <w:tcW w:w="486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 xml:space="preserve">Fault finding is approached methodically drawing on knowledge of audio/video recording and replay components and circuits using measured and calculated values of apparatus parameters. </w:t>
            </w:r>
          </w:p>
        </w:tc>
      </w:tr>
      <w:tr w:rsidTr="006126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2.5</w:t>
            </w:r>
          </w:p>
        </w:tc>
        <w:tc>
          <w:tcPr>
            <w:tcW w:w="486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Apparatus components are dismantled wher</w:t>
            </w:r>
            <w:r w:rsidRPr="001F067E">
              <w:t>e necessary and parts stored to protect them against loss or damage.</w:t>
            </w:r>
          </w:p>
        </w:tc>
      </w:tr>
      <w:tr w:rsidTr="006126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2.6</w:t>
            </w:r>
          </w:p>
        </w:tc>
        <w:tc>
          <w:tcPr>
            <w:tcW w:w="486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Faulty components are rechecked and their fault status confirmed.</w:t>
            </w:r>
          </w:p>
        </w:tc>
      </w:tr>
      <w:tr w:rsidTr="006126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2.7</w:t>
            </w:r>
          </w:p>
        </w:tc>
        <w:tc>
          <w:tcPr>
            <w:tcW w:w="486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Unexpected situations are dealt with safely and with the approval of an authorised person.</w:t>
            </w:r>
          </w:p>
        </w:tc>
      </w:tr>
      <w:tr w:rsidTr="006126CA">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2.8</w:t>
            </w:r>
          </w:p>
        </w:tc>
        <w:tc>
          <w:tcPr>
            <w:tcW w:w="486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Fault finding activities are carried out efficiently without waste of materials or damage to apparatus and the surrounding environment or services and using sustainable energy practices.</w:t>
            </w:r>
          </w:p>
        </w:tc>
      </w:tr>
      <w:tr w:rsidTr="006126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3</w:t>
            </w:r>
          </w:p>
        </w:tc>
        <w:tc>
          <w:tcPr>
            <w:tcW w:w="2296"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Repair fault</w:t>
            </w:r>
          </w:p>
        </w:tc>
        <w:tc>
          <w:tcPr>
            <w:tcW w:w="90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3.1</w:t>
            </w:r>
          </w:p>
        </w:tc>
        <w:tc>
          <w:tcPr>
            <w:tcW w:w="486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OHS risk control measures and procedures for carrying out the work are followed.</w:t>
            </w:r>
          </w:p>
        </w:tc>
      </w:tr>
      <w:tr w:rsidTr="006126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3.2</w:t>
            </w:r>
          </w:p>
        </w:tc>
        <w:tc>
          <w:tcPr>
            <w:tcW w:w="486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Apparatus is checked as being isolated where necessary in strict accordance OHS requirements and procedures.</w:t>
            </w:r>
          </w:p>
        </w:tc>
      </w:tr>
      <w:tr w:rsidTr="006126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3.3</w:t>
            </w:r>
          </w:p>
        </w:tc>
        <w:tc>
          <w:tcPr>
            <w:tcW w:w="486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Materials required for the repair work are sourced a</w:t>
            </w:r>
            <w:r w:rsidRPr="001F067E">
              <w:t>nd obtained in accordance with established procedures.</w:t>
            </w:r>
          </w:p>
        </w:tc>
      </w:tr>
      <w:tr w:rsidTr="006126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3.4</w:t>
            </w:r>
          </w:p>
        </w:tc>
        <w:tc>
          <w:tcPr>
            <w:tcW w:w="486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Repairs are affected efficiently without damage to other components, apparatus or circuits.</w:t>
            </w:r>
          </w:p>
        </w:tc>
      </w:tr>
      <w:tr w:rsidTr="006126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3.5</w:t>
            </w:r>
          </w:p>
        </w:tc>
        <w:tc>
          <w:tcPr>
            <w:tcW w:w="486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Effectiveness of the repair is tested in accordance with established procedures.</w:t>
            </w:r>
          </w:p>
        </w:tc>
      </w:tr>
      <w:tr w:rsidTr="006126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3.6</w:t>
            </w:r>
          </w:p>
        </w:tc>
        <w:tc>
          <w:tcPr>
            <w:tcW w:w="486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Apparatus is reassembled, finally tested and prepared for return to customer.</w:t>
            </w:r>
          </w:p>
        </w:tc>
      </w:tr>
      <w:tr w:rsidTr="006126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4.1</w:t>
            </w:r>
          </w:p>
        </w:tc>
        <w:tc>
          <w:tcPr>
            <w:tcW w:w="486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OHS work completion risk control measures and procedures are followed.</w:t>
            </w:r>
          </w:p>
        </w:tc>
      </w:tr>
      <w:tr w:rsidTr="006126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4.2</w:t>
            </w:r>
          </w:p>
        </w:tc>
        <w:tc>
          <w:tcPr>
            <w:tcW w:w="486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Work area is cleaned and made safe in accordance with established procedures.</w:t>
            </w:r>
          </w:p>
        </w:tc>
      </w:tr>
      <w:tr w:rsidTr="006126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t>4.3</w:t>
            </w:r>
          </w:p>
        </w:tc>
        <w:tc>
          <w:tcPr>
            <w:tcW w:w="4860" w:type="dxa"/>
            <w:tcBorders>
              <w:top w:val="nil"/>
              <w:left w:val="nil"/>
              <w:bottom w:val="nil"/>
              <w:right w:val="nil"/>
            </w:tcBorders>
            <w:tcMar>
              <w:top w:w="0" w:type="dxa"/>
              <w:left w:w="62" w:type="dxa"/>
              <w:bottom w:w="0" w:type="dxa"/>
              <w:right w:w="62" w:type="dxa"/>
            </w:tcMar>
          </w:tcPr>
          <w:p w:rsidR="00000000" w:rsidRPr="001F067E" w:rsidP="001F067E">
            <w:pPr>
              <w:pStyle w:val="BodyText"/>
            </w:pPr>
            <w:r w:rsidRPr="001F067E">
              <w:t xml:space="preserve">Written </w:t>
            </w:r>
            <w:r w:rsidRPr="001F067E">
              <w:t>justification is made for repairs to apparatus.</w:t>
            </w:r>
          </w:p>
        </w:tc>
      </w:tr>
    </w:tbl>
    <w:p w:rsidR="00000000" w:rsidRPr="001F067E" w:rsidP="001F067E">
      <w:pPr>
        <w:pStyle w:val="BodyText"/>
      </w:pPr>
    </w:p>
    <w:p w:rsidR="00000000" w:rsidRPr="001F067E" w:rsidP="001F067E">
      <w:pPr>
        <w:pStyle w:val="AllowPageBreak"/>
      </w:pPr>
    </w:p>
    <w:p w:rsidR="00000000" w:rsidRPr="001F067E" w:rsidP="001F067E">
      <w:pPr>
        <w:pStyle w:val="Heading1"/>
      </w:pPr>
      <w:bookmarkStart w:id="9" w:name="O_588375"/>
      <w:bookmarkEnd w:id="9"/>
      <w:r w:rsidRPr="001F067E">
        <w:t>Required Skills and Knowledge</w:t>
      </w:r>
    </w:p>
    <w:tbl>
      <w:tblPr>
        <w:tblW w:w="0" w:type="auto"/>
        <w:tblLayout w:type="fixed"/>
        <w:tblCellMar>
          <w:left w:w="62" w:type="dxa"/>
          <w:right w:w="62" w:type="dxa"/>
        </w:tblCellMar>
        <w:tblLook w:val="0000"/>
      </w:tblPr>
      <w:tblGrid>
        <w:gridCol w:w="8460"/>
      </w:tblGrid>
      <w:tr w:rsidTr="006126C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rPr>
                <w:rStyle w:val="SpecialBold"/>
              </w:rPr>
              <w:t>REQUIRED SKILLS AND KNOWLEDGE</w:t>
            </w:r>
          </w:p>
        </w:tc>
      </w:tr>
      <w:tr w:rsidTr="006126C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F067E" w:rsidP="001F067E">
            <w:pPr>
              <w:pStyle w:val="BodyText"/>
            </w:pPr>
            <w:r w:rsidRPr="001F067E">
              <w:rPr>
                <w:rStyle w:val="SpecialBold"/>
              </w:rPr>
              <w:t>8)</w:t>
            </w:r>
            <w:r w:rsidRPr="001F067E">
              <w:t xml:space="preserve">  This describes the essential skills and knowledge and their level, required for this unit.</w:t>
            </w:r>
          </w:p>
          <w:p w:rsidR="00000000" w:rsidRPr="001F067E" w:rsidP="001F067E">
            <w:pPr>
              <w:pStyle w:val="BodyText"/>
            </w:pPr>
            <w:r w:rsidRPr="001F067E">
              <w:t xml:space="preserve">Evidence shall show that knowledge has been acquired of safe working practices and finding and repairing in audio/video recording equipment. </w:t>
            </w:r>
          </w:p>
          <w:p w:rsidR="00000000" w:rsidRPr="001F067E" w:rsidP="001F067E">
            <w:pPr>
              <w:pStyle w:val="BodyText"/>
            </w:pPr>
            <w:r w:rsidRPr="001F067E">
              <w:t>All knowledge and skills detailed in this unit should be contextualised to current industry practices and technolo</w:t>
            </w:r>
            <w:r w:rsidRPr="001F067E">
              <w:t>gies.</w:t>
            </w:r>
          </w:p>
          <w:p w:rsidR="00000000" w:rsidRPr="001F067E" w:rsidP="001F067E">
            <w:pPr>
              <w:pStyle w:val="BodyText"/>
            </w:pPr>
            <w:r w:rsidRPr="001F067E">
              <w:rPr>
                <w:rStyle w:val="SpecialBold"/>
              </w:rPr>
              <w:t>KS01-EH174A</w:t>
            </w:r>
            <w:r w:rsidRPr="001F067E">
              <w:rPr>
                <w:rStyle w:val="SpecialBold"/>
              </w:rPr>
              <w:tab/>
              <w:t xml:space="preserve">               Audio/video recording equipment troubleshooting</w:t>
            </w:r>
          </w:p>
          <w:p w:rsidR="00000000" w:rsidRPr="001F067E" w:rsidP="001F067E">
            <w:pPr>
              <w:pStyle w:val="BodyText"/>
            </w:pPr>
            <w:r w:rsidRPr="001F067E">
              <w:t>Evidence shall show an understanding of audio/video recording equipment troubleshooting, applying safe working practices and relevant Standards, Codes and Regulations to an ex</w:t>
            </w:r>
            <w:r w:rsidRPr="001F067E">
              <w:t>tent indicated by the following aspects:</w:t>
            </w:r>
          </w:p>
          <w:p w:rsidR="00000000" w:rsidRPr="001F067E" w:rsidP="001F067E">
            <w:pPr>
              <w:pStyle w:val="BodyText"/>
            </w:pPr>
            <w:r w:rsidRPr="001F067E">
              <w:t>T1</w:t>
            </w:r>
            <w:r w:rsidRPr="001F067E">
              <w:tab/>
              <w:t>VCR basic principles encompassing:</w:t>
            </w:r>
          </w:p>
          <w:p w:rsidR="00000000" w:rsidRPr="001F067E" w:rsidP="001F067E">
            <w:pPr>
              <w:pStyle w:val="ListBullet"/>
            </w:pPr>
            <w:r w:rsidRPr="001F067E">
              <w:t>Installation and operation of a VCR</w:t>
            </w:r>
          </w:p>
          <w:p w:rsidR="00000000" w:rsidRPr="001F067E" w:rsidP="001F067E">
            <w:pPr>
              <w:pStyle w:val="ListBullet"/>
            </w:pPr>
            <w:r w:rsidRPr="001F067E">
              <w:t>Techniques used in magnetic tape recording</w:t>
            </w:r>
          </w:p>
          <w:p w:rsidR="00000000" w:rsidRPr="001F067E" w:rsidP="001F067E">
            <w:pPr>
              <w:pStyle w:val="ListBullet"/>
            </w:pPr>
            <w:r w:rsidRPr="001F067E">
              <w:t>Helical scanning process and FM magnetic recording principles</w:t>
            </w:r>
          </w:p>
          <w:p w:rsidR="00000000" w:rsidRPr="001F067E" w:rsidP="001F067E">
            <w:pPr>
              <w:pStyle w:val="ListBullet"/>
            </w:pPr>
            <w:r w:rsidRPr="001F067E">
              <w:t>Adjustment and replacement of components within mechanical sections</w:t>
            </w:r>
          </w:p>
          <w:p w:rsidR="00000000" w:rsidRPr="001F067E" w:rsidP="001F067E">
            <w:pPr>
              <w:pStyle w:val="ListBullet"/>
            </w:pPr>
            <w:r w:rsidRPr="001F067E">
              <w:t>Luminance signal processing stages</w:t>
            </w:r>
          </w:p>
          <w:p w:rsidR="00000000" w:rsidRPr="001F067E" w:rsidP="001F067E">
            <w:pPr>
              <w:pStyle w:val="ListBullet"/>
            </w:pPr>
            <w:r w:rsidRPr="001F067E">
              <w:t>Operation of electronic systems</w:t>
            </w:r>
          </w:p>
          <w:p w:rsidR="00000000" w:rsidRPr="001F067E" w:rsidP="001F067E">
            <w:pPr>
              <w:pStyle w:val="BodyText"/>
            </w:pPr>
            <w:r w:rsidRPr="001F067E">
              <w:t>T2</w:t>
            </w:r>
            <w:r w:rsidRPr="001F067E">
              <w:tab/>
              <w:t xml:space="preserve">VCR fault finding encompassing: </w:t>
            </w:r>
          </w:p>
          <w:p w:rsidR="00000000" w:rsidRPr="001F067E" w:rsidP="001F067E">
            <w:pPr>
              <w:pStyle w:val="ListBullet"/>
            </w:pPr>
            <w:r w:rsidRPr="001F067E">
              <w:t xml:space="preserve">Faulty component location in the sections of a VCR </w:t>
            </w:r>
          </w:p>
          <w:p w:rsidR="00000000" w:rsidRPr="001F067E" w:rsidP="001F067E">
            <w:pPr>
              <w:pStyle w:val="ListBullet2"/>
            </w:pPr>
            <w:r w:rsidRPr="001F067E">
              <w:t>Mechanical components</w:t>
            </w:r>
          </w:p>
          <w:p w:rsidR="00000000" w:rsidRPr="001F067E" w:rsidP="001F067E">
            <w:pPr>
              <w:pStyle w:val="ListBullet2"/>
            </w:pPr>
            <w:r w:rsidRPr="001F067E">
              <w:t>luminance</w:t>
            </w:r>
            <w:r w:rsidRPr="001F067E">
              <w:t xml:space="preserve"> components</w:t>
            </w:r>
          </w:p>
          <w:p w:rsidR="00000000" w:rsidRPr="001F067E" w:rsidP="001F067E">
            <w:pPr>
              <w:pStyle w:val="ListBullet2"/>
            </w:pPr>
            <w:r w:rsidRPr="001F067E">
              <w:t>chroma components</w:t>
            </w:r>
          </w:p>
          <w:p w:rsidR="00000000" w:rsidRPr="001F067E" w:rsidP="001F067E">
            <w:pPr>
              <w:pStyle w:val="ListBullet2"/>
            </w:pPr>
            <w:r w:rsidRPr="001F067E">
              <w:t xml:space="preserve">servo control sections </w:t>
            </w:r>
          </w:p>
          <w:p w:rsidR="00000000" w:rsidRPr="001F067E" w:rsidP="001F067E">
            <w:pPr>
              <w:pStyle w:val="ListBullet2"/>
            </w:pPr>
            <w:r w:rsidRPr="001F067E">
              <w:t xml:space="preserve">system control sections </w:t>
            </w:r>
          </w:p>
          <w:p w:rsidR="00000000" w:rsidRPr="001F067E" w:rsidP="001F067E">
            <w:pPr>
              <w:pStyle w:val="ListBullet2"/>
            </w:pPr>
            <w:r w:rsidRPr="001F067E">
              <w:t xml:space="preserve">timer and display sections </w:t>
            </w:r>
          </w:p>
          <w:p w:rsidR="00000000" w:rsidRPr="001F067E" w:rsidP="001F067E">
            <w:pPr>
              <w:pStyle w:val="ListBullet2"/>
            </w:pPr>
            <w:r w:rsidRPr="001F067E">
              <w:t xml:space="preserve">power supply sections </w:t>
            </w:r>
          </w:p>
          <w:p w:rsidR="00000000" w:rsidRPr="001F067E" w:rsidP="001F067E">
            <w:pPr>
              <w:pStyle w:val="ListBullet2"/>
            </w:pPr>
            <w:r w:rsidRPr="001F067E">
              <w:t xml:space="preserve">sound sections </w:t>
            </w:r>
          </w:p>
          <w:p w:rsidR="00000000" w:rsidRPr="001F067E" w:rsidP="001F067E">
            <w:pPr>
              <w:pStyle w:val="ListBullet2"/>
            </w:pPr>
            <w:r w:rsidRPr="001F067E">
              <w:t>RF sections</w:t>
            </w:r>
          </w:p>
          <w:p w:rsidR="00000000" w:rsidRPr="001F067E" w:rsidP="001F067E">
            <w:pPr>
              <w:pStyle w:val="BodyText"/>
            </w:pPr>
            <w:r w:rsidRPr="001F067E">
              <w:t>T3</w:t>
            </w:r>
            <w:r w:rsidRPr="001F067E">
              <w:tab/>
              <w:t xml:space="preserve">VCR advanced principles encompassing: </w:t>
            </w:r>
          </w:p>
          <w:p w:rsidR="00000000" w:rsidRPr="001F067E" w:rsidP="001F067E">
            <w:pPr>
              <w:pStyle w:val="ListBullet"/>
            </w:pPr>
            <w:r w:rsidRPr="001F067E">
              <w:t>The operation of the chrominance processing in practical circuits</w:t>
            </w:r>
          </w:p>
          <w:p w:rsidR="00000000" w:rsidRPr="001F067E" w:rsidP="001F067E">
            <w:pPr>
              <w:pStyle w:val="ListBullet"/>
            </w:pPr>
            <w:r w:rsidRPr="001F067E">
              <w:t>Control sections operated by microprocessors</w:t>
            </w:r>
          </w:p>
          <w:p w:rsidR="00000000" w:rsidRPr="001F067E" w:rsidP="001F067E">
            <w:pPr>
              <w:pStyle w:val="ListBullet"/>
            </w:pPr>
            <w:r w:rsidRPr="001F067E">
              <w:t>The operation of analogue and digital servo systems</w:t>
            </w:r>
          </w:p>
        </w:tc>
      </w:tr>
    </w:tbl>
    <w:p w:rsidR="00000000" w:rsidRPr="001F067E" w:rsidP="001F067E">
      <w:pPr>
        <w:pStyle w:val="BodyText"/>
      </w:pPr>
    </w:p>
    <w:p w:rsidR="00000000" w:rsidRPr="001F067E" w:rsidP="001F067E">
      <w:pPr>
        <w:pStyle w:val="AllowPageBreak"/>
      </w:pPr>
    </w:p>
    <w:p w:rsidR="00000000" w:rsidRPr="001F067E" w:rsidP="001F067E">
      <w:pPr>
        <w:pStyle w:val="Heading1"/>
      </w:pPr>
      <w:bookmarkStart w:id="10" w:name="O_588374"/>
      <w:bookmarkEnd w:id="10"/>
      <w:r w:rsidRPr="001F067E">
        <w:t>Evidence Guide</w:t>
      </w:r>
    </w:p>
    <w:tbl>
      <w:tblPr>
        <w:tblW w:w="0" w:type="auto"/>
        <w:tblLayout w:type="fixed"/>
        <w:tblCellMar>
          <w:left w:w="62" w:type="dxa"/>
          <w:right w:w="62" w:type="dxa"/>
        </w:tblCellMar>
        <w:tblLook w:val="0000"/>
      </w:tblPr>
      <w:tblGrid>
        <w:gridCol w:w="8460"/>
      </w:tblGrid>
      <w:tr w:rsidTr="006126C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rPr>
                <w:rStyle w:val="SpecialBold"/>
              </w:rPr>
              <w:t>EVIDENCE GUIDE</w:t>
            </w:r>
          </w:p>
        </w:tc>
      </w:tr>
      <w:tr w:rsidTr="006126C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F067E" w:rsidP="001F067E">
            <w:pPr>
              <w:pStyle w:val="BodyText"/>
            </w:pPr>
            <w:r w:rsidRPr="001F067E">
              <w:rPr>
                <w:rStyle w:val="SpecialBold"/>
              </w:rPr>
              <w:t>9)</w:t>
            </w:r>
            <w:r w:rsidRPr="001F067E">
              <w:t xml:space="preserve">  The evidence guide provides advice on assessment and must be read in conjunction with the Performance Criteria, Required Skills and Knowledge, the Range Statement and the Assessment Guidelines for this Training Package. .</w:t>
            </w:r>
          </w:p>
          <w:p w:rsidR="00000000" w:rsidRPr="001F067E" w:rsidP="001F067E">
            <w:pPr>
              <w:pStyle w:val="BodyText"/>
            </w:pPr>
            <w:r w:rsidRPr="001F067E">
              <w:t>The Evidence Guide forms an inte</w:t>
            </w:r>
            <w:r w:rsidRPr="001F067E">
              <w:t>gral part of this unit. It must be used in conjunction with all parts of the unit and performed in accordance with the Assessment Guidelines of this Training Package.</w:t>
            </w:r>
          </w:p>
        </w:tc>
      </w:tr>
    </w:tbl>
    <w:p w:rsidR="00000000" w:rsidRPr="001F067E" w:rsidP="001F067E">
      <w:pPr>
        <w:pStyle w:val="BodyText"/>
      </w:pPr>
    </w:p>
    <w:tbl>
      <w:tblPr>
        <w:tblW w:w="0" w:type="auto"/>
        <w:tblLayout w:type="fixed"/>
        <w:tblCellMar>
          <w:left w:w="62" w:type="dxa"/>
          <w:right w:w="62" w:type="dxa"/>
        </w:tblCellMar>
        <w:tblLook w:val="0000"/>
      </w:tblPr>
      <w:tblGrid>
        <w:gridCol w:w="1890"/>
        <w:gridCol w:w="6570"/>
      </w:tblGrid>
      <w:tr w:rsidTr="006126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F067E" w:rsidP="001F067E">
            <w:pPr>
              <w:pStyle w:val="BodyText"/>
            </w:pPr>
            <w:r w:rsidRPr="001F067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rPr>
                <w:rStyle w:val="SpecialBold"/>
              </w:rPr>
              <w:t>9.1)</w:t>
            </w:r>
          </w:p>
        </w:tc>
      </w:tr>
      <w:tr w:rsidTr="006126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F067E" w:rsidP="001F067E">
            <w:pPr>
              <w:pStyle w:val="BodyText"/>
            </w:pPr>
            <w:r w:rsidRPr="001F067E">
              <w:t>Longitudinal competency development approaches to assessment, such as Profiling, require data to be reliably gathered in a form that can be consistently interpreted over time. This approach is best utilised in Apprenticeship programs and reduces assessment</w:t>
            </w:r>
            <w:r w:rsidRPr="001F067E">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1F067E">
              <w:t>cy in a realistically simulated work environment. It is recognised that, in some circumstances, assessment in part or full can occur outside the workplace. However, it must be in accord with industry and regulatory policy.</w:t>
            </w:r>
          </w:p>
          <w:p w:rsidR="00000000" w:rsidRPr="001F067E" w:rsidP="001F067E">
            <w:pPr>
              <w:pStyle w:val="BodyText"/>
            </w:pPr>
            <w:r w:rsidRPr="001F067E">
              <w:t>Methods chosen for a particular a</w:t>
            </w:r>
            <w:r w:rsidRPr="001F067E">
              <w:t>ssessment will be influenced by various factors. These include the extent of the assessment, the most effective locations for the assessment activities to take place, access to physical resources, additional safety measures that may be required and the cri</w:t>
            </w:r>
            <w:r w:rsidRPr="001F067E">
              <w:t>tical nature of the competencies being assessed.</w:t>
            </w:r>
          </w:p>
          <w:p w:rsidR="00000000" w:rsidRPr="001F067E" w:rsidP="001F067E">
            <w:pPr>
              <w:pStyle w:val="BodyText"/>
            </w:pPr>
            <w:r w:rsidRPr="001F067E">
              <w:t>The critical safety nature of working with electricity, electrical equipment, gas or any other hazardous substance/material carries risk in deeming a person competent. Sources of evidence need to be ‘rich’ i</w:t>
            </w:r>
            <w:r w:rsidRPr="001F067E">
              <w:t>n nature to minimise error in judgment.</w:t>
            </w:r>
          </w:p>
          <w:p w:rsidR="00000000" w:rsidRPr="001F067E" w:rsidP="001F067E">
            <w:pPr>
              <w:pStyle w:val="BodyText"/>
            </w:pPr>
            <w:r w:rsidRPr="001F067E">
              <w:t>Activities associated with normal everyday work influence decisions about how/how much the data gathered will contribute to its ‘richness’. Some skills are more critical to safety and operational requirements while t</w:t>
            </w:r>
            <w:r w:rsidRPr="001F067E">
              <w:t>he same skills may be more or less frequently practised. These points are raised for the assessors to consider when choosing an assessment method and developing assessment instruments. Sample assessment instruments are included for Assessors in the Assessm</w:t>
            </w:r>
            <w:r w:rsidRPr="001F067E">
              <w:t>ent Guidelines of this Training Package.</w:t>
            </w:r>
          </w:p>
        </w:tc>
      </w:tr>
    </w:tbl>
    <w:p w:rsidR="00000000" w:rsidRPr="001F067E" w:rsidP="001F067E">
      <w:pPr>
        <w:pStyle w:val="BodyText"/>
      </w:pPr>
    </w:p>
    <w:tbl>
      <w:tblPr>
        <w:tblW w:w="0" w:type="auto"/>
        <w:tblLayout w:type="fixed"/>
        <w:tblCellMar>
          <w:left w:w="62" w:type="dxa"/>
          <w:right w:w="62" w:type="dxa"/>
        </w:tblCellMar>
        <w:tblLook w:val="0000"/>
      </w:tblPr>
      <w:tblGrid>
        <w:gridCol w:w="1890"/>
        <w:gridCol w:w="6570"/>
      </w:tblGrid>
      <w:tr w:rsidTr="006126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F067E" w:rsidP="001F067E">
            <w:pPr>
              <w:pStyle w:val="BodyText"/>
            </w:pPr>
            <w:r w:rsidRPr="001F067E">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rPr>
                <w:rStyle w:val="SpecialBold"/>
              </w:rPr>
              <w:t>9.2)</w:t>
            </w:r>
          </w:p>
        </w:tc>
      </w:tr>
      <w:tr w:rsidTr="006126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F067E" w:rsidP="001F067E">
            <w:pPr>
              <w:pStyle w:val="BodyText"/>
            </w:pPr>
            <w:r w:rsidRPr="001F067E">
              <w:t>Before the critical aspects of evidence are considered all prerequisites shall be met.</w:t>
            </w:r>
          </w:p>
          <w:p w:rsidR="00000000" w:rsidRPr="001F067E" w:rsidP="001F067E">
            <w:pPr>
              <w:pStyle w:val="BodyText"/>
            </w:pPr>
            <w:r w:rsidRPr="001F067E">
              <w:t>Evidence for competence in this unit shall</w:t>
            </w:r>
            <w:r w:rsidRPr="001F067E">
              <w:t xml:space="preserve"> be considered holistically.  Each Element and associated performance criteria shall be demonstrated on at least two occasions in accordance with the ‘Assessment Guidelines – UEE11’.  Evidence shall also comprise:</w:t>
            </w:r>
          </w:p>
          <w:p w:rsidR="00000000" w:rsidRPr="001F067E" w:rsidP="001F067E">
            <w:pPr>
              <w:pStyle w:val="ListBullet"/>
            </w:pPr>
            <w:r w:rsidRPr="001F067E">
              <w:t>A representative body of work performance</w:t>
            </w:r>
            <w:r w:rsidRPr="001F067E">
              <w:t xml:space="preserve"> demonstrated within the timeframes typically expected of the discipline, work function and industrial environment. In particular this shall incorporate evidence that shows a candidate is able to:</w:t>
            </w:r>
          </w:p>
          <w:p w:rsidR="00000000" w:rsidRPr="001F067E" w:rsidP="001F067E">
            <w:pPr>
              <w:pStyle w:val="ListBullet2"/>
            </w:pPr>
            <w:r w:rsidRPr="001F067E">
              <w:t>Implement Occupational Health and Safety workplace procedures and practices, including the use of risk control measures as specified in the performance criteria and range statement</w:t>
            </w:r>
          </w:p>
          <w:p w:rsidR="00000000" w:rsidRPr="001F067E" w:rsidP="001F067E">
            <w:pPr>
              <w:pStyle w:val="ListBullet2"/>
            </w:pPr>
            <w:r w:rsidRPr="001F067E">
              <w:t>Apply sustainable energy principles and practices as specified in the perfo</w:t>
            </w:r>
            <w:r w:rsidRPr="001F067E">
              <w:t>rmance criteria and range statement</w:t>
            </w:r>
          </w:p>
          <w:p w:rsidR="00000000" w:rsidRPr="001F067E" w:rsidP="001F067E">
            <w:pPr>
              <w:pStyle w:val="ListBullet2"/>
            </w:pPr>
            <w:r w:rsidRPr="001F067E">
              <w:t>Demonstrate an understanding of the essential knowledge and associated skills as described in this unit.  It may be required by some jurisdictions that RTOs provide a percentile graded result for the purpose of regulator</w:t>
            </w:r>
            <w:r w:rsidRPr="001F067E">
              <w:t>y or licensing requirements.</w:t>
            </w:r>
          </w:p>
          <w:p w:rsidR="00000000" w:rsidRPr="001F067E" w:rsidP="001F067E">
            <w:pPr>
              <w:pStyle w:val="ListBullet2"/>
            </w:pPr>
            <w:r w:rsidRPr="001F067E">
              <w:t>Demonstrate an appropriate level of skills enabling employment</w:t>
            </w:r>
          </w:p>
          <w:p w:rsidR="00000000" w:rsidRPr="001F067E" w:rsidP="001F067E">
            <w:pPr>
              <w:pStyle w:val="ListBullet2"/>
            </w:pPr>
            <w:r w:rsidRPr="001F067E">
              <w:t>Conduct work observing the relevant Anti Discrimination legislation, regulations, polices and workplace procedures</w:t>
            </w:r>
          </w:p>
          <w:p w:rsidR="00000000" w:rsidRPr="001F067E" w:rsidP="001F067E">
            <w:pPr>
              <w:pStyle w:val="ListBullet"/>
            </w:pPr>
            <w:r w:rsidRPr="001F067E">
              <w:t>Demonstrated consistent performance across a rep</w:t>
            </w:r>
            <w:r w:rsidRPr="001F067E">
              <w:t>resentative range of contexts from the prescribed items below:</w:t>
            </w:r>
          </w:p>
          <w:p w:rsidR="00000000" w:rsidRPr="001F067E" w:rsidP="001F067E">
            <w:pPr>
              <w:pStyle w:val="ListBullet2"/>
            </w:pPr>
            <w:r w:rsidRPr="001F067E">
              <w:t>Find and repair faults in audio/video recording equipment as described in 8) and including:</w:t>
            </w:r>
          </w:p>
          <w:p w:rsidR="00000000" w:rsidRPr="001F067E" w:rsidP="001F067E">
            <w:pPr>
              <w:pStyle w:val="ListAlpha2"/>
            </w:pPr>
            <w:r w:rsidRPr="001F067E">
              <w:t>Using methodical fault finding techniques.</w:t>
            </w:r>
          </w:p>
          <w:p w:rsidR="00000000" w:rsidRPr="001F067E" w:rsidP="001F067E">
            <w:pPr>
              <w:pStyle w:val="ListAlpha2"/>
            </w:pPr>
            <w:r w:rsidRPr="001F067E">
              <w:t>Finding faults efficiently.</w:t>
            </w:r>
          </w:p>
          <w:p w:rsidR="00000000" w:rsidRPr="001F067E" w:rsidP="001F067E">
            <w:pPr>
              <w:pStyle w:val="ListAlpha2"/>
            </w:pPr>
            <w:r w:rsidRPr="001F067E">
              <w:t>Replacing components without damage.</w:t>
            </w:r>
          </w:p>
          <w:p w:rsidR="00000000" w:rsidRPr="001F067E" w:rsidP="001F067E">
            <w:pPr>
              <w:pStyle w:val="ListAlpha2"/>
            </w:pPr>
            <w:r w:rsidRPr="001F067E">
              <w:t>Providing written justification for the repairs..</w:t>
            </w:r>
          </w:p>
          <w:p w:rsidR="00000000" w:rsidRPr="001F067E" w:rsidP="001F067E">
            <w:pPr>
              <w:pStyle w:val="ListAlpha2"/>
            </w:pPr>
            <w:r w:rsidRPr="001F067E">
              <w:t>Dealing with unplanned events by drawing on essential knowledge and skills to provide appropriate solutions incorporated in a holistic assessment with the above listed i</w:t>
            </w:r>
            <w:r w:rsidRPr="001F067E">
              <w:t>tems.</w:t>
            </w:r>
          </w:p>
          <w:p w:rsidR="00000000" w:rsidRPr="001F067E" w:rsidP="001F067E">
            <w:pPr>
              <w:pStyle w:val="BodyText"/>
            </w:pPr>
            <w:r w:rsidRPr="001F067E">
              <w:t>Note:</w:t>
            </w:r>
          </w:p>
          <w:p w:rsidR="00000000" w:rsidRPr="001F067E" w:rsidP="001F067E">
            <w:pPr>
              <w:pStyle w:val="BodyText"/>
            </w:pPr>
            <w:r w:rsidRPr="001F067E">
              <w:t xml:space="preserve">Successful completion of relevant vendor training may be used to contribute to evidence on which competency is deemed. In these cases the alignment of outcomes of vendor training with performance criteria and critical aspects of evidence shall </w:t>
            </w:r>
            <w:r w:rsidRPr="001F067E">
              <w:t>be clearly identified.</w:t>
            </w:r>
          </w:p>
        </w:tc>
      </w:tr>
    </w:tbl>
    <w:p w:rsidR="00000000" w:rsidRPr="001F067E" w:rsidP="001F067E">
      <w:pPr>
        <w:pStyle w:val="BodyText"/>
      </w:pPr>
    </w:p>
    <w:tbl>
      <w:tblPr>
        <w:tblW w:w="0" w:type="auto"/>
        <w:tblLayout w:type="fixed"/>
        <w:tblCellMar>
          <w:left w:w="62" w:type="dxa"/>
          <w:right w:w="62" w:type="dxa"/>
        </w:tblCellMar>
        <w:tblLook w:val="0000"/>
      </w:tblPr>
      <w:tblGrid>
        <w:gridCol w:w="1890"/>
        <w:gridCol w:w="6570"/>
      </w:tblGrid>
      <w:tr w:rsidTr="006126C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F067E" w:rsidP="001F067E">
            <w:pPr>
              <w:pStyle w:val="BodyText"/>
            </w:pPr>
            <w:r w:rsidRPr="001F067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rPr>
                <w:rStyle w:val="SpecialBold"/>
              </w:rPr>
              <w:t>9.3)</w:t>
            </w:r>
          </w:p>
        </w:tc>
      </w:tr>
      <w:tr w:rsidTr="006126C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F067E" w:rsidP="001F067E">
            <w:pPr>
              <w:pStyle w:val="BodyText"/>
            </w:pPr>
            <w:r w:rsidRPr="001F067E">
              <w:t>This unit should be assessed as it relates to normal work practice using procedures, information and resources typical of a workplace. This should include:</w:t>
            </w:r>
          </w:p>
          <w:p w:rsidR="00000000" w:rsidRPr="001F067E" w:rsidP="001F067E">
            <w:pPr>
              <w:pStyle w:val="ListBullet"/>
            </w:pPr>
            <w:r w:rsidRPr="001F067E">
              <w:t>OHS policy and work procedures and instructions.</w:t>
            </w:r>
          </w:p>
          <w:p w:rsidR="00000000" w:rsidRPr="001F067E" w:rsidP="001F067E">
            <w:pPr>
              <w:pStyle w:val="ListBullet"/>
            </w:pPr>
            <w:r w:rsidRPr="001F067E">
              <w:t>Suitable work environment, facilities, equipment and materials to undertake actual work as prescribed by this unit.</w:t>
            </w:r>
          </w:p>
          <w:p w:rsidR="00000000" w:rsidRPr="001F067E" w:rsidP="001F067E">
            <w:pPr>
              <w:pStyle w:val="BodyText"/>
            </w:pPr>
            <w:r w:rsidRPr="001F067E">
              <w:t>These should be part of the formal learning/assessment environment.</w:t>
            </w:r>
          </w:p>
          <w:p w:rsidR="00000000" w:rsidRPr="001F067E" w:rsidP="001F067E">
            <w:pPr>
              <w:pStyle w:val="BodyText"/>
            </w:pPr>
            <w:r w:rsidRPr="001F067E">
              <w:t>Note:</w:t>
            </w:r>
          </w:p>
          <w:p w:rsidR="00000000" w:rsidRPr="001F067E" w:rsidP="001F067E">
            <w:pPr>
              <w:pStyle w:val="BodyText"/>
            </w:pPr>
            <w:r w:rsidRPr="001F067E">
              <w:t xml:space="preserve">Where simulation </w:t>
            </w:r>
            <w:r w:rsidRPr="001F067E">
              <w:t>is considered a suitable strategy for assessment, conditions must be authentic and as far as possible reproduce and replicate the workplace and be consistent with the approved industry simulation policy.</w:t>
            </w:r>
          </w:p>
          <w:p w:rsidR="00000000" w:rsidRPr="001F067E" w:rsidP="001F067E">
            <w:pPr>
              <w:pStyle w:val="BodyText"/>
            </w:pPr>
            <w:r w:rsidRPr="001F067E">
              <w:t>The resources used for assessment should reflect cur</w:t>
            </w:r>
            <w:r w:rsidRPr="001F067E">
              <w:t>rent industry practices in relation to finding and repairing faults in audio/video recording equipment.</w:t>
            </w:r>
          </w:p>
        </w:tc>
      </w:tr>
    </w:tbl>
    <w:p w:rsidR="00000000" w:rsidRPr="001F067E" w:rsidP="001F067E">
      <w:pPr>
        <w:pStyle w:val="BodyText"/>
      </w:pPr>
    </w:p>
    <w:tbl>
      <w:tblPr>
        <w:tblW w:w="0" w:type="auto"/>
        <w:tblLayout w:type="fixed"/>
        <w:tblCellMar>
          <w:left w:w="62" w:type="dxa"/>
          <w:right w:w="62" w:type="dxa"/>
        </w:tblCellMar>
        <w:tblLook w:val="0000"/>
      </w:tblPr>
      <w:tblGrid>
        <w:gridCol w:w="1890"/>
        <w:gridCol w:w="6570"/>
      </w:tblGrid>
      <w:tr w:rsidTr="006126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F067E" w:rsidP="001F067E">
            <w:pPr>
              <w:pStyle w:val="BodyText"/>
            </w:pPr>
            <w:r w:rsidRPr="001F067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rPr>
                <w:rStyle w:val="SpecialBold"/>
              </w:rPr>
              <w:t>9.4)</w:t>
            </w:r>
          </w:p>
        </w:tc>
      </w:tr>
      <w:tr w:rsidTr="006126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F067E" w:rsidP="001F067E">
            <w:pPr>
              <w:pStyle w:val="BodyText"/>
            </w:pPr>
            <w:r w:rsidRPr="001F067E">
              <w:t>This unit shall be assessed by methods given in Volume 1, Part 3 ‘Assessment Guidelines’.</w:t>
            </w:r>
          </w:p>
          <w:p w:rsidR="00000000" w:rsidRPr="001F067E" w:rsidP="001F067E">
            <w:pPr>
              <w:pStyle w:val="BodyText"/>
            </w:pPr>
            <w:r w:rsidRPr="001F067E">
              <w:t>Note:</w:t>
            </w:r>
          </w:p>
          <w:p w:rsidR="00000000" w:rsidRPr="001F067E" w:rsidP="001F067E">
            <w:pPr>
              <w:pStyle w:val="BodyText"/>
            </w:pPr>
            <w:r w:rsidRPr="001F067E">
              <w:t>Competent performance with inherent safe working practices is expected in the industry to which this unit applies. This requires that the specified essential knowledge and associated skills are assessed in a structured environment which is primarily intend</w:t>
            </w:r>
            <w:r w:rsidRPr="001F067E">
              <w:t>ed for learning/assessment and incorporates all necessary equipment and facilities for learners to develop and demonstrate the essential knowledge and skills described in this unit.</w:t>
            </w:r>
          </w:p>
        </w:tc>
      </w:tr>
    </w:tbl>
    <w:p w:rsidR="00000000" w:rsidRPr="001F067E" w:rsidP="001F067E">
      <w:pPr>
        <w:pStyle w:val="BodyText"/>
      </w:pPr>
    </w:p>
    <w:tbl>
      <w:tblPr>
        <w:tblW w:w="0" w:type="auto"/>
        <w:tblLayout w:type="fixed"/>
        <w:tblCellMar>
          <w:left w:w="62" w:type="dxa"/>
          <w:right w:w="62" w:type="dxa"/>
        </w:tblCellMar>
        <w:tblLook w:val="0000"/>
      </w:tblPr>
      <w:tblGrid>
        <w:gridCol w:w="1890"/>
        <w:gridCol w:w="6570"/>
      </w:tblGrid>
      <w:tr w:rsidTr="006126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F067E" w:rsidP="001F067E">
            <w:pPr>
              <w:pStyle w:val="BodyText"/>
            </w:pPr>
            <w:r w:rsidRPr="001F067E">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rPr>
                <w:rStyle w:val="SpecialBold"/>
              </w:rPr>
              <w:t>9.5)</w:t>
            </w:r>
          </w:p>
        </w:tc>
      </w:tr>
      <w:tr w:rsidTr="006126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F067E" w:rsidP="001F067E">
            <w:pPr>
              <w:pStyle w:val="BodyText"/>
            </w:pPr>
            <w:r w:rsidRPr="001F067E">
              <w:t>There are</w:t>
            </w:r>
            <w:r w:rsidRPr="001F067E">
              <w:t xml:space="preserve"> no concurrent assessment recommendations for this unit.</w:t>
            </w:r>
          </w:p>
          <w:p w:rsidR="00000000" w:rsidRPr="001F067E" w:rsidP="001F067E">
            <w:pPr>
              <w:pStyle w:val="BodyText"/>
            </w:pPr>
          </w:p>
          <w:p w:rsidR="00000000" w:rsidRPr="001F067E" w:rsidP="001F067E">
            <w:pPr>
              <w:pStyle w:val="BodyText"/>
            </w:pPr>
            <w:r w:rsidRPr="001F067E">
              <w:t>The critical aspects of occupational health and safety covered in unit UEENEEE101A and other discipline specific occupational health and safety units shall be incorporated in relation to this unit.</w:t>
            </w:r>
          </w:p>
        </w:tc>
      </w:tr>
    </w:tbl>
    <w:p w:rsidR="00000000" w:rsidRPr="001F067E" w:rsidP="001F067E">
      <w:pPr>
        <w:pStyle w:val="BodyText"/>
      </w:pPr>
    </w:p>
    <w:p w:rsidR="00000000" w:rsidRPr="001F067E" w:rsidP="001F067E">
      <w:pPr>
        <w:pStyle w:val="AllowPageBreak"/>
      </w:pPr>
    </w:p>
    <w:p w:rsidR="00000000" w:rsidRPr="001F067E" w:rsidP="001F067E">
      <w:pPr>
        <w:pStyle w:val="Heading1"/>
      </w:pPr>
      <w:bookmarkStart w:id="11" w:name="O_588373"/>
      <w:bookmarkEnd w:id="11"/>
      <w:r w:rsidRPr="001F067E">
        <w:t>Range Statement</w:t>
      </w:r>
    </w:p>
    <w:tbl>
      <w:tblPr>
        <w:tblW w:w="0" w:type="auto"/>
        <w:tblLayout w:type="fixed"/>
        <w:tblCellMar>
          <w:left w:w="62" w:type="dxa"/>
          <w:right w:w="62" w:type="dxa"/>
        </w:tblCellMar>
        <w:tblLook w:val="0000"/>
      </w:tblPr>
      <w:tblGrid>
        <w:gridCol w:w="8460"/>
      </w:tblGrid>
      <w:tr w:rsidTr="006126C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rPr>
                <w:rStyle w:val="SpecialBold"/>
              </w:rPr>
              <w:t>RANGE STATEMENT</w:t>
            </w:r>
          </w:p>
        </w:tc>
      </w:tr>
      <w:tr w:rsidTr="006126C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F067E" w:rsidP="001F067E">
            <w:pPr>
              <w:pStyle w:val="BodyText"/>
            </w:pPr>
            <w:r w:rsidRPr="001F067E">
              <w:rPr>
                <w:rStyle w:val="SpecialBold"/>
              </w:rPr>
              <w:t>10)</w:t>
            </w:r>
            <w:r w:rsidRPr="001F067E">
              <w:t xml:space="preserve">  This relates to the unit as a whole providing the range of contexts and conditions to which the performance criteria apply. It allows for different work environments and situations that will affect p</w:t>
            </w:r>
            <w:r w:rsidRPr="001F067E">
              <w:t>erformance.</w:t>
            </w:r>
          </w:p>
          <w:p w:rsidR="00000000" w:rsidRPr="001F067E" w:rsidP="001F067E">
            <w:pPr>
              <w:pStyle w:val="BodyText"/>
            </w:pPr>
            <w:r w:rsidRPr="001F067E">
              <w:t>This unit shall be demonstrated using a representative range of audio/video recording equipment faults in finding and repairing four different faults in two different audio/video recording and replay components.</w:t>
            </w:r>
          </w:p>
          <w:p w:rsidR="00000000" w:rsidRPr="001F067E" w:rsidP="001F067E">
            <w:pPr>
              <w:pStyle w:val="BodyText"/>
            </w:pPr>
            <w:r w:rsidRPr="001F067E">
              <w:t>Generic terms used throughout th</w:t>
            </w:r>
            <w:r w:rsidRPr="001F067E">
              <w:t>is Vocational Standard shall be regarded as part of the Range Statement in which competency is demonstrated. The definition of these and other terms that apply are given in Volume 2, Part 2.1.</w:t>
            </w:r>
          </w:p>
        </w:tc>
      </w:tr>
    </w:tbl>
    <w:p w:rsidR="00000000" w:rsidRPr="001F067E" w:rsidP="001F067E">
      <w:pPr>
        <w:pStyle w:val="BodyText"/>
      </w:pPr>
    </w:p>
    <w:p w:rsidR="00000000" w:rsidRPr="001F067E" w:rsidP="001F067E">
      <w:pPr>
        <w:pStyle w:val="AllowPageBreak"/>
      </w:pPr>
    </w:p>
    <w:p w:rsidR="00000000" w:rsidRPr="001F067E" w:rsidP="001F067E">
      <w:pPr>
        <w:pStyle w:val="Heading1"/>
      </w:pPr>
      <w:bookmarkStart w:id="12" w:name="O_588372"/>
      <w:bookmarkEnd w:id="12"/>
      <w:r w:rsidRPr="001F067E">
        <w:t>Unit Sector(s)</w:t>
      </w:r>
    </w:p>
    <w:p w:rsidR="00000000" w:rsidRPr="001F067E" w:rsidP="001F067E">
      <w:pPr>
        <w:pStyle w:val="BodyText"/>
      </w:pPr>
      <w:r w:rsidRPr="001F067E">
        <w:t>Not applicable.</w:t>
      </w:r>
    </w:p>
    <w:p w:rsidR="00000000" w:rsidRPr="001F067E" w:rsidP="001F067E">
      <w:pPr>
        <w:pStyle w:val="AllowPageBreak"/>
      </w:pPr>
    </w:p>
    <w:p w:rsidR="00000000" w:rsidRPr="001F067E" w:rsidP="001F067E">
      <w:pPr>
        <w:pStyle w:val="Heading1"/>
      </w:pPr>
      <w:bookmarkStart w:id="13" w:name="O_588371"/>
      <w:bookmarkEnd w:id="13"/>
      <w:r w:rsidRPr="001F067E">
        <w:t>Competency Field</w:t>
      </w:r>
    </w:p>
    <w:tbl>
      <w:tblPr>
        <w:tblW w:w="0" w:type="auto"/>
        <w:tblLayout w:type="fixed"/>
        <w:tblCellMar>
          <w:left w:w="62" w:type="dxa"/>
          <w:right w:w="62" w:type="dxa"/>
        </w:tblCellMar>
        <w:tblLook w:val="0000"/>
      </w:tblPr>
      <w:tblGrid>
        <w:gridCol w:w="2700"/>
        <w:gridCol w:w="5760"/>
      </w:tblGrid>
      <w:tr w:rsidTr="006126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F067E" w:rsidP="001F067E">
            <w:pPr>
              <w:pStyle w:val="BodyText"/>
            </w:pPr>
            <w:r w:rsidRPr="001F067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F067E">
            <w:pPr>
              <w:pStyle w:val="BodyText"/>
              <w:rPr>
                <w:lang w:val="en-NZ"/>
              </w:rPr>
            </w:pPr>
            <w:r w:rsidRPr="001F067E">
              <w:rPr>
                <w:rStyle w:val="SpecialBold"/>
              </w:rPr>
              <w:t xml:space="preserve">11) </w:t>
            </w:r>
          </w:p>
        </w:tc>
      </w:tr>
      <w:tr w:rsidTr="006126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F067E" w:rsidP="001F067E">
            <w:pPr>
              <w:pStyle w:val="BodyText"/>
            </w:pPr>
            <w:r w:rsidRPr="001F067E">
              <w:t>Electronics</w:t>
            </w:r>
          </w:p>
        </w:tc>
      </w:tr>
    </w:tbl>
    <w:p w:rsidR="00000000" w:rsidRPr="001F067E" w:rsidP="001F067E">
      <w:pPr>
        <w:pStyle w:val="BodyText"/>
      </w:pPr>
    </w:p>
    <w:p w:rsidR="00000000" w:rsidRPr="001F067E" w:rsidP="001F067E"/>
    <w:sectPr w:rsidSect="001F06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6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67E" w:rsidRPr="006126CA" w:rsidP="006126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6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6CA" w:rsidP="001F06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126CA" w:rsidP="001F067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6126CA" w:rsidP="001F06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6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67E" w:rsidRPr="006126CA" w:rsidP="006126C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6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6CA" w:rsidRPr="002D2AF8" w:rsidP="001F067E">
    <w:pPr>
      <w:pStyle w:val="Header"/>
      <w:framePr w:wrap="around"/>
    </w:pPr>
    <w:r>
      <w:fldChar w:fldCharType="begin"/>
    </w:r>
    <w:r>
      <w:instrText xml:space="preserve"> TITLE   \* MERGEFORMAT </w:instrText>
    </w:r>
    <w:r>
      <w:fldChar w:fldCharType="separate"/>
    </w:r>
    <w:r>
      <w:t>UEENEEH174A Troubleshoot audio - video recording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6126CA" w:rsidP="001F06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908D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164C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A8B7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3B363DC"/>
    <w:multiLevelType w:val="multilevel"/>
    <w:tmpl w:val="6518DB6E"/>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1"/>
  </w:num>
  <w:num w:numId="10">
    <w:abstractNumId w:val="16"/>
  </w:num>
  <w:num w:numId="11">
    <w:abstractNumId w:val="14"/>
  </w:num>
  <w:num w:numId="12">
    <w:abstractNumId w:val="9"/>
  </w:num>
  <w:num w:numId="13">
    <w:abstractNumId w:val="13"/>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6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067E"/>
    <w:pPr>
      <w:spacing w:before="360" w:after="60"/>
      <w:outlineLvl w:val="0"/>
    </w:pPr>
    <w:rPr>
      <w:sz w:val="32"/>
    </w:rPr>
  </w:style>
  <w:style w:type="paragraph" w:styleId="Heading2">
    <w:name w:val="heading 2"/>
    <w:basedOn w:val="HeadingBase"/>
    <w:next w:val="BodyText"/>
    <w:link w:val="Heading2Char"/>
    <w:qFormat/>
    <w:rsid w:val="001F067E"/>
    <w:pPr>
      <w:keepLines/>
      <w:spacing w:before="240" w:after="120"/>
      <w:outlineLvl w:val="1"/>
    </w:pPr>
    <w:rPr>
      <w:sz w:val="28"/>
      <w:szCs w:val="40"/>
    </w:rPr>
  </w:style>
  <w:style w:type="paragraph" w:styleId="Heading3">
    <w:name w:val="heading 3"/>
    <w:basedOn w:val="HeadingBase"/>
    <w:next w:val="BodyText"/>
    <w:link w:val="Heading3Char"/>
    <w:qFormat/>
    <w:rsid w:val="001F067E"/>
    <w:pPr>
      <w:spacing w:before="180" w:after="120"/>
      <w:outlineLvl w:val="2"/>
    </w:pPr>
    <w:rPr>
      <w:spacing w:val="-10"/>
      <w:kern w:val="32"/>
    </w:rPr>
  </w:style>
  <w:style w:type="paragraph" w:styleId="Heading4">
    <w:name w:val="heading 4"/>
    <w:basedOn w:val="HeadingBase"/>
    <w:next w:val="BodyText"/>
    <w:link w:val="Heading4Char"/>
    <w:qFormat/>
    <w:rsid w:val="001F067E"/>
    <w:pPr>
      <w:spacing w:before="160" w:after="120"/>
      <w:outlineLvl w:val="3"/>
    </w:pPr>
    <w:rPr>
      <w:sz w:val="22"/>
    </w:rPr>
  </w:style>
  <w:style w:type="paragraph" w:styleId="Heading5">
    <w:name w:val="heading 5"/>
    <w:basedOn w:val="HeadingBase"/>
    <w:next w:val="Normal"/>
    <w:link w:val="Heading5Char"/>
    <w:qFormat/>
    <w:rsid w:val="001F067E"/>
    <w:pPr>
      <w:spacing w:before="80"/>
      <w:outlineLvl w:val="4"/>
    </w:pPr>
    <w:rPr>
      <w:color w:val="918585"/>
      <w:sz w:val="20"/>
    </w:rPr>
  </w:style>
  <w:style w:type="paragraph" w:styleId="Heading6">
    <w:name w:val="heading 6"/>
    <w:basedOn w:val="HeadingBase"/>
    <w:next w:val="Normal"/>
    <w:link w:val="Heading6Char"/>
    <w:qFormat/>
    <w:rsid w:val="001F067E"/>
    <w:pPr>
      <w:spacing w:before="60"/>
      <w:outlineLvl w:val="5"/>
    </w:pPr>
    <w:rPr>
      <w:color w:val="918585"/>
      <w:sz w:val="20"/>
    </w:rPr>
  </w:style>
  <w:style w:type="paragraph" w:styleId="Heading7">
    <w:name w:val="heading 7"/>
    <w:basedOn w:val="Normal"/>
    <w:next w:val="Normal"/>
    <w:link w:val="Heading7Char"/>
    <w:qFormat/>
    <w:rsid w:val="001F067E"/>
    <w:pPr>
      <w:ind w:left="720"/>
      <w:outlineLvl w:val="6"/>
    </w:pPr>
    <w:rPr>
      <w:i/>
    </w:rPr>
  </w:style>
  <w:style w:type="paragraph" w:styleId="Heading8">
    <w:name w:val="heading 8"/>
    <w:basedOn w:val="Normal"/>
    <w:next w:val="Normal"/>
    <w:link w:val="Heading8Char"/>
    <w:qFormat/>
    <w:rsid w:val="001F067E"/>
    <w:pPr>
      <w:ind w:left="720"/>
      <w:outlineLvl w:val="7"/>
    </w:pPr>
    <w:rPr>
      <w:i/>
    </w:rPr>
  </w:style>
  <w:style w:type="paragraph" w:styleId="Heading9">
    <w:name w:val="heading 9"/>
    <w:basedOn w:val="Normal"/>
    <w:next w:val="Normal"/>
    <w:link w:val="Heading9Char"/>
    <w:qFormat/>
    <w:rsid w:val="001F067E"/>
    <w:pPr>
      <w:ind w:left="720"/>
      <w:outlineLvl w:val="8"/>
    </w:pPr>
    <w:rPr>
      <w:i/>
    </w:rPr>
  </w:style>
  <w:style w:type="character" w:default="1" w:styleId="DefaultParagraphFont">
    <w:name w:val="Default Paragraph Font"/>
    <w:uiPriority w:val="1"/>
    <w:unhideWhenUsed/>
    <w:rsid w:val="001F06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067E"/>
  </w:style>
  <w:style w:type="character" w:customStyle="1" w:styleId="Heading1Char">
    <w:name w:val="Heading 1 Char"/>
    <w:basedOn w:val="DefaultParagraphFont"/>
    <w:link w:val="Heading1"/>
    <w:rsid w:val="001F067E"/>
    <w:rPr>
      <w:rFonts w:ascii="Times New Roman" w:eastAsia="Times New Roman" w:hAnsi="Times New Roman" w:cs="Times New Roman"/>
      <w:b/>
      <w:sz w:val="32"/>
      <w:szCs w:val="20"/>
      <w:lang w:eastAsia="en-US"/>
    </w:rPr>
  </w:style>
  <w:style w:type="paragraph" w:styleId="BodyText">
    <w:name w:val="Body Text"/>
    <w:basedOn w:val="Normal"/>
    <w:link w:val="BodyTextChar"/>
    <w:rsid w:val="001F06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067E"/>
    <w:rPr>
      <w:rFonts w:ascii="Times New Roman" w:eastAsia="Times New Roman" w:hAnsi="Times New Roman" w:cs="Times New Roman"/>
      <w:sz w:val="24"/>
      <w:lang w:eastAsia="en-US"/>
    </w:rPr>
  </w:style>
  <w:style w:type="paragraph" w:styleId="ListBullet">
    <w:name w:val="List Bullet"/>
    <w:basedOn w:val="List"/>
    <w:rsid w:val="001F067E"/>
    <w:pPr>
      <w:numPr>
        <w:numId w:val="13"/>
      </w:numPr>
      <w:tabs>
        <w:tab w:val="clear" w:pos="340"/>
      </w:tabs>
      <w:spacing w:before="40" w:after="40"/>
    </w:pPr>
  </w:style>
  <w:style w:type="character" w:customStyle="1" w:styleId="SpecialBold">
    <w:name w:val="Special Bold"/>
    <w:basedOn w:val="DefaultParagraphFont"/>
    <w:rsid w:val="001F067E"/>
    <w:rPr>
      <w:b/>
      <w:spacing w:val="0"/>
    </w:rPr>
  </w:style>
  <w:style w:type="paragraph" w:styleId="ListBullet2">
    <w:name w:val="List Bullet 2"/>
    <w:basedOn w:val="List2"/>
    <w:rsid w:val="001F067E"/>
    <w:pPr>
      <w:numPr>
        <w:numId w:val="14"/>
      </w:numPr>
      <w:tabs>
        <w:tab w:val="clear" w:pos="680"/>
      </w:tabs>
    </w:pPr>
  </w:style>
  <w:style w:type="paragraph" w:customStyle="1" w:styleId="SuperHeading">
    <w:name w:val="SuperHeading"/>
    <w:basedOn w:val="Normal"/>
    <w:rsid w:val="001F067E"/>
    <w:pPr>
      <w:spacing w:before="240" w:after="120"/>
      <w:outlineLvl w:val="0"/>
    </w:pPr>
    <w:rPr>
      <w:rFonts w:ascii="Times New Roman" w:hAnsi="Times New Roman"/>
      <w:b/>
      <w:sz w:val="32"/>
    </w:rPr>
  </w:style>
  <w:style w:type="paragraph" w:customStyle="1" w:styleId="AllowPageBreak">
    <w:name w:val="AllowPageBreak"/>
    <w:rsid w:val="001F067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1F067E"/>
    <w:pPr>
      <w:numPr>
        <w:numId w:val="8"/>
      </w:numPr>
    </w:pPr>
  </w:style>
  <w:style w:type="character" w:customStyle="1" w:styleId="Heading2Char">
    <w:name w:val="Heading 2 Char"/>
    <w:basedOn w:val="DefaultParagraphFont"/>
    <w:link w:val="Heading2"/>
    <w:rsid w:val="001F06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06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06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06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06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06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06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067E"/>
    <w:rPr>
      <w:rFonts w:ascii="Courier New" w:eastAsia="Times New Roman" w:hAnsi="Courier New" w:cs="Times New Roman"/>
      <w:i/>
      <w:szCs w:val="20"/>
      <w:lang w:eastAsia="en-US"/>
    </w:rPr>
  </w:style>
  <w:style w:type="paragraph" w:customStyle="1" w:styleId="HeadingBase">
    <w:name w:val="Heading Base"/>
    <w:rsid w:val="001F06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067E"/>
    <w:pPr>
      <w:tabs>
        <w:tab w:val="right" w:leader="dot" w:pos="9072"/>
      </w:tabs>
      <w:ind w:left="567"/>
    </w:pPr>
    <w:rPr>
      <w:szCs w:val="22"/>
    </w:rPr>
  </w:style>
  <w:style w:type="paragraph" w:customStyle="1" w:styleId="TOCBase">
    <w:name w:val="TOC Base"/>
    <w:rsid w:val="001F06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067E"/>
    <w:pPr>
      <w:tabs>
        <w:tab w:val="right" w:leader="dot" w:pos="9072"/>
      </w:tabs>
      <w:spacing w:before="40" w:after="40"/>
      <w:ind w:left="284"/>
    </w:pPr>
    <w:rPr>
      <w:rFonts w:ascii="Times New Roman" w:hAnsi="Times New Roman"/>
    </w:rPr>
  </w:style>
  <w:style w:type="paragraph" w:styleId="TOC1">
    <w:name w:val="toc 1"/>
    <w:basedOn w:val="TOCBase"/>
    <w:next w:val="Normal"/>
    <w:rsid w:val="001F06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06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067E"/>
    <w:rPr>
      <w:rFonts w:ascii="Times New Roman" w:eastAsia="Times New Roman" w:hAnsi="Times New Roman" w:cs="Times New Roman"/>
      <w:sz w:val="16"/>
      <w:lang w:eastAsia="en-US"/>
    </w:rPr>
  </w:style>
  <w:style w:type="paragraph" w:styleId="Title">
    <w:name w:val="Title"/>
    <w:basedOn w:val="HeadingBase"/>
    <w:link w:val="TitleChar"/>
    <w:qFormat/>
    <w:rsid w:val="001F067E"/>
    <w:pPr>
      <w:spacing w:before="5040"/>
      <w:jc w:val="center"/>
    </w:pPr>
    <w:rPr>
      <w:sz w:val="48"/>
      <w:szCs w:val="72"/>
      <w:lang w:val="en-US"/>
    </w:rPr>
  </w:style>
  <w:style w:type="character" w:customStyle="1" w:styleId="TitleChar">
    <w:name w:val="Title Char"/>
    <w:basedOn w:val="DefaultParagraphFont"/>
    <w:link w:val="Title"/>
    <w:rsid w:val="001F06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067E"/>
    <w:pPr>
      <w:tabs>
        <w:tab w:val="left" w:pos="3600"/>
        <w:tab w:val="left" w:pos="3958"/>
      </w:tabs>
    </w:pPr>
  </w:style>
  <w:style w:type="paragraph" w:styleId="List">
    <w:name w:val="List"/>
    <w:basedOn w:val="BodyText"/>
    <w:next w:val="BodyText"/>
    <w:rsid w:val="001F067E"/>
    <w:pPr>
      <w:tabs>
        <w:tab w:val="left" w:pos="340"/>
      </w:tabs>
      <w:spacing w:before="60" w:after="60"/>
      <w:ind w:left="340" w:hanging="340"/>
    </w:pPr>
  </w:style>
  <w:style w:type="paragraph" w:customStyle="1" w:styleId="Note">
    <w:name w:val="Note"/>
    <w:basedOn w:val="BodyText"/>
    <w:rsid w:val="001F06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067E"/>
    <w:pPr>
      <w:framePr w:wrap="auto" w:hAnchor="text" w:y="6049"/>
    </w:pPr>
    <w:rPr>
      <w:color w:val="000000"/>
      <w:sz w:val="40"/>
    </w:rPr>
  </w:style>
  <w:style w:type="paragraph" w:customStyle="1" w:styleId="TOCTitle">
    <w:name w:val="TOCTitle"/>
    <w:basedOn w:val="Heading1"/>
    <w:rsid w:val="001F067E"/>
    <w:pPr>
      <w:spacing w:after="240"/>
      <w:jc w:val="center"/>
      <w:outlineLvl w:val="9"/>
    </w:pPr>
    <w:rPr>
      <w:caps/>
    </w:rPr>
  </w:style>
  <w:style w:type="paragraph" w:customStyle="1" w:styleId="Version">
    <w:name w:val="Version"/>
    <w:rsid w:val="001F06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067E"/>
    <w:pPr>
      <w:keepNext w:val="0"/>
      <w:tabs>
        <w:tab w:val="right" w:pos="4176"/>
      </w:tabs>
      <w:ind w:left="198" w:hanging="198"/>
    </w:pPr>
    <w:rPr>
      <w:rFonts w:ascii="Garamond" w:hAnsi="Garamond"/>
    </w:rPr>
  </w:style>
  <w:style w:type="paragraph" w:styleId="IndexHeading">
    <w:name w:val="index heading"/>
    <w:basedOn w:val="Normal"/>
    <w:next w:val="Index1"/>
    <w:semiHidden/>
    <w:rsid w:val="001F067E"/>
    <w:pPr>
      <w:spacing w:before="120" w:after="120"/>
    </w:pPr>
    <w:rPr>
      <w:rFonts w:ascii="Arial" w:hAnsi="Arial"/>
      <w:b/>
      <w:color w:val="918585"/>
      <w:sz w:val="24"/>
    </w:rPr>
  </w:style>
  <w:style w:type="paragraph" w:styleId="Header">
    <w:name w:val="header"/>
    <w:basedOn w:val="Normal"/>
    <w:link w:val="HeaderChar"/>
    <w:rsid w:val="001F06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067E"/>
    <w:rPr>
      <w:rFonts w:ascii="Times New Roman" w:eastAsia="Times New Roman" w:hAnsi="Times New Roman" w:cs="Times New Roman"/>
      <w:sz w:val="16"/>
      <w:szCs w:val="20"/>
      <w:lang w:val="en-GB" w:eastAsia="en-US"/>
    </w:rPr>
  </w:style>
  <w:style w:type="paragraph" w:customStyle="1" w:styleId="Chapter">
    <w:name w:val="Chapter"/>
    <w:basedOn w:val="Normal"/>
    <w:rsid w:val="001F067E"/>
    <w:pPr>
      <w:spacing w:before="240"/>
    </w:pPr>
    <w:rPr>
      <w:rFonts w:ascii="Times New Roman" w:hAnsi="Times New Roman"/>
      <w:smallCaps/>
      <w:spacing w:val="80"/>
      <w:sz w:val="28"/>
    </w:rPr>
  </w:style>
  <w:style w:type="paragraph" w:customStyle="1" w:styleId="InChapter">
    <w:name w:val="InChapter"/>
    <w:basedOn w:val="Heading3"/>
    <w:rsid w:val="001F067E"/>
    <w:pPr>
      <w:spacing w:after="240"/>
      <w:outlineLvl w:val="9"/>
    </w:pPr>
    <w:rPr>
      <w:noProof/>
    </w:rPr>
  </w:style>
  <w:style w:type="paragraph" w:styleId="Index2">
    <w:name w:val="index 2"/>
    <w:basedOn w:val="Normal"/>
    <w:next w:val="Normal"/>
    <w:semiHidden/>
    <w:rsid w:val="001F067E"/>
    <w:pPr>
      <w:tabs>
        <w:tab w:val="right" w:pos="4176"/>
      </w:tabs>
      <w:ind w:left="568" w:hanging="284"/>
    </w:pPr>
    <w:rPr>
      <w:rFonts w:ascii="Garamond" w:hAnsi="Garamond"/>
    </w:rPr>
  </w:style>
  <w:style w:type="paragraph" w:customStyle="1" w:styleId="Byline">
    <w:name w:val="Byline"/>
    <w:rsid w:val="001F06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067E"/>
    <w:pPr>
      <w:tabs>
        <w:tab w:val="clear" w:pos="3600"/>
        <w:tab w:val="clear" w:pos="3958"/>
      </w:tabs>
      <w:jc w:val="right"/>
    </w:pPr>
  </w:style>
  <w:style w:type="character" w:styleId="Emphasis">
    <w:name w:val="Emphasis"/>
    <w:basedOn w:val="DefaultParagraphFont"/>
    <w:qFormat/>
    <w:rsid w:val="001F067E"/>
    <w:rPr>
      <w:i/>
    </w:rPr>
  </w:style>
  <w:style w:type="paragraph" w:styleId="Caption">
    <w:name w:val="caption"/>
    <w:basedOn w:val="BodyText"/>
    <w:next w:val="Normal"/>
    <w:qFormat/>
    <w:rsid w:val="001F067E"/>
    <w:pPr>
      <w:framePr w:w="2268" w:hSpace="181" w:vSpace="181" w:wrap="around" w:vAnchor="text" w:hAnchor="page" w:x="1135" w:y="285" w:anchorLock="1"/>
    </w:pPr>
    <w:rPr>
      <w:i/>
    </w:rPr>
  </w:style>
  <w:style w:type="paragraph" w:customStyle="1" w:styleId="MiniTOCTitle">
    <w:name w:val="MiniTOCTitle"/>
    <w:basedOn w:val="Heading4"/>
    <w:rsid w:val="001F067E"/>
    <w:pPr>
      <w:spacing w:before="240"/>
      <w:outlineLvl w:val="9"/>
    </w:pPr>
    <w:rPr>
      <w:noProof/>
      <w:sz w:val="24"/>
    </w:rPr>
  </w:style>
  <w:style w:type="paragraph" w:customStyle="1" w:styleId="MiniTOCItem">
    <w:name w:val="MiniTOCItem"/>
    <w:basedOn w:val="ListBullet"/>
    <w:rsid w:val="001F067E"/>
    <w:pPr>
      <w:numPr>
        <w:numId w:val="0"/>
      </w:numPr>
      <w:tabs>
        <w:tab w:val="right" w:leader="dot" w:pos="6521"/>
      </w:tabs>
      <w:spacing w:before="0" w:after="0"/>
    </w:pPr>
  </w:style>
  <w:style w:type="paragraph" w:customStyle="1" w:styleId="TOFTitle">
    <w:name w:val="TOFTitle"/>
    <w:basedOn w:val="TOCTitle"/>
    <w:rsid w:val="001F067E"/>
  </w:style>
  <w:style w:type="paragraph" w:styleId="TableofFigures">
    <w:name w:val="table of figures"/>
    <w:basedOn w:val="Normal"/>
    <w:next w:val="Normal"/>
    <w:semiHidden/>
    <w:rsid w:val="001F067E"/>
    <w:pPr>
      <w:tabs>
        <w:tab w:val="right" w:leader="dot" w:pos="9072"/>
      </w:tabs>
      <w:ind w:left="970" w:hanging="403"/>
    </w:pPr>
    <w:rPr>
      <w:rFonts w:ascii="Times New Roman" w:hAnsi="Times New Roman"/>
      <w:b/>
    </w:rPr>
  </w:style>
  <w:style w:type="paragraph" w:styleId="ListNumber">
    <w:name w:val="List Number"/>
    <w:basedOn w:val="List"/>
    <w:rsid w:val="001F067E"/>
    <w:pPr>
      <w:numPr>
        <w:numId w:val="11"/>
      </w:numPr>
    </w:pPr>
  </w:style>
  <w:style w:type="character" w:customStyle="1" w:styleId="WingdingSymbols">
    <w:name w:val="Wingding Symbols"/>
    <w:rsid w:val="001F067E"/>
    <w:rPr>
      <w:rFonts w:ascii="Wingdings" w:hAnsi="Wingdings"/>
    </w:rPr>
  </w:style>
  <w:style w:type="paragraph" w:customStyle="1" w:styleId="TableHeading">
    <w:name w:val="Table Heading"/>
    <w:basedOn w:val="HeadingBase"/>
    <w:rsid w:val="001F067E"/>
    <w:pPr>
      <w:keepLines/>
      <w:pBdr>
        <w:bottom w:val="single" w:sz="6" w:space="1" w:color="918585"/>
      </w:pBdr>
      <w:spacing w:before="240"/>
    </w:pPr>
  </w:style>
  <w:style w:type="character" w:customStyle="1" w:styleId="HotSpot">
    <w:name w:val="HotSpot"/>
    <w:rsid w:val="001F067E"/>
    <w:rPr>
      <w:color w:val="0033CC"/>
      <w:u w:val="none"/>
    </w:rPr>
  </w:style>
  <w:style w:type="paragraph" w:customStyle="1" w:styleId="BodyTextRight">
    <w:name w:val="Body Text Right"/>
    <w:basedOn w:val="BodyText"/>
    <w:rsid w:val="001F067E"/>
    <w:pPr>
      <w:spacing w:before="0" w:after="0"/>
      <w:jc w:val="right"/>
    </w:pPr>
  </w:style>
  <w:style w:type="paragraph" w:styleId="Index3">
    <w:name w:val="index 3"/>
    <w:basedOn w:val="ListNumber2"/>
    <w:next w:val="Normal"/>
    <w:semiHidden/>
    <w:rsid w:val="001F067E"/>
    <w:pPr>
      <w:numPr>
        <w:numId w:val="0"/>
      </w:numPr>
      <w:tabs>
        <w:tab w:val="right" w:leader="dot" w:pos="4176"/>
      </w:tabs>
    </w:pPr>
  </w:style>
  <w:style w:type="paragraph" w:styleId="ListNumber2">
    <w:name w:val="List Number 2"/>
    <w:basedOn w:val="List2"/>
    <w:rsid w:val="001F067E"/>
    <w:pPr>
      <w:numPr>
        <w:numId w:val="10"/>
      </w:numPr>
      <w:tabs>
        <w:tab w:val="clear" w:pos="1060"/>
      </w:tabs>
    </w:pPr>
  </w:style>
  <w:style w:type="paragraph" w:customStyle="1" w:styleId="MarginNote">
    <w:name w:val="Margin Note"/>
    <w:basedOn w:val="BodyText"/>
    <w:rsid w:val="001F06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06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06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067E"/>
    <w:rPr>
      <w:sz w:val="32"/>
    </w:rPr>
  </w:style>
  <w:style w:type="paragraph" w:customStyle="1" w:styleId="HeadingProcedure">
    <w:name w:val="Heading Procedure"/>
    <w:basedOn w:val="HeadingBase"/>
    <w:next w:val="Normal"/>
    <w:rsid w:val="001F067E"/>
    <w:pPr>
      <w:tabs>
        <w:tab w:val="left" w:pos="0"/>
      </w:tabs>
      <w:spacing w:before="120" w:after="60"/>
    </w:pPr>
    <w:rPr>
      <w:i/>
      <w:color w:val="918585"/>
      <w:sz w:val="22"/>
    </w:rPr>
  </w:style>
  <w:style w:type="paragraph" w:customStyle="1" w:styleId="TableBodyText">
    <w:name w:val="Table Body Text"/>
    <w:basedOn w:val="BodyText"/>
    <w:rsid w:val="001F067E"/>
    <w:pPr>
      <w:spacing w:before="60" w:after="60"/>
    </w:pPr>
  </w:style>
  <w:style w:type="paragraph" w:styleId="ListContinue">
    <w:name w:val="List Continue"/>
    <w:basedOn w:val="List"/>
    <w:rsid w:val="001F067E"/>
    <w:pPr>
      <w:ind w:firstLine="0"/>
    </w:pPr>
  </w:style>
  <w:style w:type="paragraph" w:customStyle="1" w:styleId="ListNote">
    <w:name w:val="List Note"/>
    <w:basedOn w:val="List"/>
    <w:rsid w:val="001F067E"/>
    <w:pPr>
      <w:pBdr>
        <w:top w:val="single" w:sz="6" w:space="2" w:color="918585"/>
        <w:bottom w:val="single" w:sz="6" w:space="2" w:color="918585"/>
      </w:pBdr>
      <w:tabs>
        <w:tab w:val="left" w:pos="1021"/>
      </w:tabs>
      <w:ind w:firstLine="0"/>
    </w:pPr>
  </w:style>
  <w:style w:type="paragraph" w:customStyle="1" w:styleId="Warning">
    <w:name w:val="Warning"/>
    <w:basedOn w:val="BodyText"/>
    <w:rsid w:val="001F067E"/>
    <w:pPr>
      <w:shd w:val="clear" w:color="auto" w:fill="D9D9D9"/>
      <w:tabs>
        <w:tab w:val="left" w:pos="992"/>
      </w:tabs>
      <w:ind w:left="119" w:right="119"/>
    </w:pPr>
    <w:rPr>
      <w:sz w:val="20"/>
    </w:rPr>
  </w:style>
  <w:style w:type="paragraph" w:customStyle="1" w:styleId="MarginIcons">
    <w:name w:val="Margin Icons"/>
    <w:basedOn w:val="BodyText"/>
    <w:rsid w:val="001F06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067E"/>
    <w:rPr>
      <w:rFonts w:ascii="Courier New" w:hAnsi="Courier New"/>
    </w:rPr>
  </w:style>
  <w:style w:type="paragraph" w:customStyle="1" w:styleId="NoteBullet">
    <w:name w:val="Note Bullet"/>
    <w:basedOn w:val="Note"/>
    <w:rsid w:val="001F067E"/>
    <w:pPr>
      <w:tabs>
        <w:tab w:val="clear" w:pos="680"/>
      </w:tabs>
      <w:spacing w:before="60" w:after="60"/>
    </w:pPr>
  </w:style>
  <w:style w:type="paragraph" w:customStyle="1" w:styleId="SubHeading2">
    <w:name w:val="SubHeading2"/>
    <w:basedOn w:val="HeadingBase"/>
    <w:rsid w:val="001F067E"/>
    <w:pPr>
      <w:spacing w:before="240" w:after="60"/>
    </w:pPr>
    <w:rPr>
      <w:sz w:val="20"/>
    </w:rPr>
  </w:style>
  <w:style w:type="paragraph" w:customStyle="1" w:styleId="SubHeading1">
    <w:name w:val="SubHeading1"/>
    <w:basedOn w:val="HeadingBase"/>
    <w:rsid w:val="001F067E"/>
    <w:pPr>
      <w:spacing w:before="240" w:after="60"/>
    </w:pPr>
    <w:rPr>
      <w:color w:val="918585"/>
      <w:sz w:val="22"/>
    </w:rPr>
  </w:style>
  <w:style w:type="paragraph" w:customStyle="1" w:styleId="SideHeading">
    <w:name w:val="Side Heading"/>
    <w:basedOn w:val="HeadingBase"/>
    <w:rsid w:val="001F06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067E"/>
    <w:pPr>
      <w:numPr>
        <w:numId w:val="12"/>
      </w:numPr>
    </w:pPr>
  </w:style>
  <w:style w:type="paragraph" w:styleId="PlainText">
    <w:name w:val="Plain Text"/>
    <w:basedOn w:val="Normal"/>
    <w:link w:val="PlainTextChar"/>
    <w:rsid w:val="001F067E"/>
    <w:rPr>
      <w:sz w:val="20"/>
    </w:rPr>
  </w:style>
  <w:style w:type="character" w:customStyle="1" w:styleId="PlainTextChar">
    <w:name w:val="Plain Text Char"/>
    <w:basedOn w:val="DefaultParagraphFont"/>
    <w:link w:val="PlainText"/>
    <w:rsid w:val="001F067E"/>
    <w:rPr>
      <w:rFonts w:ascii="Courier New" w:eastAsia="Times New Roman" w:hAnsi="Courier New" w:cs="Times New Roman"/>
      <w:sz w:val="20"/>
      <w:szCs w:val="20"/>
      <w:lang w:eastAsia="en-US"/>
    </w:rPr>
  </w:style>
  <w:style w:type="character" w:customStyle="1" w:styleId="MenuOption">
    <w:name w:val="Menu Option"/>
    <w:basedOn w:val="DefaultParagraphFont"/>
    <w:rsid w:val="001F067E"/>
    <w:rPr>
      <w:b/>
      <w:smallCaps/>
    </w:rPr>
  </w:style>
  <w:style w:type="paragraph" w:customStyle="1" w:styleId="TableListNumber">
    <w:name w:val="Table List Number"/>
    <w:basedOn w:val="ListNumber"/>
    <w:rsid w:val="001F067E"/>
    <w:pPr>
      <w:numPr>
        <w:numId w:val="0"/>
      </w:numPr>
    </w:pPr>
  </w:style>
  <w:style w:type="paragraph" w:styleId="TOC4">
    <w:name w:val="toc 4"/>
    <w:basedOn w:val="TOCBase"/>
    <w:next w:val="Normal"/>
    <w:semiHidden/>
    <w:rsid w:val="001F067E"/>
    <w:pPr>
      <w:tabs>
        <w:tab w:val="right" w:leader="dot" w:pos="9071"/>
      </w:tabs>
      <w:ind w:left="1701"/>
    </w:pPr>
  </w:style>
  <w:style w:type="paragraph" w:customStyle="1" w:styleId="ListAlpha">
    <w:name w:val="List Alpha"/>
    <w:basedOn w:val="List"/>
    <w:rsid w:val="001F067E"/>
    <w:pPr>
      <w:numPr>
        <w:numId w:val="9"/>
      </w:numPr>
    </w:pPr>
  </w:style>
  <w:style w:type="paragraph" w:styleId="List2">
    <w:name w:val="List 2"/>
    <w:basedOn w:val="BodyText"/>
    <w:rsid w:val="001F067E"/>
    <w:pPr>
      <w:tabs>
        <w:tab w:val="left" w:pos="680"/>
      </w:tabs>
      <w:spacing w:before="60" w:after="60"/>
      <w:ind w:left="680" w:hanging="340"/>
    </w:pPr>
  </w:style>
  <w:style w:type="paragraph" w:styleId="List3">
    <w:name w:val="List 3"/>
    <w:basedOn w:val="BodyText"/>
    <w:rsid w:val="001F067E"/>
    <w:pPr>
      <w:tabs>
        <w:tab w:val="left" w:pos="1021"/>
      </w:tabs>
      <w:spacing w:before="60" w:after="60"/>
      <w:ind w:left="1020" w:hanging="340"/>
    </w:pPr>
  </w:style>
  <w:style w:type="paragraph" w:styleId="List4">
    <w:name w:val="List 4"/>
    <w:basedOn w:val="BodyText"/>
    <w:rsid w:val="001F067E"/>
    <w:pPr>
      <w:tabs>
        <w:tab w:val="left" w:pos="1361"/>
      </w:tabs>
      <w:spacing w:before="60" w:after="60"/>
      <w:ind w:left="1361" w:hanging="340"/>
    </w:pPr>
  </w:style>
  <w:style w:type="paragraph" w:styleId="List5">
    <w:name w:val="List 5"/>
    <w:basedOn w:val="BodyText"/>
    <w:rsid w:val="001F067E"/>
    <w:pPr>
      <w:tabs>
        <w:tab w:val="left" w:pos="1701"/>
      </w:tabs>
      <w:spacing w:before="60" w:after="60"/>
      <w:ind w:left="1701" w:hanging="340"/>
    </w:pPr>
  </w:style>
  <w:style w:type="paragraph" w:styleId="ListBullet3">
    <w:name w:val="List Bullet 3"/>
    <w:basedOn w:val="List3"/>
    <w:rsid w:val="001F067E"/>
    <w:pPr>
      <w:numPr>
        <w:numId w:val="15"/>
      </w:numPr>
      <w:tabs>
        <w:tab w:val="clear" w:pos="1021"/>
      </w:tabs>
      <w:ind w:left="1037" w:hanging="357"/>
    </w:pPr>
  </w:style>
  <w:style w:type="paragraph" w:styleId="ListBullet4">
    <w:name w:val="List Bullet 4"/>
    <w:basedOn w:val="List4"/>
    <w:rsid w:val="001F067E"/>
    <w:pPr>
      <w:numPr>
        <w:numId w:val="3"/>
      </w:numPr>
    </w:pPr>
  </w:style>
  <w:style w:type="paragraph" w:styleId="ListBullet5">
    <w:name w:val="List Bullet 5"/>
    <w:basedOn w:val="List5"/>
    <w:rsid w:val="001F067E"/>
    <w:pPr>
      <w:numPr>
        <w:numId w:val="4"/>
      </w:numPr>
    </w:pPr>
  </w:style>
  <w:style w:type="paragraph" w:styleId="ListContinue2">
    <w:name w:val="List Continue 2"/>
    <w:basedOn w:val="List2"/>
    <w:rsid w:val="001F067E"/>
    <w:pPr>
      <w:ind w:firstLine="0"/>
    </w:pPr>
  </w:style>
  <w:style w:type="paragraph" w:styleId="ListContinue3">
    <w:name w:val="List Continue 3"/>
    <w:basedOn w:val="List3"/>
    <w:rsid w:val="001F067E"/>
    <w:pPr>
      <w:ind w:left="1021" w:firstLine="0"/>
    </w:pPr>
  </w:style>
  <w:style w:type="paragraph" w:styleId="ListContinue4">
    <w:name w:val="List Continue 4"/>
    <w:basedOn w:val="List4"/>
    <w:rsid w:val="001F067E"/>
    <w:pPr>
      <w:ind w:firstLine="0"/>
    </w:pPr>
  </w:style>
  <w:style w:type="paragraph" w:styleId="ListContinue5">
    <w:name w:val="List Continue 5"/>
    <w:basedOn w:val="List5"/>
    <w:rsid w:val="001F067E"/>
    <w:pPr>
      <w:ind w:firstLine="0"/>
    </w:pPr>
  </w:style>
  <w:style w:type="paragraph" w:styleId="ListNumber3">
    <w:name w:val="List Number 3"/>
    <w:basedOn w:val="List3"/>
    <w:rsid w:val="001F067E"/>
    <w:pPr>
      <w:numPr>
        <w:numId w:val="5"/>
      </w:numPr>
    </w:pPr>
  </w:style>
  <w:style w:type="paragraph" w:styleId="ListNumber4">
    <w:name w:val="List Number 4"/>
    <w:basedOn w:val="List4"/>
    <w:rsid w:val="001F067E"/>
    <w:pPr>
      <w:numPr>
        <w:numId w:val="6"/>
      </w:numPr>
    </w:pPr>
  </w:style>
  <w:style w:type="paragraph" w:styleId="ListNumber5">
    <w:name w:val="List Number 5"/>
    <w:basedOn w:val="List5"/>
    <w:rsid w:val="001F067E"/>
    <w:pPr>
      <w:numPr>
        <w:numId w:val="7"/>
      </w:numPr>
    </w:pPr>
  </w:style>
  <w:style w:type="paragraph" w:styleId="BlockText">
    <w:name w:val="Block Text"/>
    <w:basedOn w:val="Normal"/>
    <w:rsid w:val="001F067E"/>
    <w:pPr>
      <w:spacing w:after="120"/>
      <w:ind w:left="1440" w:right="1440"/>
    </w:pPr>
  </w:style>
  <w:style w:type="character" w:customStyle="1" w:styleId="Subscript">
    <w:name w:val="Subscript"/>
    <w:basedOn w:val="DefaultParagraphFont"/>
    <w:rsid w:val="001F067E"/>
    <w:rPr>
      <w:sz w:val="16"/>
      <w:vertAlign w:val="subscript"/>
    </w:rPr>
  </w:style>
  <w:style w:type="character" w:customStyle="1" w:styleId="Superscript">
    <w:name w:val="Superscript"/>
    <w:basedOn w:val="DefaultParagraphFont"/>
    <w:rsid w:val="001F067E"/>
    <w:rPr>
      <w:sz w:val="16"/>
      <w:vertAlign w:val="superscript"/>
    </w:rPr>
  </w:style>
  <w:style w:type="character" w:customStyle="1" w:styleId="Symbols">
    <w:name w:val="Symbols"/>
    <w:basedOn w:val="DefaultParagraphFont"/>
    <w:rsid w:val="001F067E"/>
    <w:rPr>
      <w:rFonts w:ascii="Symbol" w:hAnsi="Symbol"/>
    </w:rPr>
  </w:style>
  <w:style w:type="character" w:customStyle="1" w:styleId="MenuOptions">
    <w:name w:val="Menu Options"/>
    <w:basedOn w:val="DefaultParagraphFont"/>
    <w:rsid w:val="001F067E"/>
    <w:rPr>
      <w:rFonts w:ascii="Arial Narrow" w:hAnsi="Arial Narrow"/>
      <w:smallCaps/>
    </w:rPr>
  </w:style>
  <w:style w:type="character" w:customStyle="1" w:styleId="Buttons">
    <w:name w:val="Buttons"/>
    <w:basedOn w:val="DefaultParagraphFont"/>
    <w:rsid w:val="001F067E"/>
    <w:rPr>
      <w:b/>
    </w:rPr>
  </w:style>
  <w:style w:type="character" w:customStyle="1" w:styleId="Underlined">
    <w:name w:val="Underlined"/>
    <w:basedOn w:val="DefaultParagraphFont"/>
    <w:rsid w:val="001F067E"/>
    <w:rPr>
      <w:u w:val="single"/>
    </w:rPr>
  </w:style>
  <w:style w:type="paragraph" w:customStyle="1" w:styleId="TableBodyTextRight">
    <w:name w:val="Table Body Text Right"/>
    <w:basedOn w:val="TableBodyText"/>
    <w:rsid w:val="001F067E"/>
    <w:pPr>
      <w:widowControl w:val="0"/>
      <w:autoSpaceDE w:val="0"/>
      <w:autoSpaceDN w:val="0"/>
      <w:adjustRightInd w:val="0"/>
      <w:jc w:val="right"/>
    </w:pPr>
    <w:rPr>
      <w:rFonts w:cs="Arial"/>
      <w:szCs w:val="18"/>
    </w:rPr>
  </w:style>
  <w:style w:type="paragraph" w:customStyle="1" w:styleId="CopyrightText">
    <w:name w:val="Copyright Text"/>
    <w:basedOn w:val="BodyText"/>
    <w:rsid w:val="001F067E"/>
    <w:rPr>
      <w:sz w:val="18"/>
    </w:rPr>
  </w:style>
  <w:style w:type="paragraph" w:customStyle="1" w:styleId="BodySmallRight">
    <w:name w:val="Body Small Right"/>
    <w:basedOn w:val="BodyTextRight"/>
    <w:rsid w:val="001F067E"/>
    <w:rPr>
      <w:sz w:val="18"/>
      <w:szCs w:val="18"/>
    </w:rPr>
  </w:style>
  <w:style w:type="paragraph" w:customStyle="1" w:styleId="MarginEdition">
    <w:name w:val="Margin Edition"/>
    <w:basedOn w:val="MarginNote"/>
    <w:rsid w:val="001F067E"/>
    <w:pPr>
      <w:spacing w:before="0" w:after="0"/>
    </w:pPr>
    <w:rPr>
      <w:rFonts w:ascii="Times New Roman" w:hAnsi="Times New Roman"/>
      <w:color w:val="999999"/>
    </w:rPr>
  </w:style>
  <w:style w:type="paragraph" w:customStyle="1" w:styleId="Spacer">
    <w:name w:val="Spacer"/>
    <w:basedOn w:val="Normal"/>
    <w:rsid w:val="001F067E"/>
    <w:rPr>
      <w:sz w:val="2"/>
      <w:szCs w:val="2"/>
    </w:rPr>
  </w:style>
  <w:style w:type="character" w:customStyle="1" w:styleId="Small">
    <w:name w:val="Small"/>
    <w:basedOn w:val="DefaultParagraphFont"/>
    <w:rsid w:val="001F067E"/>
    <w:rPr>
      <w:sz w:val="16"/>
    </w:rPr>
  </w:style>
  <w:style w:type="paragraph" w:customStyle="1" w:styleId="WideTable">
    <w:name w:val="Wide Table"/>
    <w:basedOn w:val="Normal"/>
    <w:rsid w:val="001F067E"/>
    <w:pPr>
      <w:ind w:left="-1418"/>
    </w:pPr>
    <w:rPr>
      <w:sz w:val="2"/>
      <w:szCs w:val="2"/>
    </w:rPr>
  </w:style>
  <w:style w:type="character" w:styleId="PageNumber">
    <w:name w:val="page number"/>
    <w:basedOn w:val="DefaultParagraphFont"/>
    <w:rsid w:val="001F067E"/>
  </w:style>
  <w:style w:type="paragraph" w:styleId="Quote">
    <w:name w:val="Quote"/>
    <w:basedOn w:val="Heading1"/>
    <w:link w:val="QuoteChar"/>
    <w:qFormat/>
    <w:rsid w:val="001F067E"/>
    <w:rPr>
      <w:b w:val="0"/>
      <w:sz w:val="72"/>
      <w:szCs w:val="72"/>
      <w:lang w:val="en-NZ"/>
    </w:rPr>
  </w:style>
  <w:style w:type="character" w:customStyle="1" w:styleId="QuoteChar">
    <w:name w:val="Quote Char"/>
    <w:basedOn w:val="DefaultParagraphFont"/>
    <w:link w:val="Quote"/>
    <w:rsid w:val="001F06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067E"/>
    <w:pPr>
      <w:pageBreakBefore/>
    </w:pPr>
  </w:style>
  <w:style w:type="paragraph" w:customStyle="1" w:styleId="Border">
    <w:name w:val="Border"/>
    <w:basedOn w:val="Normal"/>
    <w:qFormat/>
    <w:rsid w:val="001F06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067E"/>
    <w:rPr>
      <w:b/>
      <w:bCs/>
      <w:i/>
      <w:iCs/>
      <w:color w:val="auto"/>
    </w:rPr>
  </w:style>
  <w:style w:type="paragraph" w:styleId="IntenseQuote">
    <w:name w:val="Intense Quote"/>
    <w:basedOn w:val="Normal"/>
    <w:next w:val="Normal"/>
    <w:link w:val="IntenseQuoteChar"/>
    <w:uiPriority w:val="30"/>
    <w:qFormat/>
    <w:rsid w:val="001F06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06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067E"/>
    <w:rPr>
      <w:smallCaps/>
      <w:color w:val="auto"/>
      <w:u w:val="single"/>
    </w:rPr>
  </w:style>
  <w:style w:type="character" w:styleId="IntenseReference">
    <w:name w:val="Intense Reference"/>
    <w:basedOn w:val="DefaultParagraphFont"/>
    <w:uiPriority w:val="32"/>
    <w:qFormat/>
    <w:rsid w:val="001F067E"/>
    <w:rPr>
      <w:b/>
      <w:bCs/>
      <w:smallCaps/>
      <w:color w:val="auto"/>
      <w:spacing w:val="5"/>
      <w:u w:val="single"/>
    </w:rPr>
  </w:style>
  <w:style w:type="paragraph" w:customStyle="1" w:styleId="2ColumnHeading">
    <w:name w:val="2Column Heading"/>
    <w:basedOn w:val="BodyText"/>
    <w:qFormat/>
    <w:rsid w:val="001F067E"/>
    <w:pPr>
      <w:spacing w:after="60"/>
      <w:ind w:left="-2268"/>
    </w:pPr>
    <w:rPr>
      <w:b/>
    </w:rPr>
  </w:style>
  <w:style w:type="paragraph" w:customStyle="1" w:styleId="Heading1TOC">
    <w:name w:val="Heading1 TOC"/>
    <w:basedOn w:val="Normal"/>
    <w:qFormat/>
    <w:rsid w:val="001F067E"/>
    <w:pPr>
      <w:spacing w:before="240" w:after="120"/>
    </w:pPr>
    <w:rPr>
      <w:rFonts w:ascii="Times New Roman" w:hAnsi="Times New Roman"/>
      <w:b/>
      <w:sz w:val="32"/>
    </w:rPr>
  </w:style>
  <w:style w:type="paragraph" w:customStyle="1" w:styleId="Heading2TOC">
    <w:name w:val="Heading2 TOC"/>
    <w:basedOn w:val="Normal"/>
    <w:qFormat/>
    <w:rsid w:val="001F067E"/>
    <w:pPr>
      <w:spacing w:before="240" w:after="60"/>
    </w:pPr>
    <w:rPr>
      <w:rFonts w:ascii="Times New Roman" w:hAnsi="Times New Roman"/>
      <w:b/>
      <w:sz w:val="28"/>
    </w:rPr>
  </w:style>
  <w:style w:type="character" w:customStyle="1" w:styleId="Underline">
    <w:name w:val="Underline"/>
    <w:basedOn w:val="DefaultParagraphFont"/>
    <w:qFormat/>
    <w:rsid w:val="001F067E"/>
    <w:rPr>
      <w:u w:val="single"/>
    </w:rPr>
  </w:style>
  <w:style w:type="character" w:customStyle="1" w:styleId="BoldandItalics">
    <w:name w:val="Bold and Italics"/>
    <w:qFormat/>
    <w:rsid w:val="001F067E"/>
    <w:rPr>
      <w:b/>
      <w:i/>
      <w:u w:val="none"/>
    </w:rPr>
  </w:style>
  <w:style w:type="paragraph" w:styleId="BalloonText">
    <w:name w:val="Balloon Text"/>
    <w:basedOn w:val="Normal"/>
    <w:link w:val="BalloonTextChar"/>
    <w:rsid w:val="001F067E"/>
    <w:rPr>
      <w:rFonts w:ascii="Tahoma" w:hAnsi="Tahoma" w:cs="Tahoma"/>
      <w:sz w:val="16"/>
      <w:szCs w:val="16"/>
    </w:rPr>
  </w:style>
  <w:style w:type="character" w:customStyle="1" w:styleId="BalloonTextChar">
    <w:name w:val="Balloon Text Char"/>
    <w:basedOn w:val="DefaultParagraphFont"/>
    <w:link w:val="BalloonText"/>
    <w:rsid w:val="001F06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06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06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067E"/>
    <w:rPr>
      <w:b/>
      <w:color w:val="660033"/>
      <w:spacing w:val="0"/>
    </w:rPr>
  </w:style>
  <w:style w:type="paragraph" w:customStyle="1" w:styleId="Nameditemlist">
    <w:name w:val="Named item list"/>
    <w:basedOn w:val="BodyText"/>
    <w:qFormat/>
    <w:rsid w:val="001F067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2056</Words>
  <Characters>12277</Characters>
  <Application>Microsoft Office Word</Application>
  <DocSecurity>0</DocSecurity>
  <Lines>464</Lines>
  <Paragraphs>189</Paragraphs>
  <ScaleCrop>false</ScaleCrop>
  <Company>Author-it Software Corporation Ltd.</Company>
  <LinksUpToDate>false</LinksUpToDate>
  <CharactersWithSpaces>14212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UEENEEH174A Troubleshoot audio - video recording equipment</dc:title>
  <dc:subject>Approved</dc:subject>
  <dc:creator>E-OZ Training Standards</dc:creator>
  <cp:keywords>Release 2</cp:keywords>
  <dc:description>Review Date: 12 April 2008</dc:description>
  <cp:lastModifiedBy>HSD_TPCMSd.prod</cp:lastModifiedBy>
  <cp:revision>3</cp:revision>
  <dcterms:created xsi:type="dcterms:W3CDTF">2013-08-14T00:48:00Z</dcterms:created>
  <dcterms:modified xsi:type="dcterms:W3CDTF">2013-08-14T00:48:00Z</dcterms:modified>
</cp:coreProperties>
</file>