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D51" w:rsidP="00545D51">
      <w:pPr>
        <w:pStyle w:val="Title"/>
      </w:pPr>
      <w:r>
        <w:fldChar w:fldCharType="begin"/>
      </w:r>
      <w:r>
        <w:instrText xml:space="preserve"> TITLE   \* MERGEFORMAT </w:instrText>
      </w:r>
      <w:r>
        <w:fldChar w:fldCharType="separate"/>
      </w:r>
      <w:r>
        <w:t>UEENEEH171A Troubleshoot faults in television receivers</w:t>
      </w:r>
      <w:r>
        <w:fldChar w:fldCharType="end"/>
      </w:r>
    </w:p>
    <w:p w:rsidR="00545D51" w:rsidP="00545D51">
      <w:pPr>
        <w:pStyle w:val="Version"/>
        <w:sectPr w:rsidSect="00030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9A0" w:rsidP="000309A0">
      <w:pPr>
        <w:pStyle w:val="SuperHeading"/>
      </w:pPr>
      <w:r w:rsidRPr="000309A0">
        <w:t>UEENEEH171A Troubleshoot faults in television receivers</w:t>
      </w:r>
    </w:p>
    <w:p w:rsidR="00000000" w:rsidRPr="000309A0" w:rsidP="000309A0">
      <w:pPr>
        <w:pStyle w:val="Heading1"/>
      </w:pPr>
      <w:bookmarkStart w:id="1" w:name="O_588341"/>
      <w:bookmarkEnd w:id="1"/>
      <w:r w:rsidRPr="000309A0">
        <w:t>Modification History</w:t>
      </w:r>
    </w:p>
    <w:p w:rsidR="00000000" w:rsidRPr="000309A0" w:rsidP="000309A0">
      <w:pPr>
        <w:pStyle w:val="BodyText"/>
      </w:pPr>
      <w:r w:rsidRPr="000309A0">
        <w:t>Not applicable.</w:t>
      </w:r>
    </w:p>
    <w:p w:rsidR="00000000" w:rsidRPr="000309A0" w:rsidP="000309A0">
      <w:pPr>
        <w:pStyle w:val="AllowPageBreak"/>
      </w:pPr>
    </w:p>
    <w:p w:rsidR="00000000" w:rsidRPr="000309A0" w:rsidP="000309A0">
      <w:pPr>
        <w:pStyle w:val="Heading1"/>
      </w:pPr>
      <w:bookmarkStart w:id="2" w:name="O_588340"/>
      <w:bookmarkEnd w:id="2"/>
      <w:r w:rsidRPr="000309A0">
        <w:t>Unit Descriptor</w:t>
      </w:r>
    </w:p>
    <w:tbl>
      <w:tblPr>
        <w:tblW w:w="0" w:type="auto"/>
        <w:tblLayout w:type="fixed"/>
        <w:tblCellMar>
          <w:left w:w="62" w:type="dxa"/>
          <w:right w:w="62" w:type="dxa"/>
        </w:tblCellMar>
        <w:tblLook w:val="0000"/>
      </w:tblPr>
      <w:tblGrid>
        <w:gridCol w:w="2700"/>
        <w:gridCol w:w="5760"/>
      </w:tblGrid>
      <w:tr w:rsidTr="00545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1)</w:t>
            </w:r>
            <w:r w:rsidRPr="000309A0">
              <w:t xml:space="preserve"> </w:t>
            </w:r>
            <w:r w:rsidRPr="000309A0">
              <w:rPr>
                <w:rStyle w:val="SpecialBold"/>
              </w:rPr>
              <w:t>Scope:</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09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1.1) Descriptor</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 xml:space="preserve">This unit covers fault finding and repair of faults in signal processing and scanning and deflection sections of television </w:t>
            </w:r>
            <w:r w:rsidRPr="000309A0">
              <w:t>receivers. The unit encompasses safe working practices, interpreting circuit diagrams, applying logical fault finding procedures, conducting repairs, safety and functional testing and completing the necessary service documentation.</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3" w:name="O_588339"/>
      <w:bookmarkEnd w:id="3"/>
      <w:r w:rsidRPr="000309A0">
        <w:t>Application of the Unit</w:t>
      </w:r>
    </w:p>
    <w:tbl>
      <w:tblPr>
        <w:tblW w:w="0" w:type="auto"/>
        <w:tblLayout w:type="fixed"/>
        <w:tblCellMar>
          <w:left w:w="62" w:type="dxa"/>
          <w:right w:w="62" w:type="dxa"/>
        </w:tblCellMar>
        <w:tblLook w:val="0000"/>
      </w:tblPr>
      <w:tblGrid>
        <w:gridCol w:w="2672"/>
        <w:gridCol w:w="5699"/>
      </w:tblGrid>
      <w:tr w:rsidTr="00545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2)</w:t>
            </w:r>
          </w:p>
        </w:tc>
      </w:tr>
      <w:tr w:rsidTr="00545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This unit is intended for competency development entry-level employment based programs incorporated in approved contracts of training or approved training programs. It may also used to augment formally a</w:t>
            </w:r>
            <w:r w:rsidRPr="000309A0">
              <w:t>cquired competencies.</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4" w:name="O_588338"/>
      <w:bookmarkEnd w:id="4"/>
      <w:r w:rsidRPr="000309A0">
        <w:t>Licensing/Regulatory Information</w:t>
      </w:r>
    </w:p>
    <w:tbl>
      <w:tblPr>
        <w:tblW w:w="0" w:type="auto"/>
        <w:tblLayout w:type="fixed"/>
        <w:tblCellMar>
          <w:left w:w="62" w:type="dxa"/>
          <w:right w:w="62" w:type="dxa"/>
        </w:tblCellMar>
        <w:tblLook w:val="0000"/>
      </w:tblPr>
      <w:tblGrid>
        <w:gridCol w:w="2700"/>
        <w:gridCol w:w="5760"/>
      </w:tblGrid>
      <w:tr w:rsidTr="00545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 xml:space="preserve">3) </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The skills and knowledge described in this unit do not require a license to practice in the workplace provided equipment is not connected to installation wi</w:t>
            </w:r>
            <w:r w:rsidRPr="000309A0">
              <w:t xml:space="preserve">ring at voltage above 50 V a.c. or 120 V d.c. However other conditions may apply in some States/Territories subject to regulations related to electrical work. </w:t>
            </w:r>
          </w:p>
          <w:p w:rsidR="00000000" w:rsidRPr="000309A0" w:rsidP="000309A0">
            <w:pPr>
              <w:pStyle w:val="BodyText"/>
            </w:pPr>
            <w:r w:rsidRPr="000309A0">
              <w:t xml:space="preserve">Practice in the workplace and during training is also </w:t>
            </w:r>
            <w:r w:rsidRPr="000309A0">
              <w:t>subject to regulations directly related to occupational health and safety and where applicable contracts of training such as apprenticeships.</w:t>
            </w:r>
          </w:p>
          <w:p w:rsidR="00000000" w:rsidRPr="000309A0" w:rsidP="000309A0">
            <w:pPr>
              <w:pStyle w:val="BodyText"/>
            </w:pPr>
            <w:r w:rsidRPr="000309A0">
              <w:t>Note:</w:t>
            </w:r>
          </w:p>
          <w:p w:rsidR="00000000" w:rsidRPr="000309A0" w:rsidP="000309A0">
            <w:pPr>
              <w:pStyle w:val="BodyText"/>
            </w:pPr>
            <w:r w:rsidRPr="000309A0">
              <w:t xml:space="preserve">1. Compliance with permits may be required in various </w:t>
            </w:r>
            <w:r w:rsidRPr="000309A0">
              <w:t>jurisdictions and typically relates to the operation of plant, machinery and equipment such as elevating work platforms, powder operated fixing tools, power operated tools, vehicles, road signage and traffic control, lifting equipment and the like. Permits</w:t>
            </w:r>
            <w:r w:rsidRPr="000309A0">
              <w:t xml:space="preserve"> may also be required for some work environments such as confined spaces, working aloft, near live electrical apparatus and site rehabilitation.</w:t>
            </w:r>
          </w:p>
          <w:p w:rsidR="00000000" w:rsidRPr="000309A0" w:rsidP="000309A0">
            <w:pPr>
              <w:pStyle w:val="BodyText"/>
            </w:pPr>
            <w:r w:rsidRPr="000309A0">
              <w:t>2. Compliance may be required in various jurisdictions relating to currency in First Aid, confined space, lifti</w:t>
            </w:r>
            <w:r w:rsidRPr="000309A0">
              <w:t>ng and risk safety measures</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5" w:name="O_588337"/>
      <w:bookmarkEnd w:id="5"/>
      <w:r w:rsidRPr="000309A0">
        <w:t>Pre-Requisites</w:t>
      </w:r>
    </w:p>
    <w:tbl>
      <w:tblPr>
        <w:tblW w:w="0" w:type="auto"/>
        <w:tblLayout w:type="fixed"/>
        <w:tblCellMar>
          <w:left w:w="62" w:type="dxa"/>
          <w:right w:w="62" w:type="dxa"/>
        </w:tblCellMar>
        <w:tblLook w:val="0000"/>
      </w:tblPr>
      <w:tblGrid>
        <w:gridCol w:w="2700"/>
        <w:gridCol w:w="1710"/>
        <w:gridCol w:w="4050"/>
      </w:tblGrid>
      <w:tr w:rsidTr="00545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 xml:space="preserve">4) </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4.1)</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Granting competency in this unit shall be made only after competency in the following unit(s) has/have been confirmed.</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 xml:space="preserve">UEENEEH119A </w:t>
            </w:r>
          </w:p>
        </w:tc>
        <w:tc>
          <w:tcPr>
            <w:tcW w:w="405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Repair predictable faults in television receivers</w:t>
            </w:r>
          </w:p>
        </w:tc>
      </w:tr>
    </w:tbl>
    <w:p w:rsidR="00000000" w:rsidRPr="000309A0" w:rsidP="000309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45D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 xml:space="preserve">4.2) </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 xml:space="preserve">Participants are best equipped to achieve competency in this unit if they have reading, writing and numeracy skills indicated by the following </w:t>
            </w:r>
            <w:r w:rsidRPr="000309A0">
              <w:t>scales. Description of each scale is given in Volume 2, Part 3 ‘Literacy and Numeracy’</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Reading</w:t>
            </w:r>
          </w:p>
        </w:tc>
        <w:tc>
          <w:tcPr>
            <w:tcW w:w="81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w:t>
            </w:r>
          </w:p>
        </w:tc>
        <w:tc>
          <w:tcPr>
            <w:tcW w:w="99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Writing</w:t>
            </w: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w:t>
            </w:r>
          </w:p>
        </w:tc>
        <w:tc>
          <w:tcPr>
            <w:tcW w:w="12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Numeracy</w:t>
            </w:r>
          </w:p>
        </w:tc>
        <w:tc>
          <w:tcPr>
            <w:tcW w:w="72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4</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6" w:name="O_588336"/>
      <w:bookmarkEnd w:id="6"/>
      <w:r w:rsidRPr="000309A0">
        <w:t>Employability Skills Information</w:t>
      </w:r>
    </w:p>
    <w:tbl>
      <w:tblPr>
        <w:tblW w:w="0" w:type="auto"/>
        <w:tblLayout w:type="fixed"/>
        <w:tblCellMar>
          <w:left w:w="62" w:type="dxa"/>
          <w:right w:w="62" w:type="dxa"/>
        </w:tblCellMar>
        <w:tblLook w:val="0000"/>
      </w:tblPr>
      <w:tblGrid>
        <w:gridCol w:w="2700"/>
        <w:gridCol w:w="5760"/>
      </w:tblGrid>
      <w:tr w:rsidTr="00545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 xml:space="preserve">5) </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This unit contains Employability Skills</w:t>
            </w:r>
          </w:p>
          <w:p w:rsidR="00000000" w:rsidRPr="000309A0" w:rsidP="000309A0">
            <w:pPr>
              <w:pStyle w:val="BodyText"/>
            </w:pPr>
            <w:r w:rsidRPr="000309A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309A0">
              <w:t>requirements.</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7" w:name="O_588335"/>
      <w:bookmarkEnd w:id="7"/>
      <w:r w:rsidRPr="000309A0">
        <w:t>Elements and Performance Criteria Pre-Content</w:t>
      </w:r>
    </w:p>
    <w:tbl>
      <w:tblPr>
        <w:tblW w:w="0" w:type="auto"/>
        <w:tblLayout w:type="fixed"/>
        <w:tblCellMar>
          <w:left w:w="62" w:type="dxa"/>
          <w:right w:w="62" w:type="dxa"/>
        </w:tblCellMar>
        <w:tblLook w:val="0000"/>
      </w:tblPr>
      <w:tblGrid>
        <w:gridCol w:w="2700"/>
        <w:gridCol w:w="5760"/>
      </w:tblGrid>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6)</w:t>
            </w:r>
            <w:r w:rsidRPr="000309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Performance Criteria describe the required performance needed to demonstrate achievement of the element. Assessment of performance is to be consistent with the Evidence Guide.</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8" w:name="O_588334"/>
      <w:bookmarkEnd w:id="8"/>
      <w:r w:rsidRPr="000309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5D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PERFORMANCE CRITER</w:t>
            </w:r>
            <w:r w:rsidRPr="000309A0">
              <w:rPr>
                <w:rStyle w:val="SpecialBold"/>
              </w:rPr>
              <w:t>IA</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w:t>
            </w:r>
          </w:p>
        </w:tc>
        <w:tc>
          <w:tcPr>
            <w:tcW w:w="2296"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1.1</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OHS procedures for a given work area are identified, obtained and understood.</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1.2</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OHS risk control measures and procedures are followed in preparation for the work.</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1.3</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The nature of the fault is obtained from documentation or from work supervisor to establish the scope of work to be undertaken.</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1.4</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Advice is sought from the work supervisor to ensure the work is co-ordinated effectively with others.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1.5</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Sources of materials that may be required for the work are established in accordance with established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1.6</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Tools, equipment and testing devices needed to carry out the work are obtained in accordance with established procedures and checked fo</w:t>
            </w:r>
            <w:r w:rsidRPr="000309A0">
              <w:t>r correct operation and safety.</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w:t>
            </w:r>
          </w:p>
        </w:tc>
        <w:tc>
          <w:tcPr>
            <w:tcW w:w="2296"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Find faults</w:t>
            </w: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2.1</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OHS risk control measures and procedures for carrying out the work are followed.</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2.2</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The need to test or measure live is determined in strict accordance with OHS requirements and when necessary conducted within established safety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2.3</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Apparatus is checked as being isolated where necessary in strict accordance OHS requirements</w:t>
            </w:r>
            <w:r w:rsidRPr="000309A0">
              <w:t xml:space="preserve"> and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2.4</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 xml:space="preserve">Fault finding is approached methodically drawing on knowledge of chrominance and luminance signal processing and scanning and deflection sections of television receivers using measured and calculated values of apparatus parameters. </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2.5</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Apparatus components are dismantled where necessary and parts stored to protect them against loss or damage.</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2.6</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Faulty components are rechecked and their fault status confirmed.</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2.7</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Materials/replacement parts required to rectify faults are sourced and obtained in accordance with established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2.8</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Effectiveness of the repair is tested in accordance with established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2.9</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Apparatus is reassembled, finally test</w:t>
            </w:r>
            <w:r w:rsidRPr="000309A0">
              <w:t>ed and prepared for return to service.</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2.10</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Unexpected situations are dealt with safely and with the approval of an authorised person.</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2.11</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Fault finding activities are carried out efficiently without waste of materials or damage to apparatus and the surrounding environment or services and using sustainable energy practices.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w:t>
            </w:r>
          </w:p>
        </w:tc>
        <w:tc>
          <w:tcPr>
            <w:tcW w:w="2296"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Repair fault</w:t>
            </w: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3.1</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OHS risk control measures and procedures for carr</w:t>
            </w:r>
            <w:r w:rsidRPr="000309A0">
              <w:t>ying out the work are followed.</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3.2</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Apparatus is checked as being isolated where necessary in strict accordance OHS requirements and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3.3</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Materials required for the repair work are sourced and obtained in accordance with established proced</w:t>
            </w:r>
            <w:r w:rsidRPr="000309A0">
              <w:t>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3.4</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Repairs are affected efficiently without damage to other components, apparatus or circuits.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3.5</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Effectiveness of the repair is tested in accordance with established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3.6</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Apparatus is reassembled, finally tested and prepared for return to customer.</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w:t>
            </w:r>
          </w:p>
        </w:tc>
        <w:tc>
          <w:tcPr>
            <w:tcW w:w="2296"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4.1</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OHS work completion risk control measures and procedures are followed.</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4.2</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 xml:space="preserve">Work area is cleaned and made safe </w:t>
            </w:r>
            <w:r w:rsidRPr="000309A0">
              <w:t>in accordance with established procedures.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4.3</w:t>
            </w:r>
          </w:p>
        </w:tc>
        <w:tc>
          <w:tcPr>
            <w:tcW w:w="48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Written justification is made for repairs to apparatus.</w:t>
            </w:r>
          </w:p>
        </w:tc>
      </w:tr>
      <w:tr w:rsidTr="00545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t>4.4</w:t>
            </w:r>
          </w:p>
        </w:tc>
        <w:tc>
          <w:tcPr>
            <w:tcW w:w="48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Work completion is documented and an appropriate person or persons notified in accordance with established procedures.</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9" w:name="O_588333"/>
      <w:bookmarkEnd w:id="9"/>
      <w:r w:rsidRPr="000309A0">
        <w:t>Required Skills and Knowledge</w:t>
      </w:r>
    </w:p>
    <w:tbl>
      <w:tblPr>
        <w:tblW w:w="0" w:type="auto"/>
        <w:tblLayout w:type="fixed"/>
        <w:tblCellMar>
          <w:left w:w="62" w:type="dxa"/>
          <w:right w:w="62" w:type="dxa"/>
        </w:tblCellMar>
        <w:tblLook w:val="0000"/>
      </w:tblPr>
      <w:tblGrid>
        <w:gridCol w:w="8460"/>
      </w:tblGrid>
      <w:tr w:rsidTr="00545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REQUIRED SKILLS AND KNOWLEDGE</w:t>
            </w:r>
          </w:p>
        </w:tc>
      </w:tr>
      <w:tr w:rsidTr="00545D5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8)</w:t>
            </w:r>
            <w:r w:rsidRPr="000309A0">
              <w:t xml:space="preserve">  This describes the essential skills and knowledge and their level, required for this unit.</w:t>
            </w:r>
          </w:p>
          <w:p w:rsidR="00000000" w:rsidRPr="000309A0" w:rsidP="000309A0">
            <w:pPr>
              <w:pStyle w:val="BodyText"/>
            </w:pPr>
            <w:r w:rsidRPr="000309A0">
              <w:t xml:space="preserve">Evidence shall show that knowledge has been acquired of safe working practices and finding and repairing faults in television receivers. </w:t>
            </w:r>
          </w:p>
          <w:p w:rsidR="00000000" w:rsidRPr="000309A0" w:rsidP="000309A0">
            <w:pPr>
              <w:pStyle w:val="BodyText"/>
            </w:pPr>
            <w:r w:rsidRPr="000309A0">
              <w:t>All knowledge and skills detailed in this unit should be contextualised to current industry practices and technologies</w:t>
            </w:r>
            <w:r w:rsidRPr="000309A0">
              <w:t>.</w:t>
            </w:r>
          </w:p>
          <w:p w:rsidR="00000000" w:rsidRPr="000309A0" w:rsidP="000309A0">
            <w:pPr>
              <w:pStyle w:val="BodyText"/>
            </w:pPr>
            <w:r w:rsidRPr="000309A0">
              <w:rPr>
                <w:rStyle w:val="SpecialBold"/>
              </w:rPr>
              <w:t>KS01-EH171A</w:t>
            </w:r>
            <w:r w:rsidRPr="000309A0">
              <w:rPr>
                <w:rStyle w:val="SpecialBold"/>
              </w:rPr>
              <w:tab/>
              <w:t xml:space="preserve">              Television Receivers Troubleshooting </w:t>
            </w:r>
          </w:p>
          <w:p w:rsidR="00000000" w:rsidRPr="000309A0" w:rsidP="000309A0">
            <w:pPr>
              <w:pStyle w:val="BodyText"/>
            </w:pPr>
            <w:r w:rsidRPr="000309A0">
              <w:t xml:space="preserve">Evidence shall show an understanding of power supplies for TV and VCR, television RF stages and television receivers troubleshooting, applying safe working practices and relevant Standards, </w:t>
            </w:r>
            <w:r w:rsidRPr="000309A0">
              <w:t>Codes and Regulations to an extent indicated by the following aspects:</w:t>
            </w:r>
          </w:p>
          <w:p w:rsidR="00000000" w:rsidRPr="000309A0" w:rsidP="000309A0">
            <w:pPr>
              <w:pStyle w:val="BodyText"/>
            </w:pPr>
            <w:r w:rsidRPr="000309A0">
              <w:t>T1</w:t>
            </w:r>
            <w:r w:rsidRPr="000309A0">
              <w:tab/>
              <w:t>components providing RFI suppression protection, rectification and filtering in a typical TV power supply.</w:t>
            </w:r>
          </w:p>
          <w:p w:rsidR="00000000" w:rsidRPr="000309A0" w:rsidP="000309A0">
            <w:pPr>
              <w:pStyle w:val="BodyText"/>
            </w:pPr>
            <w:r w:rsidRPr="000309A0">
              <w:t>T2</w:t>
            </w:r>
            <w:r w:rsidRPr="000309A0">
              <w:tab/>
              <w:t xml:space="preserve">safe working procedures to test the power supply circuitry of a typical </w:t>
            </w:r>
            <w:r w:rsidRPr="000309A0">
              <w:t>“hot chassis” television receiver.</w:t>
            </w:r>
          </w:p>
          <w:p w:rsidR="00000000" w:rsidRPr="000309A0" w:rsidP="000309A0">
            <w:pPr>
              <w:pStyle w:val="BodyText"/>
            </w:pPr>
            <w:r w:rsidRPr="000309A0">
              <w:t>T3</w:t>
            </w:r>
            <w:r w:rsidRPr="000309A0">
              <w:tab/>
              <w:t>The operation of series regulated power supplies as used in typical TV receiver/monitors and VCRs.</w:t>
            </w:r>
          </w:p>
          <w:p w:rsidR="00000000" w:rsidRPr="000309A0" w:rsidP="000309A0">
            <w:pPr>
              <w:pStyle w:val="BodyText"/>
            </w:pPr>
            <w:r w:rsidRPr="000309A0">
              <w:t>T4</w:t>
            </w:r>
            <w:r w:rsidRPr="000309A0">
              <w:tab/>
              <w:t xml:space="preserve">Subsystem arrangements and the operating principles of series and shunt type TV/VCR </w:t>
            </w:r>
            <w:r w:rsidRPr="000309A0">
              <w:tab/>
              <w:t>SMPS.</w:t>
            </w:r>
          </w:p>
          <w:p w:rsidR="00000000" w:rsidRPr="000309A0" w:rsidP="000309A0">
            <w:pPr>
              <w:pStyle w:val="BodyText"/>
            </w:pPr>
            <w:r w:rsidRPr="000309A0">
              <w:t>T5</w:t>
            </w:r>
            <w:r w:rsidRPr="000309A0">
              <w:tab/>
              <w:t>The operation of the S</w:t>
            </w:r>
            <w:r w:rsidRPr="000309A0">
              <w:t>MPS control circuits in a TV/VCR.</w:t>
            </w:r>
          </w:p>
          <w:p w:rsidR="00000000" w:rsidRPr="000309A0" w:rsidP="000309A0">
            <w:pPr>
              <w:pStyle w:val="BodyText"/>
            </w:pPr>
            <w:r w:rsidRPr="000309A0">
              <w:t>T6</w:t>
            </w:r>
            <w:r w:rsidRPr="000309A0">
              <w:tab/>
              <w:t>The operation of typical self-oscillating TV/VCR SMPS circuits.</w:t>
            </w:r>
          </w:p>
          <w:p w:rsidR="00000000" w:rsidRPr="000309A0" w:rsidP="000309A0">
            <w:pPr>
              <w:pStyle w:val="BodyText"/>
            </w:pPr>
            <w:r w:rsidRPr="000309A0">
              <w:t>T7</w:t>
            </w:r>
            <w:r w:rsidRPr="000309A0">
              <w:tab/>
              <w:t>Techniques for locating and repairing faults in a defective SMPS in a typical TV/monitor or VCR.</w:t>
            </w:r>
          </w:p>
          <w:p w:rsidR="00000000" w:rsidRPr="000309A0" w:rsidP="000309A0">
            <w:pPr>
              <w:pStyle w:val="BodyText"/>
            </w:pPr>
            <w:r w:rsidRPr="000309A0">
              <w:t>T8</w:t>
            </w:r>
            <w:r w:rsidRPr="000309A0">
              <w:tab/>
              <w:t>The operation of tuners found in typical TV receiver</w:t>
            </w:r>
            <w:r w:rsidRPr="000309A0">
              <w:t>s.</w:t>
            </w:r>
          </w:p>
          <w:p w:rsidR="00000000" w:rsidRPr="000309A0" w:rsidP="000309A0">
            <w:pPr>
              <w:pStyle w:val="BodyText"/>
            </w:pPr>
            <w:r w:rsidRPr="000309A0">
              <w:t>T9</w:t>
            </w:r>
            <w:r w:rsidRPr="000309A0">
              <w:tab/>
              <w:t>Techniques for locating and repairing faulty components in VST and FST tuning systems in typical TV receivers or VCRs.</w:t>
            </w:r>
          </w:p>
          <w:p w:rsidR="00000000" w:rsidRPr="000309A0" w:rsidP="000309A0">
            <w:pPr>
              <w:pStyle w:val="BodyText"/>
            </w:pPr>
            <w:r w:rsidRPr="000309A0">
              <w:t>T10</w:t>
            </w:r>
            <w:r w:rsidRPr="000309A0">
              <w:tab/>
              <w:t>Techniques for locating and repairing faults in typical vision IF circuits.</w:t>
            </w:r>
          </w:p>
          <w:p w:rsidR="00000000" w:rsidRPr="000309A0" w:rsidP="000309A0">
            <w:pPr>
              <w:pStyle w:val="BodyText"/>
            </w:pPr>
            <w:r w:rsidRPr="000309A0">
              <w:t>T11</w:t>
            </w:r>
            <w:r w:rsidRPr="000309A0">
              <w:tab/>
              <w:t>The operation of and fault find a typical TV sy</w:t>
            </w:r>
            <w:r w:rsidRPr="000309A0">
              <w:t>nchronous demodulator circuit.</w:t>
            </w:r>
          </w:p>
          <w:p w:rsidR="00000000" w:rsidRPr="000309A0" w:rsidP="000309A0">
            <w:pPr>
              <w:pStyle w:val="BodyText"/>
            </w:pPr>
            <w:r w:rsidRPr="000309A0">
              <w:t>T12</w:t>
            </w:r>
            <w:r w:rsidRPr="000309A0">
              <w:tab/>
              <w:t>AGC circuits in typical TV receivers encompassing</w:t>
            </w:r>
          </w:p>
          <w:p w:rsidR="00000000" w:rsidRPr="000309A0" w:rsidP="000309A0">
            <w:pPr>
              <w:pStyle w:val="ListBullet"/>
            </w:pPr>
            <w:r w:rsidRPr="000309A0">
              <w:t>Operation</w:t>
            </w:r>
          </w:p>
          <w:p w:rsidR="00000000" w:rsidRPr="000309A0" w:rsidP="000309A0">
            <w:pPr>
              <w:pStyle w:val="ListBullet"/>
            </w:pPr>
            <w:r w:rsidRPr="000309A0">
              <w:t>Fault finding techniques</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10" w:name="O_588332"/>
      <w:bookmarkEnd w:id="10"/>
      <w:r w:rsidRPr="000309A0">
        <w:t>Evidence Guide</w:t>
      </w:r>
    </w:p>
    <w:tbl>
      <w:tblPr>
        <w:tblW w:w="0" w:type="auto"/>
        <w:tblLayout w:type="fixed"/>
        <w:tblCellMar>
          <w:left w:w="62" w:type="dxa"/>
          <w:right w:w="62" w:type="dxa"/>
        </w:tblCellMar>
        <w:tblLook w:val="0000"/>
      </w:tblPr>
      <w:tblGrid>
        <w:gridCol w:w="8460"/>
      </w:tblGrid>
      <w:tr w:rsidTr="00545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EVIDENCE GUIDE</w:t>
            </w:r>
          </w:p>
        </w:tc>
      </w:tr>
      <w:tr w:rsidTr="00545D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9)</w:t>
            </w:r>
            <w:r w:rsidRPr="000309A0">
              <w:t xml:space="preserve">  The evidence guide provides advice on assessment and must be read in conjunction with the Performance Criteria, Required Skills and Knowledge, the Range Statement and the Assessment Guidelines for this Training Package. .</w:t>
            </w:r>
          </w:p>
          <w:p w:rsidR="00000000" w:rsidRPr="000309A0" w:rsidP="000309A0">
            <w:pPr>
              <w:pStyle w:val="BodyText"/>
            </w:pPr>
            <w:r w:rsidRPr="000309A0">
              <w:t>The Evidence Guide forms an integral part of this unit. It must be used in conjunction with all parts of the unit and performed in accordance with the Assessment Guidelines of this Training Package.</w:t>
            </w:r>
          </w:p>
        </w:tc>
      </w:tr>
    </w:tbl>
    <w:p w:rsidR="00000000" w:rsidRPr="000309A0" w:rsidP="000309A0">
      <w:pPr>
        <w:pStyle w:val="BodyText"/>
      </w:pPr>
    </w:p>
    <w:tbl>
      <w:tblPr>
        <w:tblW w:w="0" w:type="auto"/>
        <w:tblLayout w:type="fixed"/>
        <w:tblCellMar>
          <w:left w:w="62" w:type="dxa"/>
          <w:right w:w="62" w:type="dxa"/>
        </w:tblCellMar>
        <w:tblLook w:val="0000"/>
      </w:tblPr>
      <w:tblGrid>
        <w:gridCol w:w="1890"/>
        <w:gridCol w:w="6570"/>
      </w:tblGrid>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9.1)</w:t>
            </w:r>
          </w:p>
        </w:tc>
      </w:tr>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Longitudinal competency d</w:t>
            </w:r>
            <w:r w:rsidRPr="000309A0">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0309A0">
              <w:t>Industry-preferred model for apprenticeships. However, where summative (or final) assessment is used it must include the application of the competency in the normal work environment or, at a minimum, the application of the competency in a realistically sim</w:t>
            </w:r>
            <w:r w:rsidRPr="000309A0">
              <w:t>ulated work environment. It is recognised that, in some circumstances, assessment in part or full can occur outside the workplace. However, it must be in accord with industry and regulatory policy.</w:t>
            </w:r>
          </w:p>
          <w:p w:rsidR="00000000" w:rsidRPr="000309A0" w:rsidP="000309A0">
            <w:pPr>
              <w:pStyle w:val="BodyText"/>
            </w:pPr>
            <w:r w:rsidRPr="000309A0">
              <w:t>Methods chosen for a particular assessment will be influen</w:t>
            </w:r>
            <w:r w:rsidRPr="000309A0">
              <w:t>ced by various factors. These include the extent of the assessment, the most effective locations for the assessment activities to take place, access to physical resources, additional safety measures that may be required and the critical nature of the compe</w:t>
            </w:r>
            <w:r w:rsidRPr="000309A0">
              <w:t>tencies being assessed.</w:t>
            </w:r>
          </w:p>
          <w:p w:rsidR="00000000" w:rsidRPr="000309A0" w:rsidP="000309A0">
            <w:pPr>
              <w:pStyle w:val="BodyText"/>
            </w:pPr>
            <w:r w:rsidRPr="000309A0">
              <w:t>The critical safety nature of working with electricity, electrical equipment, gas or any other hazardous substance/material carries risk in deeming a person competent. Sources of evidence need to be ‘rich’ in nature to minimise erro</w:t>
            </w:r>
            <w:r w:rsidRPr="000309A0">
              <w:t>r in judgment.</w:t>
            </w:r>
          </w:p>
          <w:p w:rsidR="00000000" w:rsidRPr="000309A0" w:rsidP="000309A0">
            <w:pPr>
              <w:pStyle w:val="BodyText"/>
            </w:pPr>
            <w:r w:rsidRPr="000309A0">
              <w:t>Activities associated with normal everyday work influence decisions about how/how much the data gathered will contribute to its ‘richness’. Some skills are more critical to safety and operational requirements while the same skills may be mor</w:t>
            </w:r>
            <w:r w:rsidRPr="000309A0">
              <w:t>e or less frequently practised. These points are raised for the assessors to consider when choosing an assessment method and developing assessment instruments. Sample assessment instruments are included for Assessors in the Assessment Guidelines of this Tr</w:t>
            </w:r>
            <w:r w:rsidRPr="000309A0">
              <w:t>aining Package.</w:t>
            </w:r>
          </w:p>
        </w:tc>
      </w:tr>
    </w:tbl>
    <w:p w:rsidR="00000000" w:rsidRPr="000309A0" w:rsidP="000309A0">
      <w:pPr>
        <w:pStyle w:val="BodyText"/>
      </w:pPr>
    </w:p>
    <w:tbl>
      <w:tblPr>
        <w:tblW w:w="0" w:type="auto"/>
        <w:tblLayout w:type="fixed"/>
        <w:tblCellMar>
          <w:left w:w="62" w:type="dxa"/>
          <w:right w:w="62" w:type="dxa"/>
        </w:tblCellMar>
        <w:tblLook w:val="0000"/>
      </w:tblPr>
      <w:tblGrid>
        <w:gridCol w:w="1890"/>
        <w:gridCol w:w="6570"/>
      </w:tblGrid>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9.2)</w:t>
            </w:r>
          </w:p>
        </w:tc>
      </w:tr>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Before the critical aspects of evidence are considered all prerequisites shall be met.</w:t>
            </w:r>
          </w:p>
          <w:p w:rsidR="00000000" w:rsidRPr="000309A0" w:rsidP="000309A0">
            <w:pPr>
              <w:pStyle w:val="BodyText"/>
            </w:pPr>
            <w:r w:rsidRPr="000309A0">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309A0" w:rsidP="000309A0">
            <w:pPr>
              <w:pStyle w:val="ListBullet"/>
            </w:pPr>
            <w:r w:rsidRPr="000309A0">
              <w:t>A representative body of work performance demonstrated within the timeframes typically expected of the discipline, work function and industrial environment. In particular this shall incorporate evidence that shows a candidate is able to:</w:t>
            </w:r>
          </w:p>
          <w:p w:rsidR="00000000" w:rsidRPr="000309A0" w:rsidP="000309A0">
            <w:pPr>
              <w:pStyle w:val="ListBullet2"/>
            </w:pPr>
            <w:r w:rsidRPr="000309A0">
              <w:t>Implement Occupa</w:t>
            </w:r>
            <w:r w:rsidRPr="000309A0">
              <w:t>tional Health and Safety workplace procedures and practices, including the use of risk control measures as specified in the performance criteria and range statement</w:t>
            </w:r>
          </w:p>
          <w:p w:rsidR="00000000" w:rsidRPr="000309A0" w:rsidP="000309A0">
            <w:pPr>
              <w:pStyle w:val="ListBullet2"/>
            </w:pPr>
            <w:r w:rsidRPr="000309A0">
              <w:t xml:space="preserve">Apply sustainable energy principles and practices as specified in the performance criteria </w:t>
            </w:r>
            <w:r w:rsidRPr="000309A0">
              <w:t>and range statement</w:t>
            </w:r>
          </w:p>
          <w:p w:rsidR="00000000" w:rsidRPr="000309A0" w:rsidP="000309A0">
            <w:pPr>
              <w:pStyle w:val="ListBullet2"/>
            </w:pPr>
            <w:r w:rsidRPr="000309A0">
              <w:t>Demonstrate an understanding of the essential knowledge and associated skills as described in this unit.  It may be required by some jurisdictions that RTOs provide a percentile graded result for the purpose of regulatory or licensing r</w:t>
            </w:r>
            <w:r w:rsidRPr="000309A0">
              <w:t>equirements.</w:t>
            </w:r>
          </w:p>
          <w:p w:rsidR="00000000" w:rsidRPr="000309A0" w:rsidP="000309A0">
            <w:pPr>
              <w:pStyle w:val="ListBullet2"/>
            </w:pPr>
            <w:r w:rsidRPr="000309A0">
              <w:t>Demonstrate an appropriate level of skills enabling employment</w:t>
            </w:r>
          </w:p>
          <w:p w:rsidR="00000000" w:rsidRPr="000309A0" w:rsidP="000309A0">
            <w:pPr>
              <w:pStyle w:val="ListBullet2"/>
            </w:pPr>
            <w:r w:rsidRPr="000309A0">
              <w:t>Conduct work observing the relevant Anti Discrimination legislation, regulations, polices and workplace procedures</w:t>
            </w:r>
          </w:p>
          <w:p w:rsidR="00000000" w:rsidRPr="000309A0" w:rsidP="000309A0">
            <w:pPr>
              <w:pStyle w:val="ListBullet"/>
            </w:pPr>
            <w:r w:rsidRPr="000309A0">
              <w:t>Demonstrated consistent performance across a representative rang</w:t>
            </w:r>
            <w:r w:rsidRPr="000309A0">
              <w:t>e of contexts from the prescribed items below:</w:t>
            </w:r>
          </w:p>
          <w:p w:rsidR="00000000" w:rsidRPr="000309A0" w:rsidP="000309A0">
            <w:pPr>
              <w:pStyle w:val="ListBullet2"/>
            </w:pPr>
            <w:r w:rsidRPr="000309A0">
              <w:t>Find and repair faults in television receivers as described in 8) and including:</w:t>
            </w:r>
          </w:p>
          <w:p w:rsidR="00000000" w:rsidRPr="000309A0" w:rsidP="000309A0">
            <w:pPr>
              <w:pStyle w:val="ListAlpha2"/>
            </w:pPr>
            <w:r w:rsidRPr="000309A0">
              <w:t>Using methodical fault finding techniques.</w:t>
            </w:r>
          </w:p>
          <w:p w:rsidR="00000000" w:rsidRPr="000309A0" w:rsidP="000309A0">
            <w:pPr>
              <w:pStyle w:val="ListAlpha2"/>
            </w:pPr>
            <w:r w:rsidRPr="000309A0">
              <w:t>Finding faults efficiently.</w:t>
            </w:r>
          </w:p>
          <w:p w:rsidR="00000000" w:rsidRPr="000309A0" w:rsidP="000309A0">
            <w:pPr>
              <w:pStyle w:val="ListAlpha2"/>
            </w:pPr>
            <w:r w:rsidRPr="000309A0">
              <w:t>Replacing components without damage.</w:t>
            </w:r>
          </w:p>
          <w:p w:rsidR="00000000" w:rsidRPr="000309A0" w:rsidP="000309A0">
            <w:pPr>
              <w:pStyle w:val="ListAlpha2"/>
            </w:pPr>
            <w:r w:rsidRPr="000309A0">
              <w:t>Providing written justification for the repairs.</w:t>
            </w:r>
          </w:p>
          <w:p w:rsidR="00000000" w:rsidRPr="000309A0" w:rsidP="000309A0">
            <w:pPr>
              <w:pStyle w:val="ListAlpha2"/>
            </w:pPr>
            <w:r w:rsidRPr="000309A0">
              <w:t>Dealing with unplanned events by drawing on essential knowledge and skills to provide appropriate solutions incorporated in a holistic assessment with the above listed it</w:t>
            </w:r>
            <w:r w:rsidRPr="000309A0">
              <w:t>ems.</w:t>
            </w:r>
          </w:p>
          <w:p w:rsidR="00000000" w:rsidRPr="000309A0" w:rsidP="000309A0">
            <w:pPr>
              <w:pStyle w:val="BodyText"/>
            </w:pPr>
            <w:r w:rsidRPr="000309A0">
              <w:t>Note:</w:t>
            </w:r>
          </w:p>
          <w:p w:rsidR="00000000" w:rsidRPr="000309A0" w:rsidP="000309A0">
            <w:pPr>
              <w:pStyle w:val="BodyText"/>
            </w:pPr>
            <w:r w:rsidRPr="000309A0">
              <w:t>Successful completion of relevant vendor training may be used to contribute to evidence on which competency is deemed. In these cases the alignment of outcomes of vendor training with performance criteria and critical aspects of evidence shall b</w:t>
            </w:r>
            <w:r w:rsidRPr="000309A0">
              <w:t>e clearly identified.</w:t>
            </w:r>
          </w:p>
        </w:tc>
      </w:tr>
    </w:tbl>
    <w:p w:rsidR="00000000" w:rsidRPr="000309A0" w:rsidP="000309A0">
      <w:pPr>
        <w:pStyle w:val="BodyText"/>
      </w:pPr>
    </w:p>
    <w:tbl>
      <w:tblPr>
        <w:tblW w:w="0" w:type="auto"/>
        <w:tblLayout w:type="fixed"/>
        <w:tblCellMar>
          <w:left w:w="62" w:type="dxa"/>
          <w:right w:w="62" w:type="dxa"/>
        </w:tblCellMar>
        <w:tblLook w:val="0000"/>
      </w:tblPr>
      <w:tblGrid>
        <w:gridCol w:w="1890"/>
        <w:gridCol w:w="6570"/>
      </w:tblGrid>
      <w:tr w:rsidTr="00545D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9.3)</w:t>
            </w:r>
          </w:p>
        </w:tc>
      </w:tr>
      <w:tr w:rsidTr="00545D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This unit should be assessed as it relates to normal work practice using procedures, information and resources typical of a workplace. This should include:</w:t>
            </w:r>
          </w:p>
          <w:p w:rsidR="00000000" w:rsidRPr="000309A0" w:rsidP="000309A0">
            <w:pPr>
              <w:pStyle w:val="ListBullet"/>
            </w:pPr>
            <w:r w:rsidRPr="000309A0">
              <w:t>OHS policy and work procedures and instructions.</w:t>
            </w:r>
          </w:p>
          <w:p w:rsidR="00000000" w:rsidRPr="000309A0" w:rsidP="000309A0">
            <w:pPr>
              <w:pStyle w:val="ListBullet"/>
            </w:pPr>
            <w:r w:rsidRPr="000309A0">
              <w:t>Suitable work environment, facilities, equipment and materials to undertake actual work as prescribed by this unit.</w:t>
            </w:r>
          </w:p>
          <w:p w:rsidR="00000000" w:rsidRPr="000309A0" w:rsidP="000309A0">
            <w:pPr>
              <w:pStyle w:val="BodyText"/>
            </w:pPr>
            <w:r w:rsidRPr="000309A0">
              <w:t>These should be part of the formal learning/assessment environment.</w:t>
            </w:r>
          </w:p>
          <w:p w:rsidR="00000000" w:rsidRPr="000309A0" w:rsidP="000309A0">
            <w:pPr>
              <w:pStyle w:val="BodyText"/>
            </w:pPr>
            <w:r w:rsidRPr="000309A0">
              <w:t>Note:</w:t>
            </w:r>
          </w:p>
          <w:p w:rsidR="00000000" w:rsidRPr="000309A0" w:rsidP="000309A0">
            <w:pPr>
              <w:pStyle w:val="BodyText"/>
            </w:pPr>
            <w:r w:rsidRPr="000309A0">
              <w:t xml:space="preserve">Where simulation </w:t>
            </w:r>
            <w:r w:rsidRPr="000309A0">
              <w:t>is considered a suitable strategy for assessment, conditions must be authentic and as far as possible reproduce and replicate the workplace and be consistent with the approved industry simulation policy.</w:t>
            </w:r>
          </w:p>
          <w:p w:rsidR="00000000" w:rsidRPr="000309A0" w:rsidP="000309A0">
            <w:pPr>
              <w:pStyle w:val="BodyText"/>
            </w:pPr>
            <w:r w:rsidRPr="000309A0">
              <w:t>The resources used for assessment should reflect cur</w:t>
            </w:r>
            <w:r w:rsidRPr="000309A0">
              <w:t>rent industry practices in relation to finding and repairing faults in television receivers.</w:t>
            </w:r>
          </w:p>
        </w:tc>
      </w:tr>
    </w:tbl>
    <w:p w:rsidR="00000000" w:rsidRPr="000309A0" w:rsidP="000309A0">
      <w:pPr>
        <w:pStyle w:val="BodyText"/>
      </w:pPr>
    </w:p>
    <w:tbl>
      <w:tblPr>
        <w:tblW w:w="0" w:type="auto"/>
        <w:tblLayout w:type="fixed"/>
        <w:tblCellMar>
          <w:left w:w="62" w:type="dxa"/>
          <w:right w:w="62" w:type="dxa"/>
        </w:tblCellMar>
        <w:tblLook w:val="0000"/>
      </w:tblPr>
      <w:tblGrid>
        <w:gridCol w:w="1890"/>
        <w:gridCol w:w="6570"/>
      </w:tblGrid>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9.4)</w:t>
            </w:r>
          </w:p>
        </w:tc>
      </w:tr>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This unit shall be assessed by methods given in Volume 1, Part 3 ‘Assessment Guidelines’.</w:t>
            </w:r>
          </w:p>
          <w:p w:rsidR="00000000" w:rsidRPr="000309A0" w:rsidP="000309A0">
            <w:pPr>
              <w:pStyle w:val="BodyText"/>
            </w:pPr>
            <w:r w:rsidRPr="000309A0">
              <w:t>Note:</w:t>
            </w:r>
          </w:p>
          <w:p w:rsidR="00000000" w:rsidRPr="000309A0" w:rsidP="000309A0">
            <w:pPr>
              <w:pStyle w:val="BodyText"/>
            </w:pPr>
            <w:r w:rsidRPr="000309A0">
              <w:t>Competent performance with inherent safe working practices is expected in the industry to which this unit applies. This requires that the specified essential knowledge and associated skills are assessed in a structured environment which is primarily intend</w:t>
            </w:r>
            <w:r w:rsidRPr="000309A0">
              <w:t>ed for learning/assessment and incorporates all necessary equipment and facilities for learners to develop and demonstrate the essential knowledge and skills described in this unit.</w:t>
            </w:r>
          </w:p>
        </w:tc>
      </w:tr>
    </w:tbl>
    <w:p w:rsidR="00000000" w:rsidRPr="000309A0" w:rsidP="000309A0">
      <w:pPr>
        <w:pStyle w:val="BodyText"/>
      </w:pPr>
    </w:p>
    <w:tbl>
      <w:tblPr>
        <w:tblW w:w="0" w:type="auto"/>
        <w:tblLayout w:type="fixed"/>
        <w:tblCellMar>
          <w:left w:w="62" w:type="dxa"/>
          <w:right w:w="62" w:type="dxa"/>
        </w:tblCellMar>
        <w:tblLook w:val="0000"/>
      </w:tblPr>
      <w:tblGrid>
        <w:gridCol w:w="1890"/>
        <w:gridCol w:w="6570"/>
      </w:tblGrid>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9.5)</w:t>
            </w:r>
          </w:p>
        </w:tc>
      </w:tr>
      <w:tr w:rsidTr="00545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There are</w:t>
            </w:r>
            <w:r w:rsidRPr="000309A0">
              <w:t xml:space="preserve"> no concurrent assessment recommendations for this unit.</w:t>
            </w:r>
          </w:p>
          <w:p w:rsidR="00000000" w:rsidRPr="000309A0" w:rsidP="000309A0">
            <w:pPr>
              <w:pStyle w:val="BodyText"/>
            </w:pPr>
            <w:r w:rsidRPr="000309A0">
              <w:t>The critical aspects of occupational health and safety covered in unit UEENEEE101A and other discipline specific occupational health and safety units shall be incorporated in relation to this unit.</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11" w:name="O_588331"/>
      <w:bookmarkEnd w:id="11"/>
      <w:r w:rsidRPr="000309A0">
        <w:t>Range Statement</w:t>
      </w:r>
    </w:p>
    <w:tbl>
      <w:tblPr>
        <w:tblW w:w="0" w:type="auto"/>
        <w:tblLayout w:type="fixed"/>
        <w:tblCellMar>
          <w:left w:w="62" w:type="dxa"/>
          <w:right w:w="62" w:type="dxa"/>
        </w:tblCellMar>
        <w:tblLook w:val="0000"/>
      </w:tblPr>
      <w:tblGrid>
        <w:gridCol w:w="8460"/>
      </w:tblGrid>
      <w:tr w:rsidTr="00545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RANGE STATEMENT</w:t>
            </w:r>
          </w:p>
        </w:tc>
      </w:tr>
      <w:tr w:rsidTr="00545D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10)</w:t>
            </w:r>
            <w:r w:rsidRPr="000309A0">
              <w:t xml:space="preserve">  This relates to the unit as a whole providing the range of contexts and conditions to which the performance criteria apply. It allows for different work environments and situations that will affect pe</w:t>
            </w:r>
            <w:r w:rsidRPr="000309A0">
              <w:t>rformance.</w:t>
            </w:r>
          </w:p>
          <w:p w:rsidR="00000000" w:rsidRPr="000309A0" w:rsidP="000309A0">
            <w:pPr>
              <w:pStyle w:val="BodyText"/>
            </w:pPr>
            <w:r w:rsidRPr="000309A0">
              <w:t>This unit shall be demonstrated using a representative range of television receiver faults to find and repair faults in signal processing and scanning and deflection sections of television receivers.</w:t>
            </w:r>
          </w:p>
          <w:p w:rsidR="00000000" w:rsidRPr="000309A0" w:rsidP="000309A0">
            <w:pPr>
              <w:pStyle w:val="BodyText"/>
            </w:pPr>
            <w:r w:rsidRPr="000309A0">
              <w:t>Generic terms used throughout this Vocational</w:t>
            </w:r>
            <w:r w:rsidRPr="000309A0">
              <w:t xml:space="preserve"> Standard shall be regarded as part of the Range Statement in which competency is demonstrated. The definition of these and other terms that apply are given in Volume 2, Part 2.1.</w:t>
            </w:r>
          </w:p>
        </w:tc>
      </w:tr>
    </w:tbl>
    <w:p w:rsidR="00000000" w:rsidRPr="000309A0" w:rsidP="000309A0">
      <w:pPr>
        <w:pStyle w:val="BodyText"/>
      </w:pPr>
    </w:p>
    <w:p w:rsidR="00000000" w:rsidRPr="000309A0" w:rsidP="000309A0">
      <w:pPr>
        <w:pStyle w:val="AllowPageBreak"/>
      </w:pPr>
    </w:p>
    <w:p w:rsidR="00000000" w:rsidRPr="000309A0" w:rsidP="000309A0">
      <w:pPr>
        <w:pStyle w:val="Heading1"/>
      </w:pPr>
      <w:bookmarkStart w:id="12" w:name="O_588330"/>
      <w:bookmarkEnd w:id="12"/>
      <w:r w:rsidRPr="000309A0">
        <w:t>Unit Sector(s)</w:t>
      </w:r>
    </w:p>
    <w:p w:rsidR="00000000" w:rsidRPr="000309A0" w:rsidP="000309A0">
      <w:pPr>
        <w:pStyle w:val="BodyText"/>
      </w:pPr>
      <w:r w:rsidRPr="000309A0">
        <w:t>Not applicable.</w:t>
      </w:r>
    </w:p>
    <w:p w:rsidR="00000000" w:rsidRPr="000309A0" w:rsidP="000309A0">
      <w:pPr>
        <w:pStyle w:val="AllowPageBreak"/>
      </w:pPr>
    </w:p>
    <w:p w:rsidR="00000000" w:rsidRPr="000309A0" w:rsidP="000309A0">
      <w:pPr>
        <w:pStyle w:val="Heading1"/>
      </w:pPr>
      <w:bookmarkStart w:id="13" w:name="O_588329"/>
      <w:bookmarkEnd w:id="13"/>
      <w:r w:rsidRPr="000309A0">
        <w:t>Competency Field</w:t>
      </w:r>
    </w:p>
    <w:tbl>
      <w:tblPr>
        <w:tblW w:w="0" w:type="auto"/>
        <w:tblLayout w:type="fixed"/>
        <w:tblCellMar>
          <w:left w:w="62" w:type="dxa"/>
          <w:right w:w="62" w:type="dxa"/>
        </w:tblCellMar>
        <w:tblLook w:val="0000"/>
      </w:tblPr>
      <w:tblGrid>
        <w:gridCol w:w="2700"/>
        <w:gridCol w:w="5760"/>
      </w:tblGrid>
      <w:tr w:rsidTr="00545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09A0">
            <w:pPr>
              <w:pStyle w:val="BodyText"/>
              <w:rPr>
                <w:lang w:val="en-NZ"/>
              </w:rPr>
            </w:pPr>
            <w:r w:rsidRPr="000309A0">
              <w:rPr>
                <w:rStyle w:val="SpecialBold"/>
              </w:rPr>
              <w:t xml:space="preserve">11) </w:t>
            </w:r>
          </w:p>
        </w:tc>
      </w:tr>
      <w:tr w:rsidTr="00545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9A0" w:rsidP="000309A0">
            <w:pPr>
              <w:pStyle w:val="BodyText"/>
            </w:pPr>
            <w:r w:rsidRPr="000309A0">
              <w:t>Electronics</w:t>
            </w:r>
          </w:p>
        </w:tc>
      </w:tr>
    </w:tbl>
    <w:p w:rsidR="00000000" w:rsidRPr="000309A0" w:rsidP="000309A0">
      <w:pPr>
        <w:pStyle w:val="BodyText"/>
      </w:pPr>
    </w:p>
    <w:p w:rsidR="00000000" w:rsidRPr="000309A0" w:rsidP="000309A0"/>
    <w:sectPr w:rsidSect="00030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rsidRPr="00545D51" w:rsidP="00545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1" w:rsidP="00030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45D51" w:rsidP="000309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45D51" w:rsidP="00030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rsidRPr="00545D51" w:rsidP="00545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1" w:rsidRPr="002D2AF8" w:rsidP="000309A0">
    <w:pPr>
      <w:pStyle w:val="Header"/>
      <w:framePr w:wrap="around"/>
    </w:pPr>
    <w:r>
      <w:fldChar w:fldCharType="begin"/>
    </w:r>
    <w:r>
      <w:instrText xml:space="preserve"> TITLE   \* MERGEFORMAT </w:instrText>
    </w:r>
    <w:r>
      <w:fldChar w:fldCharType="separate"/>
    </w:r>
    <w:r>
      <w:t>UEENEEH171A Troubleshoot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45D51" w:rsidP="00030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C7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E2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C85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272DE4"/>
    <w:multiLevelType w:val="multilevel"/>
    <w:tmpl w:val="9F6A21F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9A0"/>
    <w:pPr>
      <w:spacing w:before="360" w:after="60"/>
      <w:outlineLvl w:val="0"/>
    </w:pPr>
    <w:rPr>
      <w:sz w:val="32"/>
    </w:rPr>
  </w:style>
  <w:style w:type="paragraph" w:styleId="Heading2">
    <w:name w:val="heading 2"/>
    <w:basedOn w:val="HeadingBase"/>
    <w:next w:val="BodyText"/>
    <w:link w:val="Heading2Char"/>
    <w:qFormat/>
    <w:rsid w:val="000309A0"/>
    <w:pPr>
      <w:keepLines/>
      <w:spacing w:before="240" w:after="120"/>
      <w:outlineLvl w:val="1"/>
    </w:pPr>
    <w:rPr>
      <w:sz w:val="28"/>
      <w:szCs w:val="40"/>
    </w:rPr>
  </w:style>
  <w:style w:type="paragraph" w:styleId="Heading3">
    <w:name w:val="heading 3"/>
    <w:basedOn w:val="HeadingBase"/>
    <w:next w:val="BodyText"/>
    <w:link w:val="Heading3Char"/>
    <w:qFormat/>
    <w:rsid w:val="000309A0"/>
    <w:pPr>
      <w:spacing w:before="180" w:after="120"/>
      <w:outlineLvl w:val="2"/>
    </w:pPr>
    <w:rPr>
      <w:spacing w:val="-10"/>
      <w:kern w:val="32"/>
    </w:rPr>
  </w:style>
  <w:style w:type="paragraph" w:styleId="Heading4">
    <w:name w:val="heading 4"/>
    <w:basedOn w:val="HeadingBase"/>
    <w:next w:val="BodyText"/>
    <w:link w:val="Heading4Char"/>
    <w:qFormat/>
    <w:rsid w:val="000309A0"/>
    <w:pPr>
      <w:spacing w:before="160" w:after="120"/>
      <w:outlineLvl w:val="3"/>
    </w:pPr>
    <w:rPr>
      <w:sz w:val="22"/>
    </w:rPr>
  </w:style>
  <w:style w:type="paragraph" w:styleId="Heading5">
    <w:name w:val="heading 5"/>
    <w:basedOn w:val="HeadingBase"/>
    <w:next w:val="Normal"/>
    <w:link w:val="Heading5Char"/>
    <w:qFormat/>
    <w:rsid w:val="000309A0"/>
    <w:pPr>
      <w:spacing w:before="80"/>
      <w:outlineLvl w:val="4"/>
    </w:pPr>
    <w:rPr>
      <w:color w:val="918585"/>
      <w:sz w:val="20"/>
    </w:rPr>
  </w:style>
  <w:style w:type="paragraph" w:styleId="Heading6">
    <w:name w:val="heading 6"/>
    <w:basedOn w:val="HeadingBase"/>
    <w:next w:val="Normal"/>
    <w:link w:val="Heading6Char"/>
    <w:qFormat/>
    <w:rsid w:val="000309A0"/>
    <w:pPr>
      <w:spacing w:before="60"/>
      <w:outlineLvl w:val="5"/>
    </w:pPr>
    <w:rPr>
      <w:color w:val="918585"/>
      <w:sz w:val="20"/>
    </w:rPr>
  </w:style>
  <w:style w:type="paragraph" w:styleId="Heading7">
    <w:name w:val="heading 7"/>
    <w:basedOn w:val="Normal"/>
    <w:next w:val="Normal"/>
    <w:link w:val="Heading7Char"/>
    <w:qFormat/>
    <w:rsid w:val="000309A0"/>
    <w:pPr>
      <w:ind w:left="720"/>
      <w:outlineLvl w:val="6"/>
    </w:pPr>
    <w:rPr>
      <w:i/>
    </w:rPr>
  </w:style>
  <w:style w:type="paragraph" w:styleId="Heading8">
    <w:name w:val="heading 8"/>
    <w:basedOn w:val="Normal"/>
    <w:next w:val="Normal"/>
    <w:link w:val="Heading8Char"/>
    <w:qFormat/>
    <w:rsid w:val="000309A0"/>
    <w:pPr>
      <w:ind w:left="720"/>
      <w:outlineLvl w:val="7"/>
    </w:pPr>
    <w:rPr>
      <w:i/>
    </w:rPr>
  </w:style>
  <w:style w:type="paragraph" w:styleId="Heading9">
    <w:name w:val="heading 9"/>
    <w:basedOn w:val="Normal"/>
    <w:next w:val="Normal"/>
    <w:link w:val="Heading9Char"/>
    <w:qFormat/>
    <w:rsid w:val="000309A0"/>
    <w:pPr>
      <w:ind w:left="720"/>
      <w:outlineLvl w:val="8"/>
    </w:pPr>
    <w:rPr>
      <w:i/>
    </w:rPr>
  </w:style>
  <w:style w:type="character" w:default="1" w:styleId="DefaultParagraphFont">
    <w:name w:val="Default Paragraph Font"/>
    <w:uiPriority w:val="1"/>
    <w:unhideWhenUsed/>
    <w:rsid w:val="00030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9A0"/>
  </w:style>
  <w:style w:type="character" w:customStyle="1" w:styleId="Heading1Char">
    <w:name w:val="Heading 1 Char"/>
    <w:basedOn w:val="DefaultParagraphFont"/>
    <w:link w:val="Heading1"/>
    <w:rsid w:val="000309A0"/>
    <w:rPr>
      <w:rFonts w:ascii="Times New Roman" w:eastAsia="Times New Roman" w:hAnsi="Times New Roman" w:cs="Times New Roman"/>
      <w:b/>
      <w:sz w:val="32"/>
      <w:szCs w:val="20"/>
      <w:lang w:eastAsia="en-US"/>
    </w:rPr>
  </w:style>
  <w:style w:type="paragraph" w:styleId="BodyText">
    <w:name w:val="Body Text"/>
    <w:basedOn w:val="Normal"/>
    <w:link w:val="BodyTextChar"/>
    <w:rsid w:val="00030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9A0"/>
    <w:rPr>
      <w:rFonts w:ascii="Times New Roman" w:eastAsia="Times New Roman" w:hAnsi="Times New Roman" w:cs="Times New Roman"/>
      <w:sz w:val="24"/>
      <w:lang w:eastAsia="en-US"/>
    </w:rPr>
  </w:style>
  <w:style w:type="paragraph" w:styleId="ListBullet">
    <w:name w:val="List Bullet"/>
    <w:basedOn w:val="List"/>
    <w:rsid w:val="000309A0"/>
    <w:pPr>
      <w:numPr>
        <w:numId w:val="13"/>
      </w:numPr>
      <w:tabs>
        <w:tab w:val="clear" w:pos="340"/>
      </w:tabs>
      <w:spacing w:before="40" w:after="40"/>
    </w:pPr>
  </w:style>
  <w:style w:type="character" w:customStyle="1" w:styleId="SpecialBold">
    <w:name w:val="Special Bold"/>
    <w:basedOn w:val="DefaultParagraphFont"/>
    <w:rsid w:val="000309A0"/>
    <w:rPr>
      <w:b/>
      <w:spacing w:val="0"/>
    </w:rPr>
  </w:style>
  <w:style w:type="paragraph" w:styleId="ListBullet2">
    <w:name w:val="List Bullet 2"/>
    <w:basedOn w:val="List2"/>
    <w:rsid w:val="000309A0"/>
    <w:pPr>
      <w:numPr>
        <w:numId w:val="14"/>
      </w:numPr>
      <w:tabs>
        <w:tab w:val="clear" w:pos="680"/>
      </w:tabs>
    </w:pPr>
  </w:style>
  <w:style w:type="paragraph" w:customStyle="1" w:styleId="SuperHeading">
    <w:name w:val="SuperHeading"/>
    <w:basedOn w:val="Normal"/>
    <w:rsid w:val="000309A0"/>
    <w:pPr>
      <w:spacing w:before="240" w:after="120"/>
      <w:outlineLvl w:val="0"/>
    </w:pPr>
    <w:rPr>
      <w:rFonts w:ascii="Times New Roman" w:hAnsi="Times New Roman"/>
      <w:b/>
      <w:sz w:val="32"/>
    </w:rPr>
  </w:style>
  <w:style w:type="paragraph" w:customStyle="1" w:styleId="AllowPageBreak">
    <w:name w:val="AllowPageBreak"/>
    <w:rsid w:val="000309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0309A0"/>
    <w:pPr>
      <w:numPr>
        <w:numId w:val="8"/>
      </w:numPr>
    </w:pPr>
  </w:style>
  <w:style w:type="character" w:customStyle="1" w:styleId="Heading2Char">
    <w:name w:val="Heading 2 Char"/>
    <w:basedOn w:val="DefaultParagraphFont"/>
    <w:link w:val="Heading2"/>
    <w:rsid w:val="00030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9A0"/>
    <w:rPr>
      <w:rFonts w:ascii="Courier New" w:eastAsia="Times New Roman" w:hAnsi="Courier New" w:cs="Times New Roman"/>
      <w:i/>
      <w:szCs w:val="20"/>
      <w:lang w:eastAsia="en-US"/>
    </w:rPr>
  </w:style>
  <w:style w:type="paragraph" w:customStyle="1" w:styleId="HeadingBase">
    <w:name w:val="Heading Base"/>
    <w:rsid w:val="00030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9A0"/>
    <w:pPr>
      <w:tabs>
        <w:tab w:val="right" w:leader="dot" w:pos="9072"/>
      </w:tabs>
      <w:ind w:left="567"/>
    </w:pPr>
    <w:rPr>
      <w:szCs w:val="22"/>
    </w:rPr>
  </w:style>
  <w:style w:type="paragraph" w:customStyle="1" w:styleId="TOCBase">
    <w:name w:val="TOC Base"/>
    <w:rsid w:val="00030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9A0"/>
    <w:pPr>
      <w:tabs>
        <w:tab w:val="right" w:leader="dot" w:pos="9072"/>
      </w:tabs>
      <w:spacing w:before="40" w:after="40"/>
      <w:ind w:left="284"/>
    </w:pPr>
    <w:rPr>
      <w:rFonts w:ascii="Times New Roman" w:hAnsi="Times New Roman"/>
    </w:rPr>
  </w:style>
  <w:style w:type="paragraph" w:styleId="TOC1">
    <w:name w:val="toc 1"/>
    <w:basedOn w:val="TOCBase"/>
    <w:next w:val="Normal"/>
    <w:rsid w:val="00030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9A0"/>
    <w:rPr>
      <w:rFonts w:ascii="Times New Roman" w:eastAsia="Times New Roman" w:hAnsi="Times New Roman" w:cs="Times New Roman"/>
      <w:sz w:val="16"/>
      <w:lang w:eastAsia="en-US"/>
    </w:rPr>
  </w:style>
  <w:style w:type="paragraph" w:styleId="Title">
    <w:name w:val="Title"/>
    <w:basedOn w:val="HeadingBase"/>
    <w:link w:val="TitleChar"/>
    <w:qFormat/>
    <w:rsid w:val="000309A0"/>
    <w:pPr>
      <w:spacing w:before="5040"/>
      <w:jc w:val="center"/>
    </w:pPr>
    <w:rPr>
      <w:sz w:val="48"/>
      <w:szCs w:val="72"/>
      <w:lang w:val="en-US"/>
    </w:rPr>
  </w:style>
  <w:style w:type="character" w:customStyle="1" w:styleId="TitleChar">
    <w:name w:val="Title Char"/>
    <w:basedOn w:val="DefaultParagraphFont"/>
    <w:link w:val="Title"/>
    <w:rsid w:val="00030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9A0"/>
    <w:pPr>
      <w:tabs>
        <w:tab w:val="left" w:pos="3600"/>
        <w:tab w:val="left" w:pos="3958"/>
      </w:tabs>
    </w:pPr>
  </w:style>
  <w:style w:type="paragraph" w:styleId="List">
    <w:name w:val="List"/>
    <w:basedOn w:val="BodyText"/>
    <w:next w:val="BodyText"/>
    <w:rsid w:val="000309A0"/>
    <w:pPr>
      <w:tabs>
        <w:tab w:val="left" w:pos="340"/>
      </w:tabs>
      <w:spacing w:before="60" w:after="60"/>
      <w:ind w:left="340" w:hanging="340"/>
    </w:pPr>
  </w:style>
  <w:style w:type="paragraph" w:customStyle="1" w:styleId="Note">
    <w:name w:val="Note"/>
    <w:basedOn w:val="BodyText"/>
    <w:rsid w:val="00030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9A0"/>
    <w:pPr>
      <w:framePr w:wrap="auto" w:hAnchor="text" w:y="6049"/>
    </w:pPr>
    <w:rPr>
      <w:color w:val="000000"/>
      <w:sz w:val="40"/>
    </w:rPr>
  </w:style>
  <w:style w:type="paragraph" w:customStyle="1" w:styleId="TOCTitle">
    <w:name w:val="TOCTitle"/>
    <w:basedOn w:val="Heading1"/>
    <w:rsid w:val="000309A0"/>
    <w:pPr>
      <w:spacing w:after="240"/>
      <w:jc w:val="center"/>
      <w:outlineLvl w:val="9"/>
    </w:pPr>
    <w:rPr>
      <w:caps/>
    </w:rPr>
  </w:style>
  <w:style w:type="paragraph" w:customStyle="1" w:styleId="Version">
    <w:name w:val="Version"/>
    <w:rsid w:val="00030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9A0"/>
    <w:pPr>
      <w:keepNext w:val="0"/>
      <w:tabs>
        <w:tab w:val="right" w:pos="4176"/>
      </w:tabs>
      <w:ind w:left="198" w:hanging="198"/>
    </w:pPr>
    <w:rPr>
      <w:rFonts w:ascii="Garamond" w:hAnsi="Garamond"/>
    </w:rPr>
  </w:style>
  <w:style w:type="paragraph" w:styleId="IndexHeading">
    <w:name w:val="index heading"/>
    <w:basedOn w:val="Normal"/>
    <w:next w:val="Index1"/>
    <w:semiHidden/>
    <w:rsid w:val="000309A0"/>
    <w:pPr>
      <w:spacing w:before="120" w:after="120"/>
    </w:pPr>
    <w:rPr>
      <w:rFonts w:ascii="Arial" w:hAnsi="Arial"/>
      <w:b/>
      <w:color w:val="918585"/>
      <w:sz w:val="24"/>
    </w:rPr>
  </w:style>
  <w:style w:type="paragraph" w:styleId="Header">
    <w:name w:val="header"/>
    <w:basedOn w:val="Normal"/>
    <w:link w:val="HeaderChar"/>
    <w:rsid w:val="00030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9A0"/>
    <w:rPr>
      <w:rFonts w:ascii="Times New Roman" w:eastAsia="Times New Roman" w:hAnsi="Times New Roman" w:cs="Times New Roman"/>
      <w:sz w:val="16"/>
      <w:szCs w:val="20"/>
      <w:lang w:val="en-GB" w:eastAsia="en-US"/>
    </w:rPr>
  </w:style>
  <w:style w:type="paragraph" w:customStyle="1" w:styleId="Chapter">
    <w:name w:val="Chapter"/>
    <w:basedOn w:val="Normal"/>
    <w:rsid w:val="000309A0"/>
    <w:pPr>
      <w:spacing w:before="240"/>
    </w:pPr>
    <w:rPr>
      <w:rFonts w:ascii="Times New Roman" w:hAnsi="Times New Roman"/>
      <w:smallCaps/>
      <w:spacing w:val="80"/>
      <w:sz w:val="28"/>
    </w:rPr>
  </w:style>
  <w:style w:type="paragraph" w:customStyle="1" w:styleId="InChapter">
    <w:name w:val="InChapter"/>
    <w:basedOn w:val="Heading3"/>
    <w:rsid w:val="000309A0"/>
    <w:pPr>
      <w:spacing w:after="240"/>
      <w:outlineLvl w:val="9"/>
    </w:pPr>
    <w:rPr>
      <w:noProof/>
    </w:rPr>
  </w:style>
  <w:style w:type="paragraph" w:styleId="Index2">
    <w:name w:val="index 2"/>
    <w:basedOn w:val="Normal"/>
    <w:next w:val="Normal"/>
    <w:semiHidden/>
    <w:rsid w:val="000309A0"/>
    <w:pPr>
      <w:tabs>
        <w:tab w:val="right" w:pos="4176"/>
      </w:tabs>
      <w:ind w:left="568" w:hanging="284"/>
    </w:pPr>
    <w:rPr>
      <w:rFonts w:ascii="Garamond" w:hAnsi="Garamond"/>
    </w:rPr>
  </w:style>
  <w:style w:type="paragraph" w:customStyle="1" w:styleId="Byline">
    <w:name w:val="Byline"/>
    <w:rsid w:val="00030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9A0"/>
    <w:pPr>
      <w:tabs>
        <w:tab w:val="clear" w:pos="3600"/>
        <w:tab w:val="clear" w:pos="3958"/>
      </w:tabs>
      <w:jc w:val="right"/>
    </w:pPr>
  </w:style>
  <w:style w:type="character" w:styleId="Emphasis">
    <w:name w:val="Emphasis"/>
    <w:basedOn w:val="DefaultParagraphFont"/>
    <w:qFormat/>
    <w:rsid w:val="000309A0"/>
    <w:rPr>
      <w:i/>
    </w:rPr>
  </w:style>
  <w:style w:type="paragraph" w:styleId="Caption">
    <w:name w:val="caption"/>
    <w:basedOn w:val="BodyText"/>
    <w:next w:val="Normal"/>
    <w:qFormat/>
    <w:rsid w:val="000309A0"/>
    <w:pPr>
      <w:framePr w:w="2268" w:hSpace="181" w:vSpace="181" w:wrap="around" w:vAnchor="text" w:hAnchor="page" w:x="1135" w:y="285" w:anchorLock="1"/>
    </w:pPr>
    <w:rPr>
      <w:i/>
    </w:rPr>
  </w:style>
  <w:style w:type="paragraph" w:customStyle="1" w:styleId="MiniTOCTitle">
    <w:name w:val="MiniTOCTitle"/>
    <w:basedOn w:val="Heading4"/>
    <w:rsid w:val="000309A0"/>
    <w:pPr>
      <w:spacing w:before="240"/>
      <w:outlineLvl w:val="9"/>
    </w:pPr>
    <w:rPr>
      <w:noProof/>
      <w:sz w:val="24"/>
    </w:rPr>
  </w:style>
  <w:style w:type="paragraph" w:customStyle="1" w:styleId="MiniTOCItem">
    <w:name w:val="MiniTOCItem"/>
    <w:basedOn w:val="ListBullet"/>
    <w:rsid w:val="000309A0"/>
    <w:pPr>
      <w:numPr>
        <w:numId w:val="0"/>
      </w:numPr>
      <w:tabs>
        <w:tab w:val="right" w:leader="dot" w:pos="6521"/>
      </w:tabs>
      <w:spacing w:before="0" w:after="0"/>
    </w:pPr>
  </w:style>
  <w:style w:type="paragraph" w:customStyle="1" w:styleId="TOFTitle">
    <w:name w:val="TOFTitle"/>
    <w:basedOn w:val="TOCTitle"/>
    <w:rsid w:val="000309A0"/>
  </w:style>
  <w:style w:type="paragraph" w:styleId="TableofFigures">
    <w:name w:val="table of figures"/>
    <w:basedOn w:val="Normal"/>
    <w:next w:val="Normal"/>
    <w:semiHidden/>
    <w:rsid w:val="000309A0"/>
    <w:pPr>
      <w:tabs>
        <w:tab w:val="right" w:leader="dot" w:pos="9072"/>
      </w:tabs>
      <w:ind w:left="970" w:hanging="403"/>
    </w:pPr>
    <w:rPr>
      <w:rFonts w:ascii="Times New Roman" w:hAnsi="Times New Roman"/>
      <w:b/>
    </w:rPr>
  </w:style>
  <w:style w:type="paragraph" w:styleId="ListNumber">
    <w:name w:val="List Number"/>
    <w:basedOn w:val="List"/>
    <w:rsid w:val="000309A0"/>
    <w:pPr>
      <w:numPr>
        <w:numId w:val="11"/>
      </w:numPr>
    </w:pPr>
  </w:style>
  <w:style w:type="character" w:customStyle="1" w:styleId="WingdingSymbols">
    <w:name w:val="Wingding Symbols"/>
    <w:rsid w:val="000309A0"/>
    <w:rPr>
      <w:rFonts w:ascii="Wingdings" w:hAnsi="Wingdings"/>
    </w:rPr>
  </w:style>
  <w:style w:type="paragraph" w:customStyle="1" w:styleId="TableHeading">
    <w:name w:val="Table Heading"/>
    <w:basedOn w:val="HeadingBase"/>
    <w:rsid w:val="000309A0"/>
    <w:pPr>
      <w:keepLines/>
      <w:pBdr>
        <w:bottom w:val="single" w:sz="6" w:space="1" w:color="918585"/>
      </w:pBdr>
      <w:spacing w:before="240"/>
    </w:pPr>
  </w:style>
  <w:style w:type="character" w:customStyle="1" w:styleId="HotSpot">
    <w:name w:val="HotSpot"/>
    <w:rsid w:val="000309A0"/>
    <w:rPr>
      <w:color w:val="0033CC"/>
      <w:u w:val="none"/>
    </w:rPr>
  </w:style>
  <w:style w:type="paragraph" w:customStyle="1" w:styleId="BodyTextRight">
    <w:name w:val="Body Text Right"/>
    <w:basedOn w:val="BodyText"/>
    <w:rsid w:val="000309A0"/>
    <w:pPr>
      <w:spacing w:before="0" w:after="0"/>
      <w:jc w:val="right"/>
    </w:pPr>
  </w:style>
  <w:style w:type="paragraph" w:styleId="Index3">
    <w:name w:val="index 3"/>
    <w:basedOn w:val="ListNumber2"/>
    <w:next w:val="Normal"/>
    <w:semiHidden/>
    <w:rsid w:val="000309A0"/>
    <w:pPr>
      <w:numPr>
        <w:numId w:val="0"/>
      </w:numPr>
      <w:tabs>
        <w:tab w:val="right" w:leader="dot" w:pos="4176"/>
      </w:tabs>
    </w:pPr>
  </w:style>
  <w:style w:type="paragraph" w:styleId="ListNumber2">
    <w:name w:val="List Number 2"/>
    <w:basedOn w:val="List2"/>
    <w:rsid w:val="000309A0"/>
    <w:pPr>
      <w:numPr>
        <w:numId w:val="10"/>
      </w:numPr>
      <w:tabs>
        <w:tab w:val="clear" w:pos="1060"/>
      </w:tabs>
    </w:pPr>
  </w:style>
  <w:style w:type="paragraph" w:customStyle="1" w:styleId="MarginNote">
    <w:name w:val="Margin Note"/>
    <w:basedOn w:val="BodyText"/>
    <w:rsid w:val="00030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9A0"/>
    <w:rPr>
      <w:sz w:val="32"/>
    </w:rPr>
  </w:style>
  <w:style w:type="paragraph" w:customStyle="1" w:styleId="HeadingProcedure">
    <w:name w:val="Heading Procedure"/>
    <w:basedOn w:val="HeadingBase"/>
    <w:next w:val="Normal"/>
    <w:rsid w:val="000309A0"/>
    <w:pPr>
      <w:tabs>
        <w:tab w:val="left" w:pos="0"/>
      </w:tabs>
      <w:spacing w:before="120" w:after="60"/>
    </w:pPr>
    <w:rPr>
      <w:i/>
      <w:color w:val="918585"/>
      <w:sz w:val="22"/>
    </w:rPr>
  </w:style>
  <w:style w:type="paragraph" w:customStyle="1" w:styleId="TableBodyText">
    <w:name w:val="Table Body Text"/>
    <w:basedOn w:val="BodyText"/>
    <w:rsid w:val="000309A0"/>
    <w:pPr>
      <w:spacing w:before="60" w:after="60"/>
    </w:pPr>
  </w:style>
  <w:style w:type="paragraph" w:styleId="ListContinue">
    <w:name w:val="List Continue"/>
    <w:basedOn w:val="List"/>
    <w:rsid w:val="000309A0"/>
    <w:pPr>
      <w:ind w:firstLine="0"/>
    </w:pPr>
  </w:style>
  <w:style w:type="paragraph" w:customStyle="1" w:styleId="ListNote">
    <w:name w:val="List Note"/>
    <w:basedOn w:val="List"/>
    <w:rsid w:val="000309A0"/>
    <w:pPr>
      <w:pBdr>
        <w:top w:val="single" w:sz="6" w:space="2" w:color="918585"/>
        <w:bottom w:val="single" w:sz="6" w:space="2" w:color="918585"/>
      </w:pBdr>
      <w:tabs>
        <w:tab w:val="left" w:pos="1021"/>
      </w:tabs>
      <w:ind w:firstLine="0"/>
    </w:pPr>
  </w:style>
  <w:style w:type="paragraph" w:customStyle="1" w:styleId="Warning">
    <w:name w:val="Warning"/>
    <w:basedOn w:val="BodyText"/>
    <w:rsid w:val="000309A0"/>
    <w:pPr>
      <w:shd w:val="clear" w:color="auto" w:fill="D9D9D9"/>
      <w:tabs>
        <w:tab w:val="left" w:pos="992"/>
      </w:tabs>
      <w:ind w:left="119" w:right="119"/>
    </w:pPr>
    <w:rPr>
      <w:sz w:val="20"/>
    </w:rPr>
  </w:style>
  <w:style w:type="paragraph" w:customStyle="1" w:styleId="MarginIcons">
    <w:name w:val="Margin Icons"/>
    <w:basedOn w:val="BodyText"/>
    <w:rsid w:val="00030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9A0"/>
    <w:rPr>
      <w:rFonts w:ascii="Courier New" w:hAnsi="Courier New"/>
    </w:rPr>
  </w:style>
  <w:style w:type="paragraph" w:customStyle="1" w:styleId="NoteBullet">
    <w:name w:val="Note Bullet"/>
    <w:basedOn w:val="Note"/>
    <w:rsid w:val="000309A0"/>
    <w:pPr>
      <w:tabs>
        <w:tab w:val="clear" w:pos="680"/>
      </w:tabs>
      <w:spacing w:before="60" w:after="60"/>
    </w:pPr>
  </w:style>
  <w:style w:type="paragraph" w:customStyle="1" w:styleId="SubHeading2">
    <w:name w:val="SubHeading2"/>
    <w:basedOn w:val="HeadingBase"/>
    <w:rsid w:val="000309A0"/>
    <w:pPr>
      <w:spacing w:before="240" w:after="60"/>
    </w:pPr>
    <w:rPr>
      <w:sz w:val="20"/>
    </w:rPr>
  </w:style>
  <w:style w:type="paragraph" w:customStyle="1" w:styleId="SubHeading1">
    <w:name w:val="SubHeading1"/>
    <w:basedOn w:val="HeadingBase"/>
    <w:rsid w:val="000309A0"/>
    <w:pPr>
      <w:spacing w:before="240" w:after="60"/>
    </w:pPr>
    <w:rPr>
      <w:color w:val="918585"/>
      <w:sz w:val="22"/>
    </w:rPr>
  </w:style>
  <w:style w:type="paragraph" w:customStyle="1" w:styleId="SideHeading">
    <w:name w:val="Side Heading"/>
    <w:basedOn w:val="HeadingBase"/>
    <w:rsid w:val="00030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9A0"/>
    <w:pPr>
      <w:numPr>
        <w:numId w:val="12"/>
      </w:numPr>
    </w:pPr>
  </w:style>
  <w:style w:type="paragraph" w:styleId="PlainText">
    <w:name w:val="Plain Text"/>
    <w:basedOn w:val="Normal"/>
    <w:link w:val="PlainTextChar"/>
    <w:rsid w:val="000309A0"/>
    <w:rPr>
      <w:sz w:val="20"/>
    </w:rPr>
  </w:style>
  <w:style w:type="character" w:customStyle="1" w:styleId="PlainTextChar">
    <w:name w:val="Plain Text Char"/>
    <w:basedOn w:val="DefaultParagraphFont"/>
    <w:link w:val="PlainText"/>
    <w:rsid w:val="000309A0"/>
    <w:rPr>
      <w:rFonts w:ascii="Courier New" w:eastAsia="Times New Roman" w:hAnsi="Courier New" w:cs="Times New Roman"/>
      <w:sz w:val="20"/>
      <w:szCs w:val="20"/>
      <w:lang w:eastAsia="en-US"/>
    </w:rPr>
  </w:style>
  <w:style w:type="character" w:customStyle="1" w:styleId="MenuOption">
    <w:name w:val="Menu Option"/>
    <w:basedOn w:val="DefaultParagraphFont"/>
    <w:rsid w:val="000309A0"/>
    <w:rPr>
      <w:b/>
      <w:smallCaps/>
    </w:rPr>
  </w:style>
  <w:style w:type="paragraph" w:customStyle="1" w:styleId="TableListNumber">
    <w:name w:val="Table List Number"/>
    <w:basedOn w:val="ListNumber"/>
    <w:rsid w:val="000309A0"/>
    <w:pPr>
      <w:numPr>
        <w:numId w:val="0"/>
      </w:numPr>
    </w:pPr>
  </w:style>
  <w:style w:type="paragraph" w:styleId="TOC4">
    <w:name w:val="toc 4"/>
    <w:basedOn w:val="TOCBase"/>
    <w:next w:val="Normal"/>
    <w:semiHidden/>
    <w:rsid w:val="000309A0"/>
    <w:pPr>
      <w:tabs>
        <w:tab w:val="right" w:leader="dot" w:pos="9071"/>
      </w:tabs>
      <w:ind w:left="1701"/>
    </w:pPr>
  </w:style>
  <w:style w:type="paragraph" w:customStyle="1" w:styleId="ListAlpha">
    <w:name w:val="List Alpha"/>
    <w:basedOn w:val="List"/>
    <w:rsid w:val="000309A0"/>
    <w:pPr>
      <w:numPr>
        <w:numId w:val="9"/>
      </w:numPr>
    </w:pPr>
  </w:style>
  <w:style w:type="paragraph" w:styleId="List2">
    <w:name w:val="List 2"/>
    <w:basedOn w:val="BodyText"/>
    <w:rsid w:val="000309A0"/>
    <w:pPr>
      <w:tabs>
        <w:tab w:val="left" w:pos="680"/>
      </w:tabs>
      <w:spacing w:before="60" w:after="60"/>
      <w:ind w:left="680" w:hanging="340"/>
    </w:pPr>
  </w:style>
  <w:style w:type="paragraph" w:styleId="List3">
    <w:name w:val="List 3"/>
    <w:basedOn w:val="BodyText"/>
    <w:rsid w:val="000309A0"/>
    <w:pPr>
      <w:tabs>
        <w:tab w:val="left" w:pos="1021"/>
      </w:tabs>
      <w:spacing w:before="60" w:after="60"/>
      <w:ind w:left="1020" w:hanging="340"/>
    </w:pPr>
  </w:style>
  <w:style w:type="paragraph" w:styleId="List4">
    <w:name w:val="List 4"/>
    <w:basedOn w:val="BodyText"/>
    <w:rsid w:val="000309A0"/>
    <w:pPr>
      <w:tabs>
        <w:tab w:val="left" w:pos="1361"/>
      </w:tabs>
      <w:spacing w:before="60" w:after="60"/>
      <w:ind w:left="1361" w:hanging="340"/>
    </w:pPr>
  </w:style>
  <w:style w:type="paragraph" w:styleId="List5">
    <w:name w:val="List 5"/>
    <w:basedOn w:val="BodyText"/>
    <w:rsid w:val="000309A0"/>
    <w:pPr>
      <w:tabs>
        <w:tab w:val="left" w:pos="1701"/>
      </w:tabs>
      <w:spacing w:before="60" w:after="60"/>
      <w:ind w:left="1701" w:hanging="340"/>
    </w:pPr>
  </w:style>
  <w:style w:type="paragraph" w:styleId="ListBullet3">
    <w:name w:val="List Bullet 3"/>
    <w:basedOn w:val="List3"/>
    <w:rsid w:val="000309A0"/>
    <w:pPr>
      <w:numPr>
        <w:numId w:val="15"/>
      </w:numPr>
      <w:tabs>
        <w:tab w:val="clear" w:pos="1021"/>
      </w:tabs>
      <w:ind w:left="1037" w:hanging="357"/>
    </w:pPr>
  </w:style>
  <w:style w:type="paragraph" w:styleId="ListBullet4">
    <w:name w:val="List Bullet 4"/>
    <w:basedOn w:val="List4"/>
    <w:rsid w:val="000309A0"/>
    <w:pPr>
      <w:numPr>
        <w:numId w:val="3"/>
      </w:numPr>
    </w:pPr>
  </w:style>
  <w:style w:type="paragraph" w:styleId="ListBullet5">
    <w:name w:val="List Bullet 5"/>
    <w:basedOn w:val="List5"/>
    <w:rsid w:val="000309A0"/>
    <w:pPr>
      <w:numPr>
        <w:numId w:val="4"/>
      </w:numPr>
    </w:pPr>
  </w:style>
  <w:style w:type="paragraph" w:styleId="ListContinue2">
    <w:name w:val="List Continue 2"/>
    <w:basedOn w:val="List2"/>
    <w:rsid w:val="000309A0"/>
    <w:pPr>
      <w:ind w:firstLine="0"/>
    </w:pPr>
  </w:style>
  <w:style w:type="paragraph" w:styleId="ListContinue3">
    <w:name w:val="List Continue 3"/>
    <w:basedOn w:val="List3"/>
    <w:rsid w:val="000309A0"/>
    <w:pPr>
      <w:ind w:left="1021" w:firstLine="0"/>
    </w:pPr>
  </w:style>
  <w:style w:type="paragraph" w:styleId="ListContinue4">
    <w:name w:val="List Continue 4"/>
    <w:basedOn w:val="List4"/>
    <w:rsid w:val="000309A0"/>
    <w:pPr>
      <w:ind w:firstLine="0"/>
    </w:pPr>
  </w:style>
  <w:style w:type="paragraph" w:styleId="ListContinue5">
    <w:name w:val="List Continue 5"/>
    <w:basedOn w:val="List5"/>
    <w:rsid w:val="000309A0"/>
    <w:pPr>
      <w:ind w:firstLine="0"/>
    </w:pPr>
  </w:style>
  <w:style w:type="paragraph" w:styleId="ListNumber3">
    <w:name w:val="List Number 3"/>
    <w:basedOn w:val="List3"/>
    <w:rsid w:val="000309A0"/>
    <w:pPr>
      <w:numPr>
        <w:numId w:val="5"/>
      </w:numPr>
    </w:pPr>
  </w:style>
  <w:style w:type="paragraph" w:styleId="ListNumber4">
    <w:name w:val="List Number 4"/>
    <w:basedOn w:val="List4"/>
    <w:rsid w:val="000309A0"/>
    <w:pPr>
      <w:numPr>
        <w:numId w:val="6"/>
      </w:numPr>
    </w:pPr>
  </w:style>
  <w:style w:type="paragraph" w:styleId="ListNumber5">
    <w:name w:val="List Number 5"/>
    <w:basedOn w:val="List5"/>
    <w:rsid w:val="000309A0"/>
    <w:pPr>
      <w:numPr>
        <w:numId w:val="7"/>
      </w:numPr>
    </w:pPr>
  </w:style>
  <w:style w:type="paragraph" w:styleId="BlockText">
    <w:name w:val="Block Text"/>
    <w:basedOn w:val="Normal"/>
    <w:rsid w:val="000309A0"/>
    <w:pPr>
      <w:spacing w:after="120"/>
      <w:ind w:left="1440" w:right="1440"/>
    </w:pPr>
  </w:style>
  <w:style w:type="character" w:customStyle="1" w:styleId="Subscript">
    <w:name w:val="Subscript"/>
    <w:basedOn w:val="DefaultParagraphFont"/>
    <w:rsid w:val="000309A0"/>
    <w:rPr>
      <w:sz w:val="16"/>
      <w:vertAlign w:val="subscript"/>
    </w:rPr>
  </w:style>
  <w:style w:type="character" w:customStyle="1" w:styleId="Superscript">
    <w:name w:val="Superscript"/>
    <w:basedOn w:val="DefaultParagraphFont"/>
    <w:rsid w:val="000309A0"/>
    <w:rPr>
      <w:sz w:val="16"/>
      <w:vertAlign w:val="superscript"/>
    </w:rPr>
  </w:style>
  <w:style w:type="character" w:customStyle="1" w:styleId="Symbols">
    <w:name w:val="Symbols"/>
    <w:basedOn w:val="DefaultParagraphFont"/>
    <w:rsid w:val="000309A0"/>
    <w:rPr>
      <w:rFonts w:ascii="Symbol" w:hAnsi="Symbol"/>
    </w:rPr>
  </w:style>
  <w:style w:type="character" w:customStyle="1" w:styleId="MenuOptions">
    <w:name w:val="Menu Options"/>
    <w:basedOn w:val="DefaultParagraphFont"/>
    <w:rsid w:val="000309A0"/>
    <w:rPr>
      <w:rFonts w:ascii="Arial Narrow" w:hAnsi="Arial Narrow"/>
      <w:smallCaps/>
    </w:rPr>
  </w:style>
  <w:style w:type="character" w:customStyle="1" w:styleId="Buttons">
    <w:name w:val="Buttons"/>
    <w:basedOn w:val="DefaultParagraphFont"/>
    <w:rsid w:val="000309A0"/>
    <w:rPr>
      <w:b/>
    </w:rPr>
  </w:style>
  <w:style w:type="character" w:customStyle="1" w:styleId="Underlined">
    <w:name w:val="Underlined"/>
    <w:basedOn w:val="DefaultParagraphFont"/>
    <w:rsid w:val="000309A0"/>
    <w:rPr>
      <w:u w:val="single"/>
    </w:rPr>
  </w:style>
  <w:style w:type="paragraph" w:customStyle="1" w:styleId="TableBodyTextRight">
    <w:name w:val="Table Body Text Right"/>
    <w:basedOn w:val="TableBodyText"/>
    <w:rsid w:val="000309A0"/>
    <w:pPr>
      <w:widowControl w:val="0"/>
      <w:autoSpaceDE w:val="0"/>
      <w:autoSpaceDN w:val="0"/>
      <w:adjustRightInd w:val="0"/>
      <w:jc w:val="right"/>
    </w:pPr>
    <w:rPr>
      <w:rFonts w:cs="Arial"/>
      <w:szCs w:val="18"/>
    </w:rPr>
  </w:style>
  <w:style w:type="paragraph" w:customStyle="1" w:styleId="CopyrightText">
    <w:name w:val="Copyright Text"/>
    <w:basedOn w:val="BodyText"/>
    <w:rsid w:val="000309A0"/>
    <w:rPr>
      <w:sz w:val="18"/>
    </w:rPr>
  </w:style>
  <w:style w:type="paragraph" w:customStyle="1" w:styleId="BodySmallRight">
    <w:name w:val="Body Small Right"/>
    <w:basedOn w:val="BodyTextRight"/>
    <w:rsid w:val="000309A0"/>
    <w:rPr>
      <w:sz w:val="18"/>
      <w:szCs w:val="18"/>
    </w:rPr>
  </w:style>
  <w:style w:type="paragraph" w:customStyle="1" w:styleId="MarginEdition">
    <w:name w:val="Margin Edition"/>
    <w:basedOn w:val="MarginNote"/>
    <w:rsid w:val="000309A0"/>
    <w:pPr>
      <w:spacing w:before="0" w:after="0"/>
    </w:pPr>
    <w:rPr>
      <w:rFonts w:ascii="Times New Roman" w:hAnsi="Times New Roman"/>
      <w:color w:val="999999"/>
    </w:rPr>
  </w:style>
  <w:style w:type="paragraph" w:customStyle="1" w:styleId="Spacer">
    <w:name w:val="Spacer"/>
    <w:basedOn w:val="Normal"/>
    <w:rsid w:val="000309A0"/>
    <w:rPr>
      <w:sz w:val="2"/>
      <w:szCs w:val="2"/>
    </w:rPr>
  </w:style>
  <w:style w:type="character" w:customStyle="1" w:styleId="Small">
    <w:name w:val="Small"/>
    <w:basedOn w:val="DefaultParagraphFont"/>
    <w:rsid w:val="000309A0"/>
    <w:rPr>
      <w:sz w:val="16"/>
    </w:rPr>
  </w:style>
  <w:style w:type="paragraph" w:customStyle="1" w:styleId="WideTable">
    <w:name w:val="Wide Table"/>
    <w:basedOn w:val="Normal"/>
    <w:rsid w:val="000309A0"/>
    <w:pPr>
      <w:ind w:left="-1418"/>
    </w:pPr>
    <w:rPr>
      <w:sz w:val="2"/>
      <w:szCs w:val="2"/>
    </w:rPr>
  </w:style>
  <w:style w:type="character" w:styleId="PageNumber">
    <w:name w:val="page number"/>
    <w:basedOn w:val="DefaultParagraphFont"/>
    <w:rsid w:val="000309A0"/>
  </w:style>
  <w:style w:type="paragraph" w:styleId="Quote">
    <w:name w:val="Quote"/>
    <w:basedOn w:val="Heading1"/>
    <w:link w:val="QuoteChar"/>
    <w:qFormat/>
    <w:rsid w:val="000309A0"/>
    <w:rPr>
      <w:b w:val="0"/>
      <w:sz w:val="72"/>
      <w:szCs w:val="72"/>
      <w:lang w:val="en-NZ"/>
    </w:rPr>
  </w:style>
  <w:style w:type="character" w:customStyle="1" w:styleId="QuoteChar">
    <w:name w:val="Quote Char"/>
    <w:basedOn w:val="DefaultParagraphFont"/>
    <w:link w:val="Quote"/>
    <w:rsid w:val="00030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9A0"/>
    <w:pPr>
      <w:pageBreakBefore/>
    </w:pPr>
  </w:style>
  <w:style w:type="paragraph" w:customStyle="1" w:styleId="Border">
    <w:name w:val="Border"/>
    <w:basedOn w:val="Normal"/>
    <w:qFormat/>
    <w:rsid w:val="00030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9A0"/>
    <w:rPr>
      <w:b/>
      <w:bCs/>
      <w:i/>
      <w:iCs/>
      <w:color w:val="auto"/>
    </w:rPr>
  </w:style>
  <w:style w:type="paragraph" w:styleId="IntenseQuote">
    <w:name w:val="Intense Quote"/>
    <w:basedOn w:val="Normal"/>
    <w:next w:val="Normal"/>
    <w:link w:val="IntenseQuoteChar"/>
    <w:uiPriority w:val="30"/>
    <w:qFormat/>
    <w:rsid w:val="00030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9A0"/>
    <w:rPr>
      <w:smallCaps/>
      <w:color w:val="auto"/>
      <w:u w:val="single"/>
    </w:rPr>
  </w:style>
  <w:style w:type="character" w:styleId="IntenseReference">
    <w:name w:val="Intense Reference"/>
    <w:basedOn w:val="DefaultParagraphFont"/>
    <w:uiPriority w:val="32"/>
    <w:qFormat/>
    <w:rsid w:val="000309A0"/>
    <w:rPr>
      <w:b/>
      <w:bCs/>
      <w:smallCaps/>
      <w:color w:val="auto"/>
      <w:spacing w:val="5"/>
      <w:u w:val="single"/>
    </w:rPr>
  </w:style>
  <w:style w:type="paragraph" w:customStyle="1" w:styleId="2ColumnHeading">
    <w:name w:val="2Column Heading"/>
    <w:basedOn w:val="BodyText"/>
    <w:qFormat/>
    <w:rsid w:val="000309A0"/>
    <w:pPr>
      <w:spacing w:after="60"/>
      <w:ind w:left="-2268"/>
    </w:pPr>
    <w:rPr>
      <w:b/>
    </w:rPr>
  </w:style>
  <w:style w:type="paragraph" w:customStyle="1" w:styleId="Heading1TOC">
    <w:name w:val="Heading1 TOC"/>
    <w:basedOn w:val="Normal"/>
    <w:qFormat/>
    <w:rsid w:val="000309A0"/>
    <w:pPr>
      <w:spacing w:before="240" w:after="120"/>
    </w:pPr>
    <w:rPr>
      <w:rFonts w:ascii="Times New Roman" w:hAnsi="Times New Roman"/>
      <w:b/>
      <w:sz w:val="32"/>
    </w:rPr>
  </w:style>
  <w:style w:type="paragraph" w:customStyle="1" w:styleId="Heading2TOC">
    <w:name w:val="Heading2 TOC"/>
    <w:basedOn w:val="Normal"/>
    <w:qFormat/>
    <w:rsid w:val="000309A0"/>
    <w:pPr>
      <w:spacing w:before="240" w:after="60"/>
    </w:pPr>
    <w:rPr>
      <w:rFonts w:ascii="Times New Roman" w:hAnsi="Times New Roman"/>
      <w:b/>
      <w:sz w:val="28"/>
    </w:rPr>
  </w:style>
  <w:style w:type="character" w:customStyle="1" w:styleId="Underline">
    <w:name w:val="Underline"/>
    <w:basedOn w:val="DefaultParagraphFont"/>
    <w:qFormat/>
    <w:rsid w:val="000309A0"/>
    <w:rPr>
      <w:u w:val="single"/>
    </w:rPr>
  </w:style>
  <w:style w:type="character" w:customStyle="1" w:styleId="BoldandItalics">
    <w:name w:val="Bold and Italics"/>
    <w:qFormat/>
    <w:rsid w:val="000309A0"/>
    <w:rPr>
      <w:b/>
      <w:i/>
      <w:u w:val="none"/>
    </w:rPr>
  </w:style>
  <w:style w:type="paragraph" w:styleId="BalloonText">
    <w:name w:val="Balloon Text"/>
    <w:basedOn w:val="Normal"/>
    <w:link w:val="BalloonTextChar"/>
    <w:rsid w:val="000309A0"/>
    <w:rPr>
      <w:rFonts w:ascii="Tahoma" w:hAnsi="Tahoma" w:cs="Tahoma"/>
      <w:sz w:val="16"/>
      <w:szCs w:val="16"/>
    </w:rPr>
  </w:style>
  <w:style w:type="character" w:customStyle="1" w:styleId="BalloonTextChar">
    <w:name w:val="Balloon Text Char"/>
    <w:basedOn w:val="DefaultParagraphFont"/>
    <w:link w:val="BalloonText"/>
    <w:rsid w:val="00030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9A0"/>
    <w:rPr>
      <w:b/>
      <w:color w:val="660033"/>
      <w:spacing w:val="0"/>
    </w:rPr>
  </w:style>
  <w:style w:type="paragraph" w:customStyle="1" w:styleId="Nameditemlist">
    <w:name w:val="Named item list"/>
    <w:basedOn w:val="BodyText"/>
    <w:qFormat/>
    <w:rsid w:val="000309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2194</Words>
  <Characters>12937</Characters>
  <Application>Microsoft Office Word</Application>
  <DocSecurity>0</DocSecurity>
  <Lines>485</Lines>
  <Paragraphs>191</Paragraphs>
  <ScaleCrop>false</ScaleCrop>
  <Company>Author-it Software Corporation Ltd.</Company>
  <LinksUpToDate>false</LinksUpToDate>
  <CharactersWithSpaces>14983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UEENEEH171A Troubleshoot faults in television receivers</dc:title>
  <dc:subject>Approved</dc:subject>
  <dc:creator>E-OZ Training Standards</dc:creator>
  <cp:keywords>Release: 2</cp:keywords>
  <dc:description>Review Date: 12 April 2008</dc:description>
  <cp:lastModifiedBy>HSD_TPCMSd.prod</cp:lastModifiedBy>
  <cp:revision>3</cp:revision>
  <dcterms:created xsi:type="dcterms:W3CDTF">2013-08-14T07:12:00Z</dcterms:created>
  <dcterms:modified xsi:type="dcterms:W3CDTF">2013-08-14T07:12:00Z</dcterms:modified>
</cp:coreProperties>
</file>