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2D4" w:rsidP="00EA32D4">
      <w:pPr>
        <w:pStyle w:val="Title"/>
      </w:pPr>
      <w:r>
        <w:fldChar w:fldCharType="begin"/>
      </w:r>
      <w:r>
        <w:instrText xml:space="preserve"> TITLE   \* MERGEFORMAT </w:instrText>
      </w:r>
      <w:r>
        <w:fldChar w:fldCharType="separate"/>
      </w:r>
      <w:r>
        <w:t>UEENEEH169A Solve problems in basic electronic circuits</w:t>
      </w:r>
      <w:r>
        <w:fldChar w:fldCharType="end"/>
      </w:r>
    </w:p>
    <w:p w:rsidR="00EA32D4" w:rsidP="00EA32D4">
      <w:pPr>
        <w:pStyle w:val="Version"/>
        <w:sectPr w:rsidSect="00096D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6D13" w:rsidP="00096D13">
      <w:pPr>
        <w:pStyle w:val="SuperHeading"/>
      </w:pPr>
      <w:r w:rsidRPr="00096D13">
        <w:t>UEENEEH169A Solve problems in basic electronic circuits</w:t>
      </w:r>
    </w:p>
    <w:p w:rsidR="00000000" w:rsidRPr="00096D13" w:rsidP="00096D13">
      <w:pPr>
        <w:pStyle w:val="Heading1"/>
      </w:pPr>
      <w:bookmarkStart w:id="1" w:name="O_588097"/>
      <w:bookmarkEnd w:id="1"/>
      <w:r w:rsidRPr="00096D13">
        <w:t>Modification History</w:t>
      </w:r>
    </w:p>
    <w:p w:rsidR="00000000" w:rsidRPr="00096D13" w:rsidP="00096D13">
      <w:pPr>
        <w:pStyle w:val="BodyText"/>
      </w:pPr>
      <w:r w:rsidRPr="00096D13">
        <w:t>Not applicable.</w:t>
      </w:r>
    </w:p>
    <w:p w:rsidR="00000000" w:rsidRPr="00096D13" w:rsidP="00096D13">
      <w:pPr>
        <w:pStyle w:val="AllowPageBreak"/>
      </w:pPr>
    </w:p>
    <w:p w:rsidR="00000000" w:rsidRPr="00096D13" w:rsidP="00096D13">
      <w:pPr>
        <w:pStyle w:val="Heading1"/>
      </w:pPr>
      <w:bookmarkStart w:id="2" w:name="O_588096"/>
      <w:bookmarkEnd w:id="2"/>
      <w:r w:rsidRPr="00096D13">
        <w:t>Unit Descriptor</w:t>
      </w:r>
    </w:p>
    <w:tbl>
      <w:tblPr>
        <w:tblW w:w="0" w:type="auto"/>
        <w:tblLayout w:type="fixed"/>
        <w:tblCellMar>
          <w:left w:w="62" w:type="dxa"/>
          <w:right w:w="62" w:type="dxa"/>
        </w:tblCellMar>
        <w:tblLook w:val="0000"/>
      </w:tblPr>
      <w:tblGrid>
        <w:gridCol w:w="2700"/>
        <w:gridCol w:w="5760"/>
      </w:tblGrid>
      <w:tr w:rsidTr="00EA32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1)</w:t>
            </w:r>
            <w:r w:rsidRPr="00096D13">
              <w:t xml:space="preserve"> </w:t>
            </w:r>
            <w:r w:rsidRPr="00096D13">
              <w:rPr>
                <w:rStyle w:val="SpecialBold"/>
              </w:rPr>
              <w:t>Scope:</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6D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1.1) Descriptor</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This competency standard unit covers determining correct operation of single source parallel and series-parallel circuits an</w:t>
            </w:r>
            <w:r w:rsidRPr="00096D13">
              <w:t>d providing solutions as they apply to various electronic work functions. It encompasses working safely, problem solving procedures, including the use of voltage, current and resistance measuring devices, providing solutions derived from measurements and c</w:t>
            </w:r>
            <w:r w:rsidRPr="00096D13">
              <w:t>alculations to predictable problems in multiple path circuit.</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3" w:name="O_588095"/>
      <w:bookmarkEnd w:id="3"/>
      <w:r w:rsidRPr="00096D13">
        <w:t>Application of the Unit</w:t>
      </w:r>
    </w:p>
    <w:tbl>
      <w:tblPr>
        <w:tblW w:w="0" w:type="auto"/>
        <w:tblLayout w:type="fixed"/>
        <w:tblCellMar>
          <w:left w:w="62" w:type="dxa"/>
          <w:right w:w="62" w:type="dxa"/>
        </w:tblCellMar>
        <w:tblLook w:val="0000"/>
      </w:tblPr>
      <w:tblGrid>
        <w:gridCol w:w="2672"/>
        <w:gridCol w:w="5699"/>
      </w:tblGrid>
      <w:tr w:rsidTr="00EA32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2)</w:t>
            </w:r>
          </w:p>
        </w:tc>
      </w:tr>
      <w:tr w:rsidTr="00EA32D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This competency standard unit is intended for competency development entry-level employment based programs incorporated in approved contracts of training or approved training programs.</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4" w:name="O_588094"/>
      <w:bookmarkEnd w:id="4"/>
      <w:r w:rsidRPr="00096D13">
        <w:t>Licensing/Regulatory Information</w:t>
      </w:r>
    </w:p>
    <w:tbl>
      <w:tblPr>
        <w:tblW w:w="0" w:type="auto"/>
        <w:tblLayout w:type="fixed"/>
        <w:tblCellMar>
          <w:left w:w="62" w:type="dxa"/>
          <w:right w:w="62" w:type="dxa"/>
        </w:tblCellMar>
        <w:tblLook w:val="0000"/>
      </w:tblPr>
      <w:tblGrid>
        <w:gridCol w:w="2700"/>
        <w:gridCol w:w="5760"/>
      </w:tblGrid>
      <w:tr w:rsidTr="00EA32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 xml:space="preserve">3) </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The skills and knowledge described in this unit requires a licence to practice in the workplace where plant and equipment is directly connected to installation wiring that operates at voltage above 50 V a.c. or 120 V d.c. However other conditions ma</w:t>
            </w:r>
            <w:r w:rsidRPr="00096D13">
              <w:t xml:space="preserve">y apply in some jurisdictions subject to regulations related to electrical work. Practice in the workplace and during training is also subject to </w:t>
            </w:r>
            <w:r w:rsidRPr="00096D13">
              <w:t>regulations directly related to occupational health and safety and where applicable contracts of training such</w:t>
            </w:r>
            <w:r w:rsidRPr="00096D13">
              <w:t xml:space="preserve"> as apprenticeships and the like.</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5" w:name="O_588093"/>
      <w:bookmarkEnd w:id="5"/>
      <w:r w:rsidRPr="00096D13">
        <w:t>Pre-Requisites</w:t>
      </w:r>
    </w:p>
    <w:tbl>
      <w:tblPr>
        <w:tblW w:w="0" w:type="auto"/>
        <w:tblLayout w:type="fixed"/>
        <w:tblCellMar>
          <w:left w:w="62" w:type="dxa"/>
          <w:right w:w="62" w:type="dxa"/>
        </w:tblCellMar>
        <w:tblLook w:val="0000"/>
      </w:tblPr>
      <w:tblGrid>
        <w:gridCol w:w="2700"/>
        <w:gridCol w:w="1440"/>
        <w:gridCol w:w="4410"/>
      </w:tblGrid>
      <w:tr w:rsidTr="00EA32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Prerequisite Unit(s)</w:t>
            </w:r>
          </w:p>
        </w:tc>
        <w:tc>
          <w:tcPr>
            <w:tcW w:w="5850" w:type="dxa"/>
            <w:gridSpan w:val="2"/>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 xml:space="preserve">4) </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Competencies</w:t>
            </w:r>
          </w:p>
        </w:tc>
        <w:tc>
          <w:tcPr>
            <w:tcW w:w="5850" w:type="dxa"/>
            <w:gridSpan w:val="2"/>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4.1)</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2"/>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Granting competency in this unit shall be made only after competency in the following unit(s) has/have been confirmed.</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 xml:space="preserve">UEENEEE101A </w:t>
            </w:r>
          </w:p>
        </w:tc>
        <w:tc>
          <w:tcPr>
            <w:tcW w:w="441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 xml:space="preserve">Apply Occupational Health and Safety regulations, codes and practices in the workplace </w:t>
            </w:r>
          </w:p>
        </w:tc>
      </w:tr>
    </w:tbl>
    <w:p w:rsidR="00000000" w:rsidRPr="00096D13" w:rsidP="00096D1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A32D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 xml:space="preserve">4.2) </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Participants are best equipped to achieve this unit if they have reading, writing and numeracy skills indicated by the following scales. Description of each scale is given in Volume 2, Part 3 “Literacy and Numeracy”</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Reading</w:t>
            </w:r>
          </w:p>
        </w:tc>
        <w:tc>
          <w:tcPr>
            <w:tcW w:w="81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5</w:t>
            </w:r>
          </w:p>
        </w:tc>
        <w:tc>
          <w:tcPr>
            <w:tcW w:w="99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Writing</w:t>
            </w: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5</w:t>
            </w:r>
          </w:p>
        </w:tc>
        <w:tc>
          <w:tcPr>
            <w:tcW w:w="12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Numeracy</w:t>
            </w:r>
          </w:p>
        </w:tc>
        <w:tc>
          <w:tcPr>
            <w:tcW w:w="72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5</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6" w:name="O_588092"/>
      <w:bookmarkEnd w:id="6"/>
      <w:r w:rsidRPr="00096D13">
        <w:t>Employability Skills Information</w:t>
      </w:r>
    </w:p>
    <w:tbl>
      <w:tblPr>
        <w:tblW w:w="0" w:type="auto"/>
        <w:tblLayout w:type="fixed"/>
        <w:tblCellMar>
          <w:left w:w="62" w:type="dxa"/>
          <w:right w:w="62" w:type="dxa"/>
        </w:tblCellMar>
        <w:tblLook w:val="0000"/>
      </w:tblPr>
      <w:tblGrid>
        <w:gridCol w:w="2700"/>
        <w:gridCol w:w="5760"/>
      </w:tblGrid>
      <w:tr w:rsidTr="00EA32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 xml:space="preserve">5) </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This unit contains Employability Skills</w:t>
            </w:r>
          </w:p>
          <w:p w:rsidR="00000000" w:rsidRPr="00096D13" w:rsidP="00096D13">
            <w:pPr>
              <w:pStyle w:val="BodyText"/>
            </w:pPr>
            <w:r w:rsidRPr="00096D13">
              <w:t>The required outcomes described in this unit of competency contain applicable facets of Employability Skills. The Employability Skills Summ</w:t>
            </w:r>
            <w:r w:rsidRPr="00096D13">
              <w:t>ary of the qualification in which this unit of competency is packaged will assist in identifying Employability Skill requirements.</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7" w:name="O_588091"/>
      <w:bookmarkEnd w:id="7"/>
      <w:r w:rsidRPr="00096D13">
        <w:t>Elements and Performance Criteria Pre-Content</w:t>
      </w:r>
    </w:p>
    <w:tbl>
      <w:tblPr>
        <w:tblW w:w="0" w:type="auto"/>
        <w:tblLayout w:type="fixed"/>
        <w:tblCellMar>
          <w:left w:w="62" w:type="dxa"/>
          <w:right w:w="62" w:type="dxa"/>
        </w:tblCellMar>
        <w:tblLook w:val="0000"/>
      </w:tblPr>
      <w:tblGrid>
        <w:gridCol w:w="2700"/>
        <w:gridCol w:w="5760"/>
      </w:tblGrid>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6)</w:t>
            </w:r>
            <w:r w:rsidRPr="00096D13">
              <w:t xml:space="preserve"> Elements descr</w:t>
            </w:r>
            <w:r w:rsidRPr="00096D13">
              <w:t>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Performance Criteria describe the required performance needed to demonstrate achievement of the element. Assessment of performance is to be consistent with the Evidence Guide.</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8" w:name="O_588090"/>
      <w:bookmarkEnd w:id="8"/>
      <w:r w:rsidRPr="00096D13">
        <w:t>Elem</w:t>
      </w:r>
      <w:r w:rsidRPr="00096D13">
        <w:t>ents and Performance Criteria</w:t>
      </w:r>
    </w:p>
    <w:tbl>
      <w:tblPr>
        <w:tblW w:w="0" w:type="auto"/>
        <w:tblLayout w:type="fixed"/>
        <w:tblCellMar>
          <w:left w:w="62" w:type="dxa"/>
          <w:right w:w="62" w:type="dxa"/>
        </w:tblCellMar>
        <w:tblLook w:val="0000"/>
      </w:tblPr>
      <w:tblGrid>
        <w:gridCol w:w="404"/>
        <w:gridCol w:w="2296"/>
        <w:gridCol w:w="900"/>
        <w:gridCol w:w="4860"/>
      </w:tblGrid>
      <w:tr w:rsidTr="00EA32D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PERFORMANCE CRITERIA</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1</w:t>
            </w:r>
          </w:p>
        </w:tc>
        <w:tc>
          <w:tcPr>
            <w:tcW w:w="2296"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Prepare to work on electronic circuits</w:t>
            </w: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1.1</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OHS procedures for a given work area are obtained and understood.</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1.2</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OHS risk control work preparation measures and procedures are followed.</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1.3</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The nature of the circuit(s) problem is obtained from documentation or from work supervisor to establish the scope of work to be undertaken.</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1.4</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Advice is sought from the work supervisor to ensure the work is co-ordinated effectively with others.</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1.5</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Sources of materials that may be required for the work are established in accordance with established procedures.</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1.6</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Tools, equipment and testing devices needed to carry out the work are obtained and checked for correct operation and safety.</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2</w:t>
            </w:r>
          </w:p>
        </w:tc>
        <w:tc>
          <w:tcPr>
            <w:tcW w:w="2296"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So</w:t>
            </w:r>
            <w:r w:rsidRPr="00096D13">
              <w:t>lve electronic circuit problems</w:t>
            </w: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2.1</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OHS risk control work measures and procedures are followed.</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2.2</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 xml:space="preserve">The need to test or measure live is determined in strict accordance with OHS requirements and when necessary conducted within established safety </w:t>
            </w:r>
            <w:r w:rsidRPr="00096D13">
              <w:t>procedures.</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2.3</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Circuits are checked as being isolated where necessary in strict accordance OHS requirements and procedures.</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2.4</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 xml:space="preserve">Established methods are used to solving circuit problems from measure and calculated values as </w:t>
            </w:r>
            <w:r w:rsidRPr="00096D13">
              <w:t>they apply to electronic c</w:t>
            </w:r>
            <w:r w:rsidRPr="00096D13">
              <w:t>ircuit.</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2.5</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Unexpected situations are dealt with safely and with the approval of an authorised person.</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2.6</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 xml:space="preserve">Problems are solved without unnecessary damage to apparatus, circuits, the surrounding environment or services and using sustainable energy </w:t>
            </w:r>
            <w:r w:rsidRPr="00096D13">
              <w:t>practices.</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3</w:t>
            </w:r>
          </w:p>
        </w:tc>
        <w:tc>
          <w:tcPr>
            <w:tcW w:w="2296"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3.1</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OHS work completion risk control measures and procedures are followed.</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3.2</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Work site is cleaned and made safe in accordance with established procedures.</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3.3</w:t>
            </w:r>
          </w:p>
        </w:tc>
        <w:tc>
          <w:tcPr>
            <w:tcW w:w="48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Justification for sol</w:t>
            </w:r>
            <w:r w:rsidRPr="00096D13">
              <w:t>utions used to solve circuit problems is documented.</w:t>
            </w:r>
          </w:p>
        </w:tc>
      </w:tr>
      <w:tr w:rsidTr="00EA32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t>3.4</w:t>
            </w:r>
          </w:p>
        </w:tc>
        <w:tc>
          <w:tcPr>
            <w:tcW w:w="48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Work completion is documented and an appropriate person or persons notified in accordance with established procedures.</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9" w:name="O_588089"/>
      <w:bookmarkEnd w:id="9"/>
      <w:r w:rsidRPr="00096D13">
        <w:t>Required Skills and Knowledge</w:t>
      </w:r>
    </w:p>
    <w:tbl>
      <w:tblPr>
        <w:tblW w:w="0" w:type="auto"/>
        <w:tblLayout w:type="fixed"/>
        <w:tblCellMar>
          <w:left w:w="62" w:type="dxa"/>
          <w:right w:w="62" w:type="dxa"/>
        </w:tblCellMar>
        <w:tblLook w:val="0000"/>
      </w:tblPr>
      <w:tblGrid>
        <w:gridCol w:w="8460"/>
      </w:tblGrid>
      <w:tr w:rsidTr="00EA32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REQUIRED SKILLS AND KNOWLEDGE</w:t>
            </w:r>
          </w:p>
        </w:tc>
      </w:tr>
      <w:tr w:rsidTr="00EA32D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8)</w:t>
            </w:r>
            <w:r w:rsidRPr="00096D13">
              <w:t xml:space="preserve">  This describes the essential skills and knowledge and their level, required for this unit.</w:t>
            </w:r>
          </w:p>
          <w:p w:rsidR="00000000" w:rsidRPr="00096D13" w:rsidP="00096D13">
            <w:pPr>
              <w:pStyle w:val="BodyText"/>
            </w:pPr>
            <w:r w:rsidRPr="00096D13">
              <w:t>Evidence shall show that knowledge has been acquired of safe working practices and solving problems in electronic circuits.</w:t>
            </w:r>
          </w:p>
          <w:p w:rsidR="00000000" w:rsidRPr="00096D13" w:rsidP="00096D13">
            <w:pPr>
              <w:pStyle w:val="BodyText"/>
            </w:pPr>
            <w:r w:rsidRPr="00096D13">
              <w:t>All kn</w:t>
            </w:r>
            <w:r w:rsidRPr="00096D13">
              <w:t>owledge and skills detailed in this unit should be contextualised to current industry practices and technologies.</w:t>
            </w:r>
          </w:p>
          <w:p w:rsidR="00000000" w:rsidRPr="00096D13" w:rsidP="00096D13">
            <w:pPr>
              <w:pStyle w:val="BodyText"/>
            </w:pPr>
            <w:r w:rsidRPr="00096D13">
              <w:rPr>
                <w:rStyle w:val="SpecialBold"/>
              </w:rPr>
              <w:t>KS01-EH169A</w:t>
            </w:r>
            <w:r w:rsidRPr="00096D13">
              <w:rPr>
                <w:rStyle w:val="SpecialBold"/>
              </w:rPr>
              <w:tab/>
              <w:t xml:space="preserve">               Electronics Circuit Principles</w:t>
            </w:r>
          </w:p>
          <w:p w:rsidR="00000000" w:rsidRPr="00096D13" w:rsidP="00096D13">
            <w:pPr>
              <w:pStyle w:val="BodyText"/>
            </w:pPr>
            <w:r w:rsidRPr="00096D13">
              <w:t>Evidence shall show an understanding of power supplies for electronics circuit princ</w:t>
            </w:r>
            <w:r w:rsidRPr="00096D13">
              <w:t>iples, applying safe working practices and relevant Standards, Codes and Regulations to an extent indicated by the following aspects:</w:t>
            </w:r>
          </w:p>
          <w:p w:rsidR="00000000" w:rsidRPr="00096D13" w:rsidP="00096D13">
            <w:pPr>
              <w:pStyle w:val="BodyText"/>
            </w:pPr>
            <w:r w:rsidRPr="00096D13">
              <w:t>T1.</w:t>
            </w:r>
            <w:r w:rsidRPr="00096D13">
              <w:tab/>
              <w:t>Basic circuit configurations encompassing:</w:t>
            </w:r>
          </w:p>
          <w:p w:rsidR="00000000" w:rsidRPr="00096D13" w:rsidP="00096D13">
            <w:pPr>
              <w:pStyle w:val="ListBullet"/>
            </w:pPr>
            <w:r w:rsidRPr="00096D13">
              <w:t xml:space="preserve">circuit configurations are single source a.c. and d.c. circuits, </w:t>
            </w:r>
          </w:p>
          <w:p w:rsidR="00000000" w:rsidRPr="00096D13" w:rsidP="00096D13">
            <w:pPr>
              <w:pStyle w:val="ListBullet"/>
            </w:pPr>
            <w:r w:rsidRPr="00096D13">
              <w:t xml:space="preserve">series circuits, </w:t>
            </w:r>
          </w:p>
          <w:p w:rsidR="00000000" w:rsidRPr="00096D13" w:rsidP="00096D13">
            <w:pPr>
              <w:pStyle w:val="ListBullet"/>
            </w:pPr>
            <w:r w:rsidRPr="00096D13">
              <w:t>parallel circuits</w:t>
            </w:r>
          </w:p>
          <w:p w:rsidR="00000000" w:rsidRPr="00096D13" w:rsidP="00096D13">
            <w:pPr>
              <w:pStyle w:val="ListBullet"/>
            </w:pPr>
            <w:r w:rsidRPr="00096D13">
              <w:t>series-parallel circuits.</w:t>
            </w:r>
          </w:p>
          <w:p w:rsidR="00000000" w:rsidRPr="00096D13" w:rsidP="00096D13">
            <w:pPr>
              <w:pStyle w:val="BodyText"/>
            </w:pPr>
            <w:r w:rsidRPr="00096D13">
              <w:t>T2.</w:t>
            </w:r>
            <w:r w:rsidRPr="00096D13">
              <w:tab/>
              <w:t>The relationship between variable parameter in electrical /electronic circuits encompassing:</w:t>
            </w:r>
          </w:p>
          <w:p w:rsidR="00000000" w:rsidRPr="00096D13" w:rsidP="00096D13">
            <w:pPr>
              <w:pStyle w:val="ListBullet"/>
            </w:pPr>
            <w:r w:rsidRPr="00096D13">
              <w:t>Variables parameters –</w:t>
            </w:r>
          </w:p>
          <w:p w:rsidR="00000000" w:rsidRPr="00096D13" w:rsidP="00096D13">
            <w:pPr>
              <w:pStyle w:val="ListBullet2"/>
            </w:pPr>
            <w:r w:rsidRPr="00096D13">
              <w:t xml:space="preserve">voltage, </w:t>
            </w:r>
          </w:p>
          <w:p w:rsidR="00000000" w:rsidRPr="00096D13" w:rsidP="00096D13">
            <w:pPr>
              <w:pStyle w:val="ListBullet2"/>
            </w:pPr>
            <w:r w:rsidRPr="00096D13">
              <w:t xml:space="preserve">current, </w:t>
            </w:r>
          </w:p>
          <w:p w:rsidR="00000000" w:rsidRPr="00096D13" w:rsidP="00096D13">
            <w:pPr>
              <w:pStyle w:val="ListBullet2"/>
            </w:pPr>
            <w:r w:rsidRPr="00096D13">
              <w:t>resistance</w:t>
            </w:r>
          </w:p>
          <w:p w:rsidR="00000000" w:rsidRPr="00096D13" w:rsidP="00096D13">
            <w:pPr>
              <w:pStyle w:val="ListBullet2"/>
            </w:pPr>
            <w:r w:rsidRPr="00096D13">
              <w:t xml:space="preserve">impedance, </w:t>
            </w:r>
          </w:p>
          <w:p w:rsidR="00000000" w:rsidRPr="00096D13" w:rsidP="00096D13">
            <w:pPr>
              <w:pStyle w:val="ListBullet2"/>
            </w:pPr>
            <w:r w:rsidRPr="00096D13">
              <w:t xml:space="preserve">inductance, </w:t>
            </w:r>
          </w:p>
          <w:p w:rsidR="00000000" w:rsidRPr="00096D13" w:rsidP="00096D13">
            <w:pPr>
              <w:pStyle w:val="ListBullet2"/>
            </w:pPr>
            <w:r w:rsidRPr="00096D13">
              <w:t xml:space="preserve">capacitance </w:t>
            </w:r>
          </w:p>
          <w:p w:rsidR="00000000" w:rsidRPr="00096D13" w:rsidP="00096D13">
            <w:pPr>
              <w:pStyle w:val="ListBullet2"/>
            </w:pPr>
            <w:r w:rsidRPr="00096D13">
              <w:t>rea</w:t>
            </w:r>
            <w:r w:rsidRPr="00096D13">
              <w:t xml:space="preserve">ctance. </w:t>
            </w:r>
          </w:p>
          <w:p w:rsidR="00000000" w:rsidRPr="00096D13" w:rsidP="00096D13">
            <w:pPr>
              <w:pStyle w:val="BodyText"/>
            </w:pPr>
            <w:r w:rsidRPr="00096D13">
              <w:t>T3.</w:t>
            </w:r>
            <w:r w:rsidRPr="00096D13">
              <w:tab/>
              <w:t>Behaviour of electrical /electronic circuits for various values of voltage, current, resistance, impedance, inductance, capacitance and reactance and variable parameters encompassing:</w:t>
            </w:r>
          </w:p>
          <w:p w:rsidR="00000000" w:rsidRPr="00096D13" w:rsidP="00096D13">
            <w:pPr>
              <w:pStyle w:val="ListBullet"/>
            </w:pPr>
            <w:r w:rsidRPr="00096D13">
              <w:t xml:space="preserve">single source circuits, </w:t>
            </w:r>
          </w:p>
          <w:p w:rsidR="00000000" w:rsidRPr="00096D13" w:rsidP="00096D13">
            <w:pPr>
              <w:pStyle w:val="ListBullet"/>
            </w:pPr>
            <w:r w:rsidRPr="00096D13">
              <w:t xml:space="preserve">series circuit configurations, </w:t>
            </w:r>
          </w:p>
          <w:p w:rsidR="00000000" w:rsidRPr="00096D13" w:rsidP="00096D13">
            <w:pPr>
              <w:pStyle w:val="ListBullet"/>
            </w:pPr>
            <w:r w:rsidRPr="00096D13">
              <w:t xml:space="preserve">parallel circuit configurations </w:t>
            </w:r>
          </w:p>
          <w:p w:rsidR="00000000" w:rsidRPr="00096D13" w:rsidP="00096D13">
            <w:pPr>
              <w:pStyle w:val="ListBullet"/>
            </w:pPr>
            <w:r w:rsidRPr="00096D13">
              <w:t>series-parallel circuit configurations</w:t>
            </w:r>
          </w:p>
          <w:p w:rsidR="00000000" w:rsidRPr="00096D13" w:rsidP="00096D13">
            <w:pPr>
              <w:pStyle w:val="BodyText"/>
            </w:pPr>
            <w:r w:rsidRPr="00096D13">
              <w:t>T4.</w:t>
            </w:r>
            <w:r w:rsidRPr="00096D13">
              <w:tab/>
              <w:t>Types of voltage testers, multimeters, clamp meters, continuity testers and insulation resistance testers and their application.</w:t>
            </w:r>
          </w:p>
          <w:p w:rsidR="00000000" w:rsidRPr="00096D13" w:rsidP="00096D13">
            <w:pPr>
              <w:pStyle w:val="BodyText"/>
            </w:pPr>
            <w:r w:rsidRPr="00096D13">
              <w:t>T5.</w:t>
            </w:r>
            <w:r w:rsidRPr="00096D13">
              <w:tab/>
              <w:t>Features of testing/measuring devices - safety,</w:t>
            </w:r>
            <w:r w:rsidRPr="00096D13">
              <w:t xml:space="preserve"> user calibration and parameter and range settings.</w:t>
            </w:r>
          </w:p>
          <w:p w:rsidR="00000000" w:rsidRPr="00096D13" w:rsidP="00096D13">
            <w:pPr>
              <w:pStyle w:val="BodyText"/>
            </w:pPr>
            <w:r w:rsidRPr="00096D13">
              <w:t>T6.</w:t>
            </w:r>
            <w:r w:rsidRPr="00096D13">
              <w:tab/>
              <w:t>Connection of test/measuring devices into a circuit encompassing:</w:t>
            </w:r>
          </w:p>
          <w:p w:rsidR="00000000" w:rsidRPr="00096D13" w:rsidP="00096D13">
            <w:pPr>
              <w:pStyle w:val="ListBullet"/>
            </w:pPr>
            <w:r w:rsidRPr="00096D13">
              <w:t>safety procedures</w:t>
            </w:r>
          </w:p>
          <w:p w:rsidR="00000000" w:rsidRPr="00096D13" w:rsidP="00096D13">
            <w:pPr>
              <w:pStyle w:val="ListBullet"/>
            </w:pPr>
            <w:r w:rsidRPr="00096D13">
              <w:t>circuit arrangement of test/measuring devices</w:t>
            </w:r>
          </w:p>
          <w:p w:rsidR="00000000" w:rsidRPr="00096D13" w:rsidP="00096D13">
            <w:pPr>
              <w:pStyle w:val="BodyText"/>
            </w:pPr>
            <w:r w:rsidRPr="00096D13">
              <w:t>T7.</w:t>
            </w:r>
            <w:r w:rsidRPr="00096D13">
              <w:tab/>
              <w:t>Taking readings</w:t>
            </w:r>
          </w:p>
          <w:p w:rsidR="00000000" w:rsidRPr="00096D13" w:rsidP="00096D13">
            <w:pPr>
              <w:pStyle w:val="BodyText"/>
            </w:pPr>
            <w:r w:rsidRPr="00096D13">
              <w:t>T8.</w:t>
            </w:r>
            <w:r w:rsidRPr="00096D13">
              <w:tab/>
              <w:t>Storage, maintenance and care of test/measuri</w:t>
            </w:r>
            <w:r w:rsidRPr="00096D13">
              <w:t>ng devices.</w:t>
            </w:r>
          </w:p>
          <w:p w:rsidR="00000000" w:rsidRPr="00096D13" w:rsidP="00096D13">
            <w:pPr>
              <w:pStyle w:val="BodyText"/>
            </w:pPr>
            <w:r w:rsidRPr="00096D13">
              <w:t>T9.</w:t>
            </w:r>
            <w:r w:rsidRPr="00096D13">
              <w:tab/>
              <w:t xml:space="preserve"> Australian Standard quality assurance requirements for test equipment calibration certification.</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10" w:name="O_588088"/>
      <w:bookmarkEnd w:id="10"/>
      <w:r w:rsidRPr="00096D13">
        <w:t>Evidence Guide</w:t>
      </w:r>
    </w:p>
    <w:tbl>
      <w:tblPr>
        <w:tblW w:w="0" w:type="auto"/>
        <w:tblLayout w:type="fixed"/>
        <w:tblCellMar>
          <w:left w:w="62" w:type="dxa"/>
          <w:right w:w="62" w:type="dxa"/>
        </w:tblCellMar>
        <w:tblLook w:val="0000"/>
      </w:tblPr>
      <w:tblGrid>
        <w:gridCol w:w="8460"/>
      </w:tblGrid>
      <w:tr w:rsidTr="00EA32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EVIDENCE GUIDE</w:t>
            </w:r>
          </w:p>
        </w:tc>
      </w:tr>
      <w:tr w:rsidTr="00EA32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9)</w:t>
            </w:r>
            <w:r w:rsidRPr="00096D13">
              <w:t xml:space="preserve">  The evidence guide provides advice on assessment and must be read in conjunction with the Performance Criteria, Required Skills and Knowledge, the Range Statement and the Assessment Guidelines for this Training Package..</w:t>
            </w:r>
          </w:p>
          <w:p w:rsidR="00000000" w:rsidRPr="00096D13" w:rsidP="00096D13">
            <w:pPr>
              <w:pStyle w:val="BodyText"/>
            </w:pPr>
            <w:r w:rsidRPr="00096D13">
              <w:t>The Evidence Guide forms an integ</w:t>
            </w:r>
            <w:r w:rsidRPr="00096D13">
              <w:t>ral part of this Competency Standard Unit and shall be used in conjunction with all components parts of this unit and, performed in accordance with the Assessment Guidelines of this Training Package.</w:t>
            </w:r>
          </w:p>
        </w:tc>
      </w:tr>
    </w:tbl>
    <w:p w:rsidR="00000000" w:rsidRPr="00096D13" w:rsidP="00096D13">
      <w:pPr>
        <w:pStyle w:val="BodyText"/>
      </w:pPr>
    </w:p>
    <w:tbl>
      <w:tblPr>
        <w:tblW w:w="0" w:type="auto"/>
        <w:tblLayout w:type="fixed"/>
        <w:tblCellMar>
          <w:left w:w="62" w:type="dxa"/>
          <w:right w:w="62" w:type="dxa"/>
        </w:tblCellMar>
        <w:tblLook w:val="0000"/>
      </w:tblPr>
      <w:tblGrid>
        <w:gridCol w:w="1890"/>
        <w:gridCol w:w="6570"/>
      </w:tblGrid>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9.1)</w:t>
            </w:r>
          </w:p>
        </w:tc>
      </w:tr>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Longitudin</w:t>
            </w:r>
            <w:r w:rsidRPr="00096D13">
              <w:t>al competency development approaches to assessment, such as Profiling, require data to be reliably gathered in a form that can be consistently interpreted over time. This approach is best utilised in Apprenticeship programs and reduces assessment intervent</w:t>
            </w:r>
            <w:r w:rsidRPr="00096D13">
              <w:t>ion. It is the Industry’s preferred model for apprenticeships. However, where summative (or final) assessment is used it is to include the application of the competency in the normal work environment or, at a minimum, the application of the competency in a</w:t>
            </w:r>
            <w:r w:rsidRPr="00096D13">
              <w:t xml:space="preserve"> realistically simulated work environment. It is recognised that, in some circumstances, assessment in part or full can occur outside the workplace. However, it must be in accord with Industry and, Regulatory policy in this regard.</w:t>
            </w:r>
          </w:p>
          <w:p w:rsidR="00000000" w:rsidRPr="00096D13" w:rsidP="00096D13">
            <w:pPr>
              <w:pStyle w:val="BodyText"/>
            </w:pPr>
            <w:r w:rsidRPr="00096D13">
              <w:t>Methods chosen for a par</w:t>
            </w:r>
            <w:r w:rsidRPr="00096D13">
              <w:t>ticular assessment will be influenced by various factors. These include the extent of the assessment, the most effective locations for the assessment activities to take place, access to physical resources, additional safety measures that may be required an</w:t>
            </w:r>
            <w:r w:rsidRPr="00096D13">
              <w:t>d the critical nature of the competencies being assessed.</w:t>
            </w:r>
          </w:p>
          <w:p w:rsidR="00000000" w:rsidRPr="00096D13" w:rsidP="00096D13">
            <w:pPr>
              <w:pStyle w:val="BodyText"/>
            </w:pPr>
            <w:r w:rsidRPr="00096D13">
              <w:t>The critical safety nature of working with electricity, electrical equipment, gas or any other hazardous substance/material carries risk in deeming a person competent. Hence, sources of evidence nee</w:t>
            </w:r>
            <w:r w:rsidRPr="00096D13">
              <w:t>d to be ‘rich’ in nature so as to minimise error in judgment.</w:t>
            </w:r>
          </w:p>
          <w:p w:rsidR="00000000" w:rsidRPr="00096D13" w:rsidP="00096D13">
            <w:pPr>
              <w:pStyle w:val="BodyText"/>
            </w:pPr>
            <w:r w:rsidRPr="00096D13">
              <w:t>Activities associated with normal every day work have a bearing on the decision as to how much and how detailed the data gathered will contribute to its ‘richness’. Some skills are more critical</w:t>
            </w:r>
            <w:r w:rsidRPr="00096D13">
              <w:t xml:space="preserve"> to safety and operational requirements while the same skills may be more or less frequently practised. These points are raised for the assessors to consider when choosing an assessment method and developing assessment instruments. Sample assessment instru</w:t>
            </w:r>
            <w:r w:rsidRPr="00096D13">
              <w:t>ments are included for Assessors in the Assessment Guidelines of this Training Package.</w:t>
            </w:r>
          </w:p>
        </w:tc>
      </w:tr>
    </w:tbl>
    <w:p w:rsidR="00000000" w:rsidRPr="00096D13" w:rsidP="00096D13">
      <w:pPr>
        <w:pStyle w:val="BodyText"/>
      </w:pPr>
    </w:p>
    <w:tbl>
      <w:tblPr>
        <w:tblW w:w="0" w:type="auto"/>
        <w:tblLayout w:type="fixed"/>
        <w:tblCellMar>
          <w:left w:w="62" w:type="dxa"/>
          <w:right w:w="62" w:type="dxa"/>
        </w:tblCellMar>
        <w:tblLook w:val="0000"/>
      </w:tblPr>
      <w:tblGrid>
        <w:gridCol w:w="1890"/>
        <w:gridCol w:w="6570"/>
      </w:tblGrid>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9.2)</w:t>
            </w:r>
          </w:p>
        </w:tc>
      </w:tr>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 xml:space="preserve">Before the critical aspects of evidence are considered all prerequisites shall be </w:t>
            </w:r>
            <w:r w:rsidRPr="00096D13">
              <w:t>met.</w:t>
            </w:r>
          </w:p>
          <w:p w:rsidR="00000000" w:rsidRPr="00096D13" w:rsidP="00096D13">
            <w:pPr>
              <w:pStyle w:val="BodyText"/>
            </w:pPr>
            <w:r w:rsidRPr="00096D13">
              <w:t>Evidence for competence in this unit shall be considered holistically.  Each element and associated performance criteria shall be demonstrated on at least two occasions in accordance with the “Assessment Guidelines – UEE11”.  Evidence shall also compr</w:t>
            </w:r>
            <w:r w:rsidRPr="00096D13">
              <w:t>ise:</w:t>
            </w:r>
          </w:p>
          <w:p w:rsidR="00000000" w:rsidRPr="00096D13" w:rsidP="00096D13">
            <w:pPr>
              <w:pStyle w:val="BodyText"/>
            </w:pPr>
            <w:r w:rsidRPr="00096D13">
              <w:t>A representative body of work performance demonstrated within the timeframes typically expected of the discipline, work function and industrial environment. In particular this shall incorporate evidence that shows a candidate is able to:</w:t>
            </w:r>
          </w:p>
          <w:p w:rsidR="00000000" w:rsidRPr="00096D13" w:rsidP="00096D13">
            <w:pPr>
              <w:pStyle w:val="ListBullet2"/>
            </w:pPr>
            <w:r w:rsidRPr="00096D13">
              <w:t>Implement Oc</w:t>
            </w:r>
            <w:r w:rsidRPr="00096D13">
              <w:t>cupational Health and Safety workplace procedures and practices including the use of risk control measures as specified in the performance criteria and range; and</w:t>
            </w:r>
          </w:p>
          <w:p w:rsidR="00000000" w:rsidRPr="00096D13" w:rsidP="00096D13">
            <w:pPr>
              <w:pStyle w:val="ListBullet2"/>
            </w:pPr>
            <w:r w:rsidRPr="00096D13">
              <w:t>Apply sustainable energy principles and practices as specified in the performance criteria and range; and</w:t>
            </w:r>
          </w:p>
          <w:p w:rsidR="00000000" w:rsidRPr="00096D13" w:rsidP="00096D13">
            <w:pPr>
              <w:pStyle w:val="ListBullet2"/>
            </w:pPr>
            <w:r w:rsidRPr="00096D13">
              <w:t>Demonstrate an understanding of the essential knowledge and associated skills as described in this unit.  It may be required by some jurisdictions tha</w:t>
            </w:r>
            <w:r w:rsidRPr="00096D13">
              <w:t>t RTOs provide a percentile graded result for the purpose of regulatory or licensing requirements. and</w:t>
            </w:r>
          </w:p>
          <w:p w:rsidR="00000000" w:rsidRPr="00096D13" w:rsidP="00096D13">
            <w:pPr>
              <w:pStyle w:val="ListBullet2"/>
            </w:pPr>
            <w:r w:rsidRPr="00096D13">
              <w:t>Demonstrate an appropriate level of skills enabling employment; and</w:t>
            </w:r>
          </w:p>
          <w:p w:rsidR="00000000" w:rsidRPr="00096D13" w:rsidP="00096D13">
            <w:pPr>
              <w:pStyle w:val="ListBullet2"/>
            </w:pPr>
            <w:r w:rsidRPr="00096D13">
              <w:t>Conduct work observing the relevant Anti Discrimination legislation, regulations, pol</w:t>
            </w:r>
            <w:r w:rsidRPr="00096D13">
              <w:t>ices and workplace procedures; and</w:t>
            </w:r>
          </w:p>
          <w:p w:rsidR="00000000" w:rsidRPr="00096D13" w:rsidP="00096D13">
            <w:pPr>
              <w:pStyle w:val="BodyText"/>
            </w:pPr>
            <w:r w:rsidRPr="00096D13">
              <w:t>Demonstrated consistent performance across a representative range of contexts from the prescribed items below:</w:t>
            </w:r>
          </w:p>
          <w:p w:rsidR="00000000" w:rsidRPr="00096D13" w:rsidP="00096D13">
            <w:pPr>
              <w:pStyle w:val="ListBullet2"/>
            </w:pPr>
            <w:r w:rsidRPr="00096D13">
              <w:t>Solving problems in electronic circuits as described in 8) and including:</w:t>
            </w:r>
          </w:p>
          <w:p w:rsidR="00000000" w:rsidRPr="00096D13" w:rsidP="00096D13">
            <w:pPr>
              <w:pStyle w:val="ListAlpha2"/>
            </w:pPr>
            <w:r w:rsidRPr="00096D13">
              <w:t>Determining th</w:t>
            </w:r>
            <w:r w:rsidRPr="00096D13">
              <w:t>e operating parameters of an existing circuit.</w:t>
            </w:r>
          </w:p>
          <w:p w:rsidR="00000000" w:rsidRPr="00096D13" w:rsidP="00096D13">
            <w:pPr>
              <w:pStyle w:val="ListAlpha2"/>
            </w:pPr>
            <w:r w:rsidRPr="00096D13">
              <w:t>Altering an existing circuit to comply with specified operating parameters.</w:t>
            </w:r>
          </w:p>
          <w:p w:rsidR="00000000" w:rsidRPr="00096D13" w:rsidP="00096D13">
            <w:pPr>
              <w:pStyle w:val="ListAlpha2"/>
            </w:pPr>
            <w:r w:rsidRPr="00096D13">
              <w:t>Developing circuits to comply with a specified function and operating parameters.</w:t>
            </w:r>
          </w:p>
          <w:p w:rsidR="00000000" w:rsidRPr="00096D13" w:rsidP="00096D13">
            <w:pPr>
              <w:pStyle w:val="ListAlpha2"/>
            </w:pPr>
            <w:r w:rsidRPr="00096D13">
              <w:t>Dealing with unplanned events by drawing on essen</w:t>
            </w:r>
            <w:r w:rsidRPr="00096D13">
              <w:t>tial knowledge and skills to provide appropriate solutions incorporated in the holistic assessment with the above listed items.</w:t>
            </w:r>
          </w:p>
        </w:tc>
      </w:tr>
    </w:tbl>
    <w:p w:rsidR="00000000" w:rsidRPr="00096D13" w:rsidP="00096D13">
      <w:pPr>
        <w:pStyle w:val="BodyText"/>
      </w:pPr>
    </w:p>
    <w:tbl>
      <w:tblPr>
        <w:tblW w:w="0" w:type="auto"/>
        <w:tblLayout w:type="fixed"/>
        <w:tblCellMar>
          <w:left w:w="62" w:type="dxa"/>
          <w:right w:w="62" w:type="dxa"/>
        </w:tblCellMar>
        <w:tblLook w:val="0000"/>
      </w:tblPr>
      <w:tblGrid>
        <w:gridCol w:w="1890"/>
        <w:gridCol w:w="6570"/>
      </w:tblGrid>
      <w:tr w:rsidTr="00EA32D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9.3)</w:t>
            </w:r>
          </w:p>
        </w:tc>
      </w:tr>
      <w:tr w:rsidTr="00EA32D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This u</w:t>
            </w:r>
            <w:r w:rsidRPr="00096D13">
              <w:t>nit should be assessed as it relates to normal work practice using procedures, information and resources typical of a workplace. This should include:</w:t>
            </w:r>
          </w:p>
          <w:p w:rsidR="00000000" w:rsidRPr="00096D13" w:rsidP="00096D13">
            <w:pPr>
              <w:pStyle w:val="BodyText"/>
            </w:pPr>
            <w:r w:rsidRPr="00096D13">
              <w:t>OHS policy and work procedures and instructions.</w:t>
            </w:r>
          </w:p>
          <w:p w:rsidR="00000000" w:rsidRPr="00096D13" w:rsidP="00096D13">
            <w:pPr>
              <w:pStyle w:val="ListBullet"/>
            </w:pPr>
            <w:r w:rsidRPr="00096D13">
              <w:t>Suitable work environment, facilities, equipment and mat</w:t>
            </w:r>
            <w:r w:rsidRPr="00096D13">
              <w:t>erials to undertake actual work as prescribed by this competency standard unit.</w:t>
            </w:r>
          </w:p>
          <w:p w:rsidR="00000000" w:rsidRPr="00096D13" w:rsidP="00096D13">
            <w:pPr>
              <w:pStyle w:val="BodyText"/>
            </w:pPr>
            <w:r w:rsidRPr="00096D13">
              <w:t>Resources required to assess this unit are listed above in Context of assessment’, which should also be used in the formal learning/assessment environment.</w:t>
            </w:r>
          </w:p>
          <w:p w:rsidR="00000000" w:rsidRPr="00096D13" w:rsidP="00096D13">
            <w:pPr>
              <w:pStyle w:val="BodyText"/>
            </w:pPr>
            <w:r w:rsidRPr="00096D13">
              <w:t>Note:</w:t>
            </w:r>
          </w:p>
          <w:p w:rsidR="00000000" w:rsidRPr="00096D13" w:rsidP="00096D13">
            <w:pPr>
              <w:pStyle w:val="BodyText"/>
            </w:pPr>
            <w:r w:rsidRPr="00096D13">
              <w:t>Where simulation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096D13" w:rsidP="00096D13">
            <w:pPr>
              <w:pStyle w:val="BodyText"/>
            </w:pPr>
            <w:r w:rsidRPr="00096D13">
              <w:t>T</w:t>
            </w:r>
            <w:r w:rsidRPr="00096D13">
              <w:t>he resources used for assessment should reflect current industry practices in relation to in solving problems in electronic circuits.</w:t>
            </w:r>
          </w:p>
        </w:tc>
      </w:tr>
    </w:tbl>
    <w:p w:rsidR="00000000" w:rsidRPr="00096D13" w:rsidP="00096D13">
      <w:pPr>
        <w:pStyle w:val="BodyText"/>
      </w:pPr>
    </w:p>
    <w:tbl>
      <w:tblPr>
        <w:tblW w:w="0" w:type="auto"/>
        <w:tblLayout w:type="fixed"/>
        <w:tblCellMar>
          <w:left w:w="62" w:type="dxa"/>
          <w:right w:w="62" w:type="dxa"/>
        </w:tblCellMar>
        <w:tblLook w:val="0000"/>
      </w:tblPr>
      <w:tblGrid>
        <w:gridCol w:w="1890"/>
        <w:gridCol w:w="6570"/>
      </w:tblGrid>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9.4)</w:t>
            </w:r>
          </w:p>
        </w:tc>
      </w:tr>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This competency standard unit shall be assessed by methods given in Volume 1, Part 3 “</w:t>
            </w:r>
            <w:r w:rsidRPr="00096D13">
              <w:t>Assessment Guidelines”.</w:t>
            </w:r>
          </w:p>
          <w:p w:rsidR="00000000" w:rsidRPr="00096D13" w:rsidP="00096D13">
            <w:pPr>
              <w:pStyle w:val="BodyText"/>
            </w:pPr>
            <w:r w:rsidRPr="00096D13">
              <w:t>Note:</w:t>
            </w:r>
          </w:p>
          <w:p w:rsidR="00000000" w:rsidRPr="00096D13" w:rsidP="00096D13">
            <w:pPr>
              <w:pStyle w:val="BodyText"/>
            </w:pPr>
            <w:r w:rsidRPr="00096D13">
              <w:t xml:space="preserve">Competent performance with inherent safe working practices is expected in the Industry to which this competency standard unit applies. This requires that the specified essential knowledge and associated skills are assessed in </w:t>
            </w:r>
            <w:r w:rsidRPr="00096D13">
              <w:t>a structured environment which is primarily intended for learning/assessment and incorporates all necessary equipment and facilities for learners to develop and demonstrate the essential knowledge and skills described in this unit.</w:t>
            </w:r>
          </w:p>
        </w:tc>
      </w:tr>
    </w:tbl>
    <w:p w:rsidR="00000000" w:rsidRPr="00096D13" w:rsidP="00096D13">
      <w:pPr>
        <w:pStyle w:val="BodyText"/>
      </w:pPr>
    </w:p>
    <w:tbl>
      <w:tblPr>
        <w:tblW w:w="0" w:type="auto"/>
        <w:tblLayout w:type="fixed"/>
        <w:tblCellMar>
          <w:left w:w="62" w:type="dxa"/>
          <w:right w:w="62" w:type="dxa"/>
        </w:tblCellMar>
        <w:tblLook w:val="0000"/>
      </w:tblPr>
      <w:tblGrid>
        <w:gridCol w:w="1890"/>
        <w:gridCol w:w="6570"/>
      </w:tblGrid>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 xml:space="preserve">Concurrent assessment </w:t>
            </w:r>
            <w:r w:rsidRPr="00096D13">
              <w:rPr>
                <w:rStyle w:val="SpecialBold"/>
              </w:rPr>
              <w:t>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9.5)</w:t>
            </w:r>
          </w:p>
        </w:tc>
      </w:tr>
      <w:tr w:rsidTr="00EA32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There are no concurrent assessment recommendations for this unit.</w:t>
            </w:r>
          </w:p>
          <w:p w:rsidR="00000000" w:rsidRPr="00096D13" w:rsidP="00096D13">
            <w:pPr>
              <w:pStyle w:val="BodyText"/>
            </w:pPr>
            <w:r w:rsidRPr="00096D13">
              <w:t>The critical aspects of occupational health and safety covered in unit UEENEEE101A and other discipline specific occupational health and safety units</w:t>
            </w:r>
            <w:r w:rsidRPr="00096D13">
              <w:t xml:space="preserve"> shall be incorporated in relation to this unit.</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11" w:name="O_588087"/>
      <w:bookmarkEnd w:id="11"/>
      <w:r w:rsidRPr="00096D13">
        <w:t>Range Statement</w:t>
      </w:r>
    </w:p>
    <w:tbl>
      <w:tblPr>
        <w:tblW w:w="0" w:type="auto"/>
        <w:tblLayout w:type="fixed"/>
        <w:tblCellMar>
          <w:left w:w="62" w:type="dxa"/>
          <w:right w:w="62" w:type="dxa"/>
        </w:tblCellMar>
        <w:tblLook w:val="0000"/>
      </w:tblPr>
      <w:tblGrid>
        <w:gridCol w:w="8460"/>
      </w:tblGrid>
      <w:tr w:rsidTr="00EA32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RANGE STATEMENT</w:t>
            </w:r>
          </w:p>
        </w:tc>
      </w:tr>
      <w:tr w:rsidTr="00EA32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10)</w:t>
            </w:r>
            <w:r w:rsidRPr="00096D13">
              <w:t xml:space="preserve">  This relates to the unit of competency as a whole providing the range of contexts and conditions </w:t>
            </w:r>
            <w:r w:rsidRPr="00096D13">
              <w:t>to which the performance criteria apply. It allows for different work environments and situations that will affect performance.</w:t>
            </w:r>
          </w:p>
          <w:p w:rsidR="00000000" w:rsidRPr="00096D13" w:rsidP="00096D13">
            <w:pPr>
              <w:pStyle w:val="BodyText"/>
            </w:pPr>
            <w:r w:rsidRPr="00096D13">
              <w:t>This competency standard unit shall be demonstrated in relation to:</w:t>
            </w:r>
          </w:p>
          <w:p w:rsidR="00000000" w:rsidRPr="00096D13" w:rsidP="00096D13">
            <w:pPr>
              <w:pStyle w:val="BodyText"/>
            </w:pPr>
            <w:r w:rsidRPr="00096D13">
              <w:t>Single source parallel and series-parallel electronic circui</w:t>
            </w:r>
            <w:r w:rsidRPr="00096D13">
              <w:t>ts as they apply to operational circuit functions in relation to at least two of the following types of circuit problems and on at least two occasions:</w:t>
            </w:r>
          </w:p>
          <w:p w:rsidR="00000000" w:rsidRPr="00096D13" w:rsidP="00096D13">
            <w:pPr>
              <w:pStyle w:val="ListBullet"/>
            </w:pPr>
            <w:r w:rsidRPr="00096D13">
              <w:t xml:space="preserve">Determining the operating parameters of an existing circuit </w:t>
            </w:r>
          </w:p>
          <w:p w:rsidR="00000000" w:rsidRPr="00096D13" w:rsidP="00096D13">
            <w:pPr>
              <w:pStyle w:val="ListBullet"/>
            </w:pPr>
            <w:r w:rsidRPr="00096D13">
              <w:t>Altering an existing circuit to comply wit</w:t>
            </w:r>
            <w:r w:rsidRPr="00096D13">
              <w:t>h specified operating parameters</w:t>
            </w:r>
          </w:p>
          <w:p w:rsidR="00000000" w:rsidRPr="00096D13" w:rsidP="00096D13">
            <w:pPr>
              <w:pStyle w:val="ListBullet"/>
            </w:pPr>
            <w:r w:rsidRPr="00096D13">
              <w:t>Developing circuits to comply with a specified function and operating parameters</w:t>
            </w:r>
          </w:p>
          <w:p w:rsidR="00000000" w:rsidRPr="00096D13" w:rsidP="00096D13">
            <w:pPr>
              <w:pStyle w:val="BodyText"/>
            </w:pPr>
            <w:r w:rsidRPr="00096D13">
              <w:t>Generic terms are used throughout this Vocational Standard shall be regarded as part of the Range of Variables in which competency is demonstr</w:t>
            </w:r>
            <w:r w:rsidRPr="00096D13">
              <w:t>ated. The definition of these and other terms that apply are given in Volume 2, Part 2.1.</w:t>
            </w:r>
          </w:p>
        </w:tc>
      </w:tr>
    </w:tbl>
    <w:p w:rsidR="00000000" w:rsidRPr="00096D13" w:rsidP="00096D13">
      <w:pPr>
        <w:pStyle w:val="BodyText"/>
      </w:pPr>
    </w:p>
    <w:p w:rsidR="00000000" w:rsidRPr="00096D13" w:rsidP="00096D13">
      <w:pPr>
        <w:pStyle w:val="AllowPageBreak"/>
      </w:pPr>
    </w:p>
    <w:p w:rsidR="00000000" w:rsidRPr="00096D13" w:rsidP="00096D13">
      <w:pPr>
        <w:pStyle w:val="Heading1"/>
      </w:pPr>
      <w:bookmarkStart w:id="12" w:name="O_588086"/>
      <w:bookmarkEnd w:id="12"/>
      <w:r w:rsidRPr="00096D13">
        <w:t>Unit Sector(s)</w:t>
      </w:r>
    </w:p>
    <w:p w:rsidR="00000000" w:rsidRPr="00096D13" w:rsidP="00096D13">
      <w:pPr>
        <w:pStyle w:val="BodyText"/>
      </w:pPr>
      <w:r w:rsidRPr="00096D13">
        <w:t>Not applicable.</w:t>
      </w:r>
    </w:p>
    <w:p w:rsidR="00000000" w:rsidRPr="00096D13" w:rsidP="00096D13">
      <w:pPr>
        <w:pStyle w:val="AllowPageBreak"/>
      </w:pPr>
    </w:p>
    <w:p w:rsidR="00000000" w:rsidRPr="00096D13" w:rsidP="00096D13">
      <w:pPr>
        <w:pStyle w:val="Heading1"/>
      </w:pPr>
      <w:bookmarkStart w:id="13" w:name="O_588085"/>
      <w:bookmarkEnd w:id="13"/>
      <w:r w:rsidRPr="00096D13">
        <w:t>Competency Field</w:t>
      </w:r>
    </w:p>
    <w:tbl>
      <w:tblPr>
        <w:tblW w:w="0" w:type="auto"/>
        <w:tblLayout w:type="fixed"/>
        <w:tblCellMar>
          <w:left w:w="62" w:type="dxa"/>
          <w:right w:w="62" w:type="dxa"/>
        </w:tblCellMar>
        <w:tblLook w:val="0000"/>
      </w:tblPr>
      <w:tblGrid>
        <w:gridCol w:w="2700"/>
        <w:gridCol w:w="5760"/>
      </w:tblGrid>
      <w:tr w:rsidTr="00EA32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6D13">
            <w:pPr>
              <w:pStyle w:val="BodyText"/>
              <w:rPr>
                <w:lang w:val="en-NZ"/>
              </w:rPr>
            </w:pPr>
            <w:r w:rsidRPr="00096D13">
              <w:rPr>
                <w:rStyle w:val="SpecialBold"/>
              </w:rPr>
              <w:t xml:space="preserve">11) </w:t>
            </w:r>
          </w:p>
        </w:tc>
      </w:tr>
      <w:tr w:rsidTr="00EA32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D13" w:rsidP="00096D13">
            <w:pPr>
              <w:pStyle w:val="BodyText"/>
            </w:pPr>
            <w:r w:rsidRPr="00096D13">
              <w:t>Electrotechnology</w:t>
            </w:r>
          </w:p>
        </w:tc>
      </w:tr>
    </w:tbl>
    <w:p w:rsidR="00000000" w:rsidRPr="00096D13" w:rsidP="00096D13">
      <w:pPr>
        <w:pStyle w:val="BodyText"/>
      </w:pPr>
    </w:p>
    <w:p w:rsidR="00000000" w:rsidRPr="00096D13" w:rsidP="00096D13"/>
    <w:sectPr w:rsidSect="00096D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13" w:rsidRPr="00EA32D4" w:rsidP="00EA3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D4" w:rsidP="00096D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A32D4" w:rsidP="00096D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A32D4" w:rsidP="00096D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13" w:rsidRPr="00EA32D4" w:rsidP="00EA32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D4" w:rsidRPr="002D2AF8" w:rsidP="00096D13">
    <w:pPr>
      <w:pStyle w:val="Header"/>
      <w:framePr w:wrap="around"/>
    </w:pPr>
    <w:r>
      <w:fldChar w:fldCharType="begin"/>
    </w:r>
    <w:r>
      <w:instrText xml:space="preserve"> TITLE   \* MERGEFORMAT </w:instrText>
    </w:r>
    <w:r>
      <w:fldChar w:fldCharType="separate"/>
    </w:r>
    <w:r>
      <w:t>UEENEEH169A Solve problems in basic electronic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A32D4" w:rsidP="00096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47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63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27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1B30735"/>
    <w:multiLevelType w:val="multilevel"/>
    <w:tmpl w:val="53C2B91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D13"/>
    <w:pPr>
      <w:spacing w:before="360" w:after="60"/>
      <w:outlineLvl w:val="0"/>
    </w:pPr>
    <w:rPr>
      <w:sz w:val="32"/>
    </w:rPr>
  </w:style>
  <w:style w:type="paragraph" w:styleId="Heading2">
    <w:name w:val="heading 2"/>
    <w:basedOn w:val="HeadingBase"/>
    <w:next w:val="BodyText"/>
    <w:link w:val="Heading2Char"/>
    <w:qFormat/>
    <w:rsid w:val="00096D13"/>
    <w:pPr>
      <w:keepLines/>
      <w:spacing w:before="240" w:after="120"/>
      <w:outlineLvl w:val="1"/>
    </w:pPr>
    <w:rPr>
      <w:sz w:val="28"/>
      <w:szCs w:val="40"/>
    </w:rPr>
  </w:style>
  <w:style w:type="paragraph" w:styleId="Heading3">
    <w:name w:val="heading 3"/>
    <w:basedOn w:val="HeadingBase"/>
    <w:next w:val="BodyText"/>
    <w:link w:val="Heading3Char"/>
    <w:qFormat/>
    <w:rsid w:val="00096D13"/>
    <w:pPr>
      <w:spacing w:before="180" w:after="120"/>
      <w:outlineLvl w:val="2"/>
    </w:pPr>
    <w:rPr>
      <w:spacing w:val="-10"/>
      <w:kern w:val="32"/>
    </w:rPr>
  </w:style>
  <w:style w:type="paragraph" w:styleId="Heading4">
    <w:name w:val="heading 4"/>
    <w:basedOn w:val="HeadingBase"/>
    <w:next w:val="BodyText"/>
    <w:link w:val="Heading4Char"/>
    <w:qFormat/>
    <w:rsid w:val="00096D13"/>
    <w:pPr>
      <w:spacing w:before="160" w:after="120"/>
      <w:outlineLvl w:val="3"/>
    </w:pPr>
    <w:rPr>
      <w:sz w:val="22"/>
    </w:rPr>
  </w:style>
  <w:style w:type="paragraph" w:styleId="Heading5">
    <w:name w:val="heading 5"/>
    <w:basedOn w:val="HeadingBase"/>
    <w:next w:val="Normal"/>
    <w:link w:val="Heading5Char"/>
    <w:qFormat/>
    <w:rsid w:val="00096D13"/>
    <w:pPr>
      <w:spacing w:before="80"/>
      <w:outlineLvl w:val="4"/>
    </w:pPr>
    <w:rPr>
      <w:color w:val="918585"/>
      <w:sz w:val="20"/>
    </w:rPr>
  </w:style>
  <w:style w:type="paragraph" w:styleId="Heading6">
    <w:name w:val="heading 6"/>
    <w:basedOn w:val="HeadingBase"/>
    <w:next w:val="Normal"/>
    <w:link w:val="Heading6Char"/>
    <w:qFormat/>
    <w:rsid w:val="00096D13"/>
    <w:pPr>
      <w:spacing w:before="60"/>
      <w:outlineLvl w:val="5"/>
    </w:pPr>
    <w:rPr>
      <w:color w:val="918585"/>
      <w:sz w:val="20"/>
    </w:rPr>
  </w:style>
  <w:style w:type="paragraph" w:styleId="Heading7">
    <w:name w:val="heading 7"/>
    <w:basedOn w:val="Normal"/>
    <w:next w:val="Normal"/>
    <w:link w:val="Heading7Char"/>
    <w:qFormat/>
    <w:rsid w:val="00096D13"/>
    <w:pPr>
      <w:ind w:left="720"/>
      <w:outlineLvl w:val="6"/>
    </w:pPr>
    <w:rPr>
      <w:i/>
    </w:rPr>
  </w:style>
  <w:style w:type="paragraph" w:styleId="Heading8">
    <w:name w:val="heading 8"/>
    <w:basedOn w:val="Normal"/>
    <w:next w:val="Normal"/>
    <w:link w:val="Heading8Char"/>
    <w:qFormat/>
    <w:rsid w:val="00096D13"/>
    <w:pPr>
      <w:ind w:left="720"/>
      <w:outlineLvl w:val="7"/>
    </w:pPr>
    <w:rPr>
      <w:i/>
    </w:rPr>
  </w:style>
  <w:style w:type="paragraph" w:styleId="Heading9">
    <w:name w:val="heading 9"/>
    <w:basedOn w:val="Normal"/>
    <w:next w:val="Normal"/>
    <w:link w:val="Heading9Char"/>
    <w:qFormat/>
    <w:rsid w:val="00096D13"/>
    <w:pPr>
      <w:ind w:left="720"/>
      <w:outlineLvl w:val="8"/>
    </w:pPr>
    <w:rPr>
      <w:i/>
    </w:rPr>
  </w:style>
  <w:style w:type="character" w:default="1" w:styleId="DefaultParagraphFont">
    <w:name w:val="Default Paragraph Font"/>
    <w:uiPriority w:val="1"/>
    <w:unhideWhenUsed/>
    <w:rsid w:val="00096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D13"/>
  </w:style>
  <w:style w:type="character" w:customStyle="1" w:styleId="Heading1Char">
    <w:name w:val="Heading 1 Char"/>
    <w:basedOn w:val="DefaultParagraphFont"/>
    <w:link w:val="Heading1"/>
    <w:rsid w:val="00096D13"/>
    <w:rPr>
      <w:rFonts w:ascii="Times New Roman" w:eastAsia="Times New Roman" w:hAnsi="Times New Roman" w:cs="Times New Roman"/>
      <w:b/>
      <w:sz w:val="32"/>
      <w:szCs w:val="20"/>
      <w:lang w:eastAsia="en-US"/>
    </w:rPr>
  </w:style>
  <w:style w:type="paragraph" w:styleId="BodyText">
    <w:name w:val="Body Text"/>
    <w:basedOn w:val="Normal"/>
    <w:link w:val="BodyTextChar"/>
    <w:rsid w:val="00096D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D13"/>
    <w:rPr>
      <w:rFonts w:ascii="Times New Roman" w:eastAsia="Times New Roman" w:hAnsi="Times New Roman" w:cs="Times New Roman"/>
      <w:sz w:val="24"/>
      <w:lang w:eastAsia="en-US"/>
    </w:rPr>
  </w:style>
  <w:style w:type="paragraph" w:styleId="ListBullet">
    <w:name w:val="List Bullet"/>
    <w:basedOn w:val="List"/>
    <w:rsid w:val="00096D13"/>
    <w:pPr>
      <w:numPr>
        <w:numId w:val="13"/>
      </w:numPr>
      <w:tabs>
        <w:tab w:val="clear" w:pos="340"/>
      </w:tabs>
      <w:spacing w:before="40" w:after="40"/>
    </w:pPr>
  </w:style>
  <w:style w:type="character" w:customStyle="1" w:styleId="SpecialBold">
    <w:name w:val="Special Bold"/>
    <w:basedOn w:val="DefaultParagraphFont"/>
    <w:rsid w:val="00096D13"/>
    <w:rPr>
      <w:b/>
      <w:spacing w:val="0"/>
    </w:rPr>
  </w:style>
  <w:style w:type="paragraph" w:styleId="ListBullet2">
    <w:name w:val="List Bullet 2"/>
    <w:basedOn w:val="List2"/>
    <w:rsid w:val="00096D13"/>
    <w:pPr>
      <w:numPr>
        <w:numId w:val="14"/>
      </w:numPr>
      <w:tabs>
        <w:tab w:val="clear" w:pos="680"/>
      </w:tabs>
    </w:pPr>
  </w:style>
  <w:style w:type="paragraph" w:customStyle="1" w:styleId="SuperHeading">
    <w:name w:val="SuperHeading"/>
    <w:basedOn w:val="Normal"/>
    <w:rsid w:val="00096D13"/>
    <w:pPr>
      <w:spacing w:before="240" w:after="120"/>
      <w:outlineLvl w:val="0"/>
    </w:pPr>
    <w:rPr>
      <w:rFonts w:ascii="Times New Roman" w:hAnsi="Times New Roman"/>
      <w:b/>
      <w:sz w:val="32"/>
    </w:rPr>
  </w:style>
  <w:style w:type="paragraph" w:customStyle="1" w:styleId="AllowPageBreak">
    <w:name w:val="AllowPageBreak"/>
    <w:rsid w:val="00096D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096D13"/>
    <w:pPr>
      <w:numPr>
        <w:numId w:val="8"/>
      </w:numPr>
    </w:pPr>
  </w:style>
  <w:style w:type="character" w:customStyle="1" w:styleId="Heading2Char">
    <w:name w:val="Heading 2 Char"/>
    <w:basedOn w:val="DefaultParagraphFont"/>
    <w:link w:val="Heading2"/>
    <w:rsid w:val="00096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D13"/>
    <w:rPr>
      <w:rFonts w:ascii="Courier New" w:eastAsia="Times New Roman" w:hAnsi="Courier New" w:cs="Times New Roman"/>
      <w:i/>
      <w:szCs w:val="20"/>
      <w:lang w:eastAsia="en-US"/>
    </w:rPr>
  </w:style>
  <w:style w:type="paragraph" w:customStyle="1" w:styleId="HeadingBase">
    <w:name w:val="Heading Base"/>
    <w:rsid w:val="00096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D13"/>
    <w:pPr>
      <w:tabs>
        <w:tab w:val="right" w:leader="dot" w:pos="9072"/>
      </w:tabs>
      <w:ind w:left="567"/>
    </w:pPr>
    <w:rPr>
      <w:szCs w:val="22"/>
    </w:rPr>
  </w:style>
  <w:style w:type="paragraph" w:customStyle="1" w:styleId="TOCBase">
    <w:name w:val="TOC Base"/>
    <w:rsid w:val="00096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D13"/>
    <w:pPr>
      <w:tabs>
        <w:tab w:val="right" w:leader="dot" w:pos="9072"/>
      </w:tabs>
      <w:spacing w:before="40" w:after="40"/>
      <w:ind w:left="284"/>
    </w:pPr>
    <w:rPr>
      <w:rFonts w:ascii="Times New Roman" w:hAnsi="Times New Roman"/>
    </w:rPr>
  </w:style>
  <w:style w:type="paragraph" w:styleId="TOC1">
    <w:name w:val="toc 1"/>
    <w:basedOn w:val="TOCBase"/>
    <w:next w:val="Normal"/>
    <w:rsid w:val="00096D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D13"/>
    <w:rPr>
      <w:rFonts w:ascii="Times New Roman" w:eastAsia="Times New Roman" w:hAnsi="Times New Roman" w:cs="Times New Roman"/>
      <w:sz w:val="16"/>
      <w:lang w:eastAsia="en-US"/>
    </w:rPr>
  </w:style>
  <w:style w:type="paragraph" w:styleId="Title">
    <w:name w:val="Title"/>
    <w:basedOn w:val="HeadingBase"/>
    <w:link w:val="TitleChar"/>
    <w:qFormat/>
    <w:rsid w:val="00096D13"/>
    <w:pPr>
      <w:spacing w:before="5040"/>
      <w:jc w:val="center"/>
    </w:pPr>
    <w:rPr>
      <w:sz w:val="48"/>
      <w:szCs w:val="72"/>
      <w:lang w:val="en-US"/>
    </w:rPr>
  </w:style>
  <w:style w:type="character" w:customStyle="1" w:styleId="TitleChar">
    <w:name w:val="Title Char"/>
    <w:basedOn w:val="DefaultParagraphFont"/>
    <w:link w:val="Title"/>
    <w:rsid w:val="00096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D13"/>
    <w:pPr>
      <w:tabs>
        <w:tab w:val="left" w:pos="3600"/>
        <w:tab w:val="left" w:pos="3958"/>
      </w:tabs>
    </w:pPr>
  </w:style>
  <w:style w:type="paragraph" w:styleId="List">
    <w:name w:val="List"/>
    <w:basedOn w:val="BodyText"/>
    <w:next w:val="BodyText"/>
    <w:rsid w:val="00096D13"/>
    <w:pPr>
      <w:tabs>
        <w:tab w:val="left" w:pos="340"/>
      </w:tabs>
      <w:spacing w:before="60" w:after="60"/>
      <w:ind w:left="340" w:hanging="340"/>
    </w:pPr>
  </w:style>
  <w:style w:type="paragraph" w:customStyle="1" w:styleId="Note">
    <w:name w:val="Note"/>
    <w:basedOn w:val="BodyText"/>
    <w:rsid w:val="00096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D13"/>
    <w:pPr>
      <w:framePr w:wrap="auto" w:hAnchor="text" w:y="6049"/>
    </w:pPr>
    <w:rPr>
      <w:color w:val="000000"/>
      <w:sz w:val="40"/>
    </w:rPr>
  </w:style>
  <w:style w:type="paragraph" w:customStyle="1" w:styleId="TOCTitle">
    <w:name w:val="TOCTitle"/>
    <w:basedOn w:val="Heading1"/>
    <w:rsid w:val="00096D13"/>
    <w:pPr>
      <w:spacing w:after="240"/>
      <w:jc w:val="center"/>
      <w:outlineLvl w:val="9"/>
    </w:pPr>
    <w:rPr>
      <w:caps/>
    </w:rPr>
  </w:style>
  <w:style w:type="paragraph" w:customStyle="1" w:styleId="Version">
    <w:name w:val="Version"/>
    <w:rsid w:val="00096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D13"/>
    <w:pPr>
      <w:keepNext w:val="0"/>
      <w:tabs>
        <w:tab w:val="right" w:pos="4176"/>
      </w:tabs>
      <w:ind w:left="198" w:hanging="198"/>
    </w:pPr>
    <w:rPr>
      <w:rFonts w:ascii="Garamond" w:hAnsi="Garamond"/>
    </w:rPr>
  </w:style>
  <w:style w:type="paragraph" w:styleId="IndexHeading">
    <w:name w:val="index heading"/>
    <w:basedOn w:val="Normal"/>
    <w:next w:val="Index1"/>
    <w:semiHidden/>
    <w:rsid w:val="00096D13"/>
    <w:pPr>
      <w:spacing w:before="120" w:after="120"/>
    </w:pPr>
    <w:rPr>
      <w:rFonts w:ascii="Arial" w:hAnsi="Arial"/>
      <w:b/>
      <w:color w:val="918585"/>
      <w:sz w:val="24"/>
    </w:rPr>
  </w:style>
  <w:style w:type="paragraph" w:styleId="Header">
    <w:name w:val="header"/>
    <w:basedOn w:val="Normal"/>
    <w:link w:val="HeaderChar"/>
    <w:rsid w:val="00096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D13"/>
    <w:rPr>
      <w:rFonts w:ascii="Times New Roman" w:eastAsia="Times New Roman" w:hAnsi="Times New Roman" w:cs="Times New Roman"/>
      <w:sz w:val="16"/>
      <w:szCs w:val="20"/>
      <w:lang w:val="en-GB" w:eastAsia="en-US"/>
    </w:rPr>
  </w:style>
  <w:style w:type="paragraph" w:customStyle="1" w:styleId="Chapter">
    <w:name w:val="Chapter"/>
    <w:basedOn w:val="Normal"/>
    <w:rsid w:val="00096D13"/>
    <w:pPr>
      <w:spacing w:before="240"/>
    </w:pPr>
    <w:rPr>
      <w:rFonts w:ascii="Times New Roman" w:hAnsi="Times New Roman"/>
      <w:smallCaps/>
      <w:spacing w:val="80"/>
      <w:sz w:val="28"/>
    </w:rPr>
  </w:style>
  <w:style w:type="paragraph" w:customStyle="1" w:styleId="InChapter">
    <w:name w:val="InChapter"/>
    <w:basedOn w:val="Heading3"/>
    <w:rsid w:val="00096D13"/>
    <w:pPr>
      <w:spacing w:after="240"/>
      <w:outlineLvl w:val="9"/>
    </w:pPr>
    <w:rPr>
      <w:noProof/>
    </w:rPr>
  </w:style>
  <w:style w:type="paragraph" w:styleId="Index2">
    <w:name w:val="index 2"/>
    <w:basedOn w:val="Normal"/>
    <w:next w:val="Normal"/>
    <w:semiHidden/>
    <w:rsid w:val="00096D13"/>
    <w:pPr>
      <w:tabs>
        <w:tab w:val="right" w:pos="4176"/>
      </w:tabs>
      <w:ind w:left="568" w:hanging="284"/>
    </w:pPr>
    <w:rPr>
      <w:rFonts w:ascii="Garamond" w:hAnsi="Garamond"/>
    </w:rPr>
  </w:style>
  <w:style w:type="paragraph" w:customStyle="1" w:styleId="Byline">
    <w:name w:val="Byline"/>
    <w:rsid w:val="00096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D13"/>
    <w:pPr>
      <w:tabs>
        <w:tab w:val="clear" w:pos="3600"/>
        <w:tab w:val="clear" w:pos="3958"/>
      </w:tabs>
      <w:jc w:val="right"/>
    </w:pPr>
  </w:style>
  <w:style w:type="character" w:styleId="Emphasis">
    <w:name w:val="Emphasis"/>
    <w:basedOn w:val="DefaultParagraphFont"/>
    <w:qFormat/>
    <w:rsid w:val="00096D13"/>
    <w:rPr>
      <w:i/>
    </w:rPr>
  </w:style>
  <w:style w:type="paragraph" w:styleId="Caption">
    <w:name w:val="caption"/>
    <w:basedOn w:val="BodyText"/>
    <w:next w:val="Normal"/>
    <w:qFormat/>
    <w:rsid w:val="00096D13"/>
    <w:pPr>
      <w:framePr w:w="2268" w:hSpace="181" w:vSpace="181" w:wrap="around" w:vAnchor="text" w:hAnchor="page" w:x="1135" w:y="285" w:anchorLock="1"/>
    </w:pPr>
    <w:rPr>
      <w:i/>
    </w:rPr>
  </w:style>
  <w:style w:type="paragraph" w:customStyle="1" w:styleId="MiniTOCTitle">
    <w:name w:val="MiniTOCTitle"/>
    <w:basedOn w:val="Heading4"/>
    <w:rsid w:val="00096D13"/>
    <w:pPr>
      <w:spacing w:before="240"/>
      <w:outlineLvl w:val="9"/>
    </w:pPr>
    <w:rPr>
      <w:noProof/>
      <w:sz w:val="24"/>
    </w:rPr>
  </w:style>
  <w:style w:type="paragraph" w:customStyle="1" w:styleId="MiniTOCItem">
    <w:name w:val="MiniTOCItem"/>
    <w:basedOn w:val="ListBullet"/>
    <w:rsid w:val="00096D13"/>
    <w:pPr>
      <w:numPr>
        <w:numId w:val="0"/>
      </w:numPr>
      <w:tabs>
        <w:tab w:val="right" w:leader="dot" w:pos="6521"/>
      </w:tabs>
      <w:spacing w:before="0" w:after="0"/>
    </w:pPr>
  </w:style>
  <w:style w:type="paragraph" w:customStyle="1" w:styleId="TOFTitle">
    <w:name w:val="TOFTitle"/>
    <w:basedOn w:val="TOCTitle"/>
    <w:rsid w:val="00096D13"/>
  </w:style>
  <w:style w:type="paragraph" w:styleId="TableofFigures">
    <w:name w:val="table of figures"/>
    <w:basedOn w:val="Normal"/>
    <w:next w:val="Normal"/>
    <w:semiHidden/>
    <w:rsid w:val="00096D13"/>
    <w:pPr>
      <w:tabs>
        <w:tab w:val="right" w:leader="dot" w:pos="9072"/>
      </w:tabs>
      <w:ind w:left="970" w:hanging="403"/>
    </w:pPr>
    <w:rPr>
      <w:rFonts w:ascii="Times New Roman" w:hAnsi="Times New Roman"/>
      <w:b/>
    </w:rPr>
  </w:style>
  <w:style w:type="paragraph" w:styleId="ListNumber">
    <w:name w:val="List Number"/>
    <w:basedOn w:val="List"/>
    <w:rsid w:val="00096D13"/>
    <w:pPr>
      <w:numPr>
        <w:numId w:val="11"/>
      </w:numPr>
    </w:pPr>
  </w:style>
  <w:style w:type="character" w:customStyle="1" w:styleId="WingdingSymbols">
    <w:name w:val="Wingding Symbols"/>
    <w:rsid w:val="00096D13"/>
    <w:rPr>
      <w:rFonts w:ascii="Wingdings" w:hAnsi="Wingdings"/>
    </w:rPr>
  </w:style>
  <w:style w:type="paragraph" w:customStyle="1" w:styleId="TableHeading">
    <w:name w:val="Table Heading"/>
    <w:basedOn w:val="HeadingBase"/>
    <w:rsid w:val="00096D13"/>
    <w:pPr>
      <w:keepLines/>
      <w:pBdr>
        <w:bottom w:val="single" w:sz="6" w:space="1" w:color="918585"/>
      </w:pBdr>
      <w:spacing w:before="240"/>
    </w:pPr>
  </w:style>
  <w:style w:type="character" w:customStyle="1" w:styleId="HotSpot">
    <w:name w:val="HotSpot"/>
    <w:rsid w:val="00096D13"/>
    <w:rPr>
      <w:color w:val="0033CC"/>
      <w:u w:val="none"/>
    </w:rPr>
  </w:style>
  <w:style w:type="paragraph" w:customStyle="1" w:styleId="BodyTextRight">
    <w:name w:val="Body Text Right"/>
    <w:basedOn w:val="BodyText"/>
    <w:rsid w:val="00096D13"/>
    <w:pPr>
      <w:spacing w:before="0" w:after="0"/>
      <w:jc w:val="right"/>
    </w:pPr>
  </w:style>
  <w:style w:type="paragraph" w:styleId="Index3">
    <w:name w:val="index 3"/>
    <w:basedOn w:val="ListNumber2"/>
    <w:next w:val="Normal"/>
    <w:semiHidden/>
    <w:rsid w:val="00096D13"/>
    <w:pPr>
      <w:numPr>
        <w:numId w:val="0"/>
      </w:numPr>
      <w:tabs>
        <w:tab w:val="right" w:leader="dot" w:pos="4176"/>
      </w:tabs>
    </w:pPr>
  </w:style>
  <w:style w:type="paragraph" w:styleId="ListNumber2">
    <w:name w:val="List Number 2"/>
    <w:basedOn w:val="List2"/>
    <w:rsid w:val="00096D13"/>
    <w:pPr>
      <w:numPr>
        <w:numId w:val="10"/>
      </w:numPr>
      <w:tabs>
        <w:tab w:val="clear" w:pos="1060"/>
      </w:tabs>
    </w:pPr>
  </w:style>
  <w:style w:type="paragraph" w:customStyle="1" w:styleId="MarginNote">
    <w:name w:val="Margin Note"/>
    <w:basedOn w:val="BodyText"/>
    <w:rsid w:val="00096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D13"/>
    <w:rPr>
      <w:sz w:val="32"/>
    </w:rPr>
  </w:style>
  <w:style w:type="paragraph" w:customStyle="1" w:styleId="HeadingProcedure">
    <w:name w:val="Heading Procedure"/>
    <w:basedOn w:val="HeadingBase"/>
    <w:next w:val="Normal"/>
    <w:rsid w:val="00096D13"/>
    <w:pPr>
      <w:tabs>
        <w:tab w:val="left" w:pos="0"/>
      </w:tabs>
      <w:spacing w:before="120" w:after="60"/>
    </w:pPr>
    <w:rPr>
      <w:i/>
      <w:color w:val="918585"/>
      <w:sz w:val="22"/>
    </w:rPr>
  </w:style>
  <w:style w:type="paragraph" w:customStyle="1" w:styleId="TableBodyText">
    <w:name w:val="Table Body Text"/>
    <w:basedOn w:val="BodyText"/>
    <w:rsid w:val="00096D13"/>
    <w:pPr>
      <w:spacing w:before="60" w:after="60"/>
    </w:pPr>
  </w:style>
  <w:style w:type="paragraph" w:styleId="ListContinue">
    <w:name w:val="List Continue"/>
    <w:basedOn w:val="List"/>
    <w:rsid w:val="00096D13"/>
    <w:pPr>
      <w:ind w:firstLine="0"/>
    </w:pPr>
  </w:style>
  <w:style w:type="paragraph" w:customStyle="1" w:styleId="ListNote">
    <w:name w:val="List Note"/>
    <w:basedOn w:val="List"/>
    <w:rsid w:val="00096D13"/>
    <w:pPr>
      <w:pBdr>
        <w:top w:val="single" w:sz="6" w:space="2" w:color="918585"/>
        <w:bottom w:val="single" w:sz="6" w:space="2" w:color="918585"/>
      </w:pBdr>
      <w:tabs>
        <w:tab w:val="left" w:pos="1021"/>
      </w:tabs>
      <w:ind w:firstLine="0"/>
    </w:pPr>
  </w:style>
  <w:style w:type="paragraph" w:customStyle="1" w:styleId="Warning">
    <w:name w:val="Warning"/>
    <w:basedOn w:val="BodyText"/>
    <w:rsid w:val="00096D13"/>
    <w:pPr>
      <w:shd w:val="clear" w:color="auto" w:fill="D9D9D9"/>
      <w:tabs>
        <w:tab w:val="left" w:pos="992"/>
      </w:tabs>
      <w:ind w:left="119" w:right="119"/>
    </w:pPr>
    <w:rPr>
      <w:sz w:val="20"/>
    </w:rPr>
  </w:style>
  <w:style w:type="paragraph" w:customStyle="1" w:styleId="MarginIcons">
    <w:name w:val="Margin Icons"/>
    <w:basedOn w:val="BodyText"/>
    <w:rsid w:val="00096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D13"/>
    <w:rPr>
      <w:rFonts w:ascii="Courier New" w:hAnsi="Courier New"/>
    </w:rPr>
  </w:style>
  <w:style w:type="paragraph" w:customStyle="1" w:styleId="NoteBullet">
    <w:name w:val="Note Bullet"/>
    <w:basedOn w:val="Note"/>
    <w:rsid w:val="00096D13"/>
    <w:pPr>
      <w:tabs>
        <w:tab w:val="clear" w:pos="680"/>
      </w:tabs>
      <w:spacing w:before="60" w:after="60"/>
    </w:pPr>
  </w:style>
  <w:style w:type="paragraph" w:customStyle="1" w:styleId="SubHeading2">
    <w:name w:val="SubHeading2"/>
    <w:basedOn w:val="HeadingBase"/>
    <w:rsid w:val="00096D13"/>
    <w:pPr>
      <w:spacing w:before="240" w:after="60"/>
    </w:pPr>
    <w:rPr>
      <w:sz w:val="20"/>
    </w:rPr>
  </w:style>
  <w:style w:type="paragraph" w:customStyle="1" w:styleId="SubHeading1">
    <w:name w:val="SubHeading1"/>
    <w:basedOn w:val="HeadingBase"/>
    <w:rsid w:val="00096D13"/>
    <w:pPr>
      <w:spacing w:before="240" w:after="60"/>
    </w:pPr>
    <w:rPr>
      <w:color w:val="918585"/>
      <w:sz w:val="22"/>
    </w:rPr>
  </w:style>
  <w:style w:type="paragraph" w:customStyle="1" w:styleId="SideHeading">
    <w:name w:val="Side Heading"/>
    <w:basedOn w:val="HeadingBase"/>
    <w:rsid w:val="00096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D13"/>
    <w:pPr>
      <w:numPr>
        <w:numId w:val="12"/>
      </w:numPr>
    </w:pPr>
  </w:style>
  <w:style w:type="paragraph" w:styleId="PlainText">
    <w:name w:val="Plain Text"/>
    <w:basedOn w:val="Normal"/>
    <w:link w:val="PlainTextChar"/>
    <w:rsid w:val="00096D13"/>
    <w:rPr>
      <w:sz w:val="20"/>
    </w:rPr>
  </w:style>
  <w:style w:type="character" w:customStyle="1" w:styleId="PlainTextChar">
    <w:name w:val="Plain Text Char"/>
    <w:basedOn w:val="DefaultParagraphFont"/>
    <w:link w:val="PlainText"/>
    <w:rsid w:val="00096D13"/>
    <w:rPr>
      <w:rFonts w:ascii="Courier New" w:eastAsia="Times New Roman" w:hAnsi="Courier New" w:cs="Times New Roman"/>
      <w:sz w:val="20"/>
      <w:szCs w:val="20"/>
      <w:lang w:eastAsia="en-US"/>
    </w:rPr>
  </w:style>
  <w:style w:type="character" w:customStyle="1" w:styleId="MenuOption">
    <w:name w:val="Menu Option"/>
    <w:basedOn w:val="DefaultParagraphFont"/>
    <w:rsid w:val="00096D13"/>
    <w:rPr>
      <w:b/>
      <w:smallCaps/>
    </w:rPr>
  </w:style>
  <w:style w:type="paragraph" w:customStyle="1" w:styleId="TableListNumber">
    <w:name w:val="Table List Number"/>
    <w:basedOn w:val="ListNumber"/>
    <w:rsid w:val="00096D13"/>
    <w:pPr>
      <w:numPr>
        <w:numId w:val="0"/>
      </w:numPr>
    </w:pPr>
  </w:style>
  <w:style w:type="paragraph" w:styleId="TOC4">
    <w:name w:val="toc 4"/>
    <w:basedOn w:val="TOCBase"/>
    <w:next w:val="Normal"/>
    <w:semiHidden/>
    <w:rsid w:val="00096D13"/>
    <w:pPr>
      <w:tabs>
        <w:tab w:val="right" w:leader="dot" w:pos="9071"/>
      </w:tabs>
      <w:ind w:left="1701"/>
    </w:pPr>
  </w:style>
  <w:style w:type="paragraph" w:customStyle="1" w:styleId="ListAlpha">
    <w:name w:val="List Alpha"/>
    <w:basedOn w:val="List"/>
    <w:rsid w:val="00096D13"/>
    <w:pPr>
      <w:numPr>
        <w:numId w:val="9"/>
      </w:numPr>
    </w:pPr>
  </w:style>
  <w:style w:type="paragraph" w:styleId="List2">
    <w:name w:val="List 2"/>
    <w:basedOn w:val="BodyText"/>
    <w:rsid w:val="00096D13"/>
    <w:pPr>
      <w:tabs>
        <w:tab w:val="left" w:pos="680"/>
      </w:tabs>
      <w:spacing w:before="60" w:after="60"/>
      <w:ind w:left="680" w:hanging="340"/>
    </w:pPr>
  </w:style>
  <w:style w:type="paragraph" w:styleId="List3">
    <w:name w:val="List 3"/>
    <w:basedOn w:val="BodyText"/>
    <w:rsid w:val="00096D13"/>
    <w:pPr>
      <w:tabs>
        <w:tab w:val="left" w:pos="1021"/>
      </w:tabs>
      <w:spacing w:before="60" w:after="60"/>
      <w:ind w:left="1020" w:hanging="340"/>
    </w:pPr>
  </w:style>
  <w:style w:type="paragraph" w:styleId="List4">
    <w:name w:val="List 4"/>
    <w:basedOn w:val="BodyText"/>
    <w:rsid w:val="00096D13"/>
    <w:pPr>
      <w:tabs>
        <w:tab w:val="left" w:pos="1361"/>
      </w:tabs>
      <w:spacing w:before="60" w:after="60"/>
      <w:ind w:left="1361" w:hanging="340"/>
    </w:pPr>
  </w:style>
  <w:style w:type="paragraph" w:styleId="List5">
    <w:name w:val="List 5"/>
    <w:basedOn w:val="BodyText"/>
    <w:rsid w:val="00096D13"/>
    <w:pPr>
      <w:tabs>
        <w:tab w:val="left" w:pos="1701"/>
      </w:tabs>
      <w:spacing w:before="60" w:after="60"/>
      <w:ind w:left="1701" w:hanging="340"/>
    </w:pPr>
  </w:style>
  <w:style w:type="paragraph" w:styleId="ListBullet3">
    <w:name w:val="List Bullet 3"/>
    <w:basedOn w:val="List3"/>
    <w:rsid w:val="00096D13"/>
    <w:pPr>
      <w:numPr>
        <w:numId w:val="15"/>
      </w:numPr>
      <w:tabs>
        <w:tab w:val="clear" w:pos="1021"/>
      </w:tabs>
      <w:ind w:left="1037" w:hanging="357"/>
    </w:pPr>
  </w:style>
  <w:style w:type="paragraph" w:styleId="ListBullet4">
    <w:name w:val="List Bullet 4"/>
    <w:basedOn w:val="List4"/>
    <w:rsid w:val="00096D13"/>
    <w:pPr>
      <w:numPr>
        <w:numId w:val="3"/>
      </w:numPr>
    </w:pPr>
  </w:style>
  <w:style w:type="paragraph" w:styleId="ListBullet5">
    <w:name w:val="List Bullet 5"/>
    <w:basedOn w:val="List5"/>
    <w:rsid w:val="00096D13"/>
    <w:pPr>
      <w:numPr>
        <w:numId w:val="4"/>
      </w:numPr>
    </w:pPr>
  </w:style>
  <w:style w:type="paragraph" w:styleId="ListContinue2">
    <w:name w:val="List Continue 2"/>
    <w:basedOn w:val="List2"/>
    <w:rsid w:val="00096D13"/>
    <w:pPr>
      <w:ind w:firstLine="0"/>
    </w:pPr>
  </w:style>
  <w:style w:type="paragraph" w:styleId="ListContinue3">
    <w:name w:val="List Continue 3"/>
    <w:basedOn w:val="List3"/>
    <w:rsid w:val="00096D13"/>
    <w:pPr>
      <w:ind w:left="1021" w:firstLine="0"/>
    </w:pPr>
  </w:style>
  <w:style w:type="paragraph" w:styleId="ListContinue4">
    <w:name w:val="List Continue 4"/>
    <w:basedOn w:val="List4"/>
    <w:rsid w:val="00096D13"/>
    <w:pPr>
      <w:ind w:firstLine="0"/>
    </w:pPr>
  </w:style>
  <w:style w:type="paragraph" w:styleId="ListContinue5">
    <w:name w:val="List Continue 5"/>
    <w:basedOn w:val="List5"/>
    <w:rsid w:val="00096D13"/>
    <w:pPr>
      <w:ind w:firstLine="0"/>
    </w:pPr>
  </w:style>
  <w:style w:type="paragraph" w:styleId="ListNumber3">
    <w:name w:val="List Number 3"/>
    <w:basedOn w:val="List3"/>
    <w:rsid w:val="00096D13"/>
    <w:pPr>
      <w:numPr>
        <w:numId w:val="5"/>
      </w:numPr>
    </w:pPr>
  </w:style>
  <w:style w:type="paragraph" w:styleId="ListNumber4">
    <w:name w:val="List Number 4"/>
    <w:basedOn w:val="List4"/>
    <w:rsid w:val="00096D13"/>
    <w:pPr>
      <w:numPr>
        <w:numId w:val="6"/>
      </w:numPr>
    </w:pPr>
  </w:style>
  <w:style w:type="paragraph" w:styleId="ListNumber5">
    <w:name w:val="List Number 5"/>
    <w:basedOn w:val="List5"/>
    <w:rsid w:val="00096D13"/>
    <w:pPr>
      <w:numPr>
        <w:numId w:val="7"/>
      </w:numPr>
    </w:pPr>
  </w:style>
  <w:style w:type="paragraph" w:styleId="BlockText">
    <w:name w:val="Block Text"/>
    <w:basedOn w:val="Normal"/>
    <w:rsid w:val="00096D13"/>
    <w:pPr>
      <w:spacing w:after="120"/>
      <w:ind w:left="1440" w:right="1440"/>
    </w:pPr>
  </w:style>
  <w:style w:type="character" w:customStyle="1" w:styleId="Subscript">
    <w:name w:val="Subscript"/>
    <w:basedOn w:val="DefaultParagraphFont"/>
    <w:rsid w:val="00096D13"/>
    <w:rPr>
      <w:sz w:val="16"/>
      <w:vertAlign w:val="subscript"/>
    </w:rPr>
  </w:style>
  <w:style w:type="character" w:customStyle="1" w:styleId="Superscript">
    <w:name w:val="Superscript"/>
    <w:basedOn w:val="DefaultParagraphFont"/>
    <w:rsid w:val="00096D13"/>
    <w:rPr>
      <w:sz w:val="16"/>
      <w:vertAlign w:val="superscript"/>
    </w:rPr>
  </w:style>
  <w:style w:type="character" w:customStyle="1" w:styleId="Symbols">
    <w:name w:val="Symbols"/>
    <w:basedOn w:val="DefaultParagraphFont"/>
    <w:rsid w:val="00096D13"/>
    <w:rPr>
      <w:rFonts w:ascii="Symbol" w:hAnsi="Symbol"/>
    </w:rPr>
  </w:style>
  <w:style w:type="character" w:customStyle="1" w:styleId="MenuOptions">
    <w:name w:val="Menu Options"/>
    <w:basedOn w:val="DefaultParagraphFont"/>
    <w:rsid w:val="00096D13"/>
    <w:rPr>
      <w:rFonts w:ascii="Arial Narrow" w:hAnsi="Arial Narrow"/>
      <w:smallCaps/>
    </w:rPr>
  </w:style>
  <w:style w:type="character" w:customStyle="1" w:styleId="Buttons">
    <w:name w:val="Buttons"/>
    <w:basedOn w:val="DefaultParagraphFont"/>
    <w:rsid w:val="00096D13"/>
    <w:rPr>
      <w:b/>
    </w:rPr>
  </w:style>
  <w:style w:type="character" w:customStyle="1" w:styleId="Underlined">
    <w:name w:val="Underlined"/>
    <w:basedOn w:val="DefaultParagraphFont"/>
    <w:rsid w:val="00096D13"/>
    <w:rPr>
      <w:u w:val="single"/>
    </w:rPr>
  </w:style>
  <w:style w:type="paragraph" w:customStyle="1" w:styleId="TableBodyTextRight">
    <w:name w:val="Table Body Text Right"/>
    <w:basedOn w:val="TableBodyText"/>
    <w:rsid w:val="00096D13"/>
    <w:pPr>
      <w:widowControl w:val="0"/>
      <w:autoSpaceDE w:val="0"/>
      <w:autoSpaceDN w:val="0"/>
      <w:adjustRightInd w:val="0"/>
      <w:jc w:val="right"/>
    </w:pPr>
    <w:rPr>
      <w:rFonts w:cs="Arial"/>
      <w:szCs w:val="18"/>
    </w:rPr>
  </w:style>
  <w:style w:type="paragraph" w:customStyle="1" w:styleId="CopyrightText">
    <w:name w:val="Copyright Text"/>
    <w:basedOn w:val="BodyText"/>
    <w:rsid w:val="00096D13"/>
    <w:rPr>
      <w:sz w:val="18"/>
    </w:rPr>
  </w:style>
  <w:style w:type="paragraph" w:customStyle="1" w:styleId="BodySmallRight">
    <w:name w:val="Body Small Right"/>
    <w:basedOn w:val="BodyTextRight"/>
    <w:rsid w:val="00096D13"/>
    <w:rPr>
      <w:sz w:val="18"/>
      <w:szCs w:val="18"/>
    </w:rPr>
  </w:style>
  <w:style w:type="paragraph" w:customStyle="1" w:styleId="MarginEdition">
    <w:name w:val="Margin Edition"/>
    <w:basedOn w:val="MarginNote"/>
    <w:rsid w:val="00096D13"/>
    <w:pPr>
      <w:spacing w:before="0" w:after="0"/>
    </w:pPr>
    <w:rPr>
      <w:rFonts w:ascii="Times New Roman" w:hAnsi="Times New Roman"/>
      <w:color w:val="999999"/>
    </w:rPr>
  </w:style>
  <w:style w:type="paragraph" w:customStyle="1" w:styleId="Spacer">
    <w:name w:val="Spacer"/>
    <w:basedOn w:val="Normal"/>
    <w:rsid w:val="00096D13"/>
    <w:rPr>
      <w:sz w:val="2"/>
      <w:szCs w:val="2"/>
    </w:rPr>
  </w:style>
  <w:style w:type="character" w:customStyle="1" w:styleId="Small">
    <w:name w:val="Small"/>
    <w:basedOn w:val="DefaultParagraphFont"/>
    <w:rsid w:val="00096D13"/>
    <w:rPr>
      <w:sz w:val="16"/>
    </w:rPr>
  </w:style>
  <w:style w:type="paragraph" w:customStyle="1" w:styleId="WideTable">
    <w:name w:val="Wide Table"/>
    <w:basedOn w:val="Normal"/>
    <w:rsid w:val="00096D13"/>
    <w:pPr>
      <w:ind w:left="-1418"/>
    </w:pPr>
    <w:rPr>
      <w:sz w:val="2"/>
      <w:szCs w:val="2"/>
    </w:rPr>
  </w:style>
  <w:style w:type="character" w:styleId="PageNumber">
    <w:name w:val="page number"/>
    <w:basedOn w:val="DefaultParagraphFont"/>
    <w:rsid w:val="00096D13"/>
  </w:style>
  <w:style w:type="paragraph" w:styleId="Quote">
    <w:name w:val="Quote"/>
    <w:basedOn w:val="Heading1"/>
    <w:link w:val="QuoteChar"/>
    <w:qFormat/>
    <w:rsid w:val="00096D13"/>
    <w:rPr>
      <w:b w:val="0"/>
      <w:sz w:val="72"/>
      <w:szCs w:val="72"/>
      <w:lang w:val="en-NZ"/>
    </w:rPr>
  </w:style>
  <w:style w:type="character" w:customStyle="1" w:styleId="QuoteChar">
    <w:name w:val="Quote Char"/>
    <w:basedOn w:val="DefaultParagraphFont"/>
    <w:link w:val="Quote"/>
    <w:rsid w:val="00096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D13"/>
    <w:pPr>
      <w:pageBreakBefore/>
    </w:pPr>
  </w:style>
  <w:style w:type="paragraph" w:customStyle="1" w:styleId="Border">
    <w:name w:val="Border"/>
    <w:basedOn w:val="Normal"/>
    <w:qFormat/>
    <w:rsid w:val="00096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D13"/>
    <w:rPr>
      <w:b/>
      <w:bCs/>
      <w:i/>
      <w:iCs/>
      <w:color w:val="auto"/>
    </w:rPr>
  </w:style>
  <w:style w:type="paragraph" w:styleId="IntenseQuote">
    <w:name w:val="Intense Quote"/>
    <w:basedOn w:val="Normal"/>
    <w:next w:val="Normal"/>
    <w:link w:val="IntenseQuoteChar"/>
    <w:uiPriority w:val="30"/>
    <w:qFormat/>
    <w:rsid w:val="00096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D13"/>
    <w:rPr>
      <w:smallCaps/>
      <w:color w:val="auto"/>
      <w:u w:val="single"/>
    </w:rPr>
  </w:style>
  <w:style w:type="character" w:styleId="IntenseReference">
    <w:name w:val="Intense Reference"/>
    <w:basedOn w:val="DefaultParagraphFont"/>
    <w:uiPriority w:val="32"/>
    <w:qFormat/>
    <w:rsid w:val="00096D13"/>
    <w:rPr>
      <w:b/>
      <w:bCs/>
      <w:smallCaps/>
      <w:color w:val="auto"/>
      <w:spacing w:val="5"/>
      <w:u w:val="single"/>
    </w:rPr>
  </w:style>
  <w:style w:type="paragraph" w:customStyle="1" w:styleId="2ColumnHeading">
    <w:name w:val="2Column Heading"/>
    <w:basedOn w:val="BodyText"/>
    <w:qFormat/>
    <w:rsid w:val="00096D13"/>
    <w:pPr>
      <w:spacing w:after="60"/>
      <w:ind w:left="-2268"/>
    </w:pPr>
    <w:rPr>
      <w:b/>
    </w:rPr>
  </w:style>
  <w:style w:type="paragraph" w:customStyle="1" w:styleId="Heading1TOC">
    <w:name w:val="Heading1 TOC"/>
    <w:basedOn w:val="Normal"/>
    <w:qFormat/>
    <w:rsid w:val="00096D13"/>
    <w:pPr>
      <w:spacing w:before="240" w:after="120"/>
    </w:pPr>
    <w:rPr>
      <w:rFonts w:ascii="Times New Roman" w:hAnsi="Times New Roman"/>
      <w:b/>
      <w:sz w:val="32"/>
    </w:rPr>
  </w:style>
  <w:style w:type="paragraph" w:customStyle="1" w:styleId="Heading2TOC">
    <w:name w:val="Heading2 TOC"/>
    <w:basedOn w:val="Normal"/>
    <w:qFormat/>
    <w:rsid w:val="00096D13"/>
    <w:pPr>
      <w:spacing w:before="240" w:after="60"/>
    </w:pPr>
    <w:rPr>
      <w:rFonts w:ascii="Times New Roman" w:hAnsi="Times New Roman"/>
      <w:b/>
      <w:sz w:val="28"/>
    </w:rPr>
  </w:style>
  <w:style w:type="character" w:customStyle="1" w:styleId="Underline">
    <w:name w:val="Underline"/>
    <w:basedOn w:val="DefaultParagraphFont"/>
    <w:qFormat/>
    <w:rsid w:val="00096D13"/>
    <w:rPr>
      <w:u w:val="single"/>
    </w:rPr>
  </w:style>
  <w:style w:type="character" w:customStyle="1" w:styleId="BoldandItalics">
    <w:name w:val="Bold and Italics"/>
    <w:qFormat/>
    <w:rsid w:val="00096D13"/>
    <w:rPr>
      <w:b/>
      <w:i/>
      <w:u w:val="none"/>
    </w:rPr>
  </w:style>
  <w:style w:type="paragraph" w:styleId="BalloonText">
    <w:name w:val="Balloon Text"/>
    <w:basedOn w:val="Normal"/>
    <w:link w:val="BalloonTextChar"/>
    <w:rsid w:val="00096D13"/>
    <w:rPr>
      <w:rFonts w:ascii="Tahoma" w:hAnsi="Tahoma" w:cs="Tahoma"/>
      <w:sz w:val="16"/>
      <w:szCs w:val="16"/>
    </w:rPr>
  </w:style>
  <w:style w:type="character" w:customStyle="1" w:styleId="BalloonTextChar">
    <w:name w:val="Balloon Text Char"/>
    <w:basedOn w:val="DefaultParagraphFont"/>
    <w:link w:val="BalloonText"/>
    <w:rsid w:val="00096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D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D13"/>
    <w:rPr>
      <w:b/>
      <w:color w:val="660033"/>
      <w:spacing w:val="0"/>
    </w:rPr>
  </w:style>
  <w:style w:type="paragraph" w:customStyle="1" w:styleId="Nameditemlist">
    <w:name w:val="Named item list"/>
    <w:basedOn w:val="BodyText"/>
    <w:qFormat/>
    <w:rsid w:val="00096D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1970</Words>
  <Characters>11906</Characters>
  <Application>Microsoft Office Word</Application>
  <DocSecurity>0</DocSecurity>
  <Lines>424</Lines>
  <Paragraphs>177</Paragraphs>
  <ScaleCrop>false</ScaleCrop>
  <Company>Author-it Software Corporation Ltd.</Company>
  <LinksUpToDate>false</LinksUpToDate>
  <CharactersWithSpaces>13769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UEENEEH169A Solve problems in basic electronic circuits</dc:title>
  <dc:subject>Approved</dc:subject>
  <dc:creator>E-OZ Training Standards</dc:creator>
  <cp:keywords>Release: 2</cp:keywords>
  <dc:description>Review Date: 12 April 2008</dc:description>
  <cp:lastModifiedBy>TPCMS</cp:lastModifiedBy>
  <cp:revision>3</cp:revision>
  <dcterms:created xsi:type="dcterms:W3CDTF">2013-08-14T07:36:00Z</dcterms:created>
  <dcterms:modified xsi:type="dcterms:W3CDTF">2013-08-14T07:36:00Z</dcterms:modified>
</cp:coreProperties>
</file>