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D44" w:rsidP="000C7D44">
      <w:pPr>
        <w:pStyle w:val="Title"/>
      </w:pPr>
      <w:r>
        <w:fldChar w:fldCharType="begin"/>
      </w:r>
      <w:r>
        <w:instrText xml:space="preserve"> TITLE   \* MERGEFORMAT </w:instrText>
      </w:r>
      <w:r>
        <w:fldChar w:fldCharType="separate"/>
      </w:r>
      <w:r>
        <w:t>UEENEEH166A Troubleshoot microcontroller based hardware systems</w:t>
      </w:r>
      <w:r>
        <w:fldChar w:fldCharType="end"/>
      </w:r>
    </w:p>
    <w:p w:rsidR="000C7D44" w:rsidP="000C7D44">
      <w:pPr>
        <w:pStyle w:val="Version"/>
        <w:sectPr w:rsidSect="00037C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CB9" w:rsidP="00037CB9">
      <w:pPr>
        <w:pStyle w:val="SuperHeading"/>
      </w:pPr>
      <w:r w:rsidRPr="00037CB9">
        <w:t>UEENEEH166A Troubleshoot microcontroller based hardware systems</w:t>
      </w:r>
    </w:p>
    <w:p w:rsidR="00000000" w:rsidRPr="00037CB9" w:rsidP="00037CB9">
      <w:pPr>
        <w:pStyle w:val="Heading1"/>
      </w:pPr>
      <w:bookmarkStart w:id="1" w:name="O_419786"/>
      <w:bookmarkEnd w:id="1"/>
      <w:r w:rsidRPr="00037CB9">
        <w:t>Modification History</w:t>
      </w:r>
    </w:p>
    <w:p w:rsidR="00000000" w:rsidRPr="00037CB9" w:rsidP="00037CB9">
      <w:pPr>
        <w:pStyle w:val="BodyText"/>
      </w:pPr>
      <w:r w:rsidRPr="00037CB9">
        <w:t>Not applicable.</w:t>
      </w:r>
    </w:p>
    <w:p w:rsidR="00000000" w:rsidRPr="00037CB9" w:rsidP="00037CB9">
      <w:pPr>
        <w:pStyle w:val="AllowPageBreak"/>
      </w:pPr>
    </w:p>
    <w:p w:rsidR="00000000" w:rsidRPr="00037CB9" w:rsidP="00037CB9">
      <w:pPr>
        <w:pStyle w:val="Heading1"/>
      </w:pPr>
      <w:bookmarkStart w:id="2" w:name="O_419784"/>
      <w:bookmarkEnd w:id="2"/>
      <w:r w:rsidRPr="00037CB9">
        <w:t>Unit Descriptor</w:t>
      </w:r>
    </w:p>
    <w:tbl>
      <w:tblPr>
        <w:tblW w:w="0" w:type="auto"/>
        <w:tblLayout w:type="fixed"/>
        <w:tblCellMar>
          <w:left w:w="62" w:type="dxa"/>
          <w:right w:w="62" w:type="dxa"/>
        </w:tblCellMar>
        <w:tblLook w:val="0000"/>
      </w:tblPr>
      <w:tblGrid>
        <w:gridCol w:w="2700"/>
        <w:gridCol w:w="5760"/>
      </w:tblGrid>
      <w:tr w:rsidTr="000C7D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1)</w:t>
            </w:r>
            <w:r w:rsidRPr="00037CB9">
              <w:t xml:space="preserve"> </w:t>
            </w:r>
            <w:r w:rsidRPr="00037CB9">
              <w:rPr>
                <w:rStyle w:val="SpecialBold"/>
              </w:rPr>
              <w:t>Scope:</w:t>
            </w:r>
          </w:p>
        </w:tc>
      </w:tr>
      <w:tr w:rsidTr="000C7D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37CB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1.1) Descriptor</w:t>
            </w:r>
          </w:p>
        </w:tc>
      </w:tr>
      <w:tr w:rsidTr="000C7D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This unit covers determining correct operation of microcontroller systems. It encompasses working safely, problem solving procedures, providing solutions derived from measurements and calculations to predictable faults in microcontroller hardware.</w:t>
            </w:r>
          </w:p>
        </w:tc>
      </w:tr>
    </w:tbl>
    <w:p w:rsidR="00000000" w:rsidRPr="00037CB9" w:rsidP="00037CB9">
      <w:pPr>
        <w:pStyle w:val="BodyText"/>
      </w:pPr>
    </w:p>
    <w:p w:rsidR="00000000" w:rsidRPr="00037CB9" w:rsidP="00037CB9">
      <w:pPr>
        <w:pStyle w:val="AllowPageBreak"/>
      </w:pPr>
    </w:p>
    <w:p w:rsidR="00000000" w:rsidRPr="00037CB9" w:rsidP="00037CB9">
      <w:pPr>
        <w:pStyle w:val="Heading1"/>
      </w:pPr>
      <w:bookmarkStart w:id="3" w:name="O_419773"/>
      <w:bookmarkEnd w:id="3"/>
      <w:r w:rsidRPr="00037CB9">
        <w:t>Application of the Unit</w:t>
      </w:r>
    </w:p>
    <w:tbl>
      <w:tblPr>
        <w:tblW w:w="0" w:type="auto"/>
        <w:tblLayout w:type="fixed"/>
        <w:tblCellMar>
          <w:left w:w="62" w:type="dxa"/>
          <w:right w:w="62" w:type="dxa"/>
        </w:tblCellMar>
        <w:tblLook w:val="0000"/>
      </w:tblPr>
      <w:tblGrid>
        <w:gridCol w:w="2672"/>
        <w:gridCol w:w="5699"/>
      </w:tblGrid>
      <w:tr w:rsidTr="000C7D4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2)</w:t>
            </w:r>
          </w:p>
        </w:tc>
      </w:tr>
      <w:tr w:rsidTr="000C7D4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 xml:space="preserve">This unit is intended for competency development entry-level employment based programs incorporated in approved contracts of training or approved </w:t>
            </w:r>
            <w:r w:rsidRPr="00037CB9">
              <w:t>training programs. It may also used to augment formally acquired competencies.</w:t>
            </w:r>
          </w:p>
          <w:p w:rsidR="00000000" w:rsidRPr="00037CB9" w:rsidP="00037CB9">
            <w:pPr>
              <w:pStyle w:val="BodyText"/>
            </w:pPr>
            <w:r w:rsidRPr="00037CB9">
              <w:t>This unit is intended for competency development entry-level employment based programs incorporated in approved contracts of training or approved training programs. It is intend</w:t>
            </w:r>
            <w:r w:rsidRPr="00037CB9">
              <w:t>ed to apply to any formal recognition for this standard at the aligned AQF 3 level or higher.</w:t>
            </w:r>
          </w:p>
        </w:tc>
      </w:tr>
    </w:tbl>
    <w:p w:rsidR="00000000" w:rsidRPr="00037CB9" w:rsidP="00037CB9">
      <w:pPr>
        <w:pStyle w:val="BodyText"/>
      </w:pPr>
    </w:p>
    <w:p w:rsidR="00000000" w:rsidRPr="00037CB9" w:rsidP="00037CB9">
      <w:pPr>
        <w:pStyle w:val="AllowPageBreak"/>
      </w:pPr>
    </w:p>
    <w:p w:rsidR="00000000" w:rsidRPr="00037CB9" w:rsidP="00037CB9">
      <w:pPr>
        <w:pStyle w:val="Heading1"/>
      </w:pPr>
      <w:bookmarkStart w:id="4" w:name="O_419780"/>
      <w:bookmarkEnd w:id="4"/>
      <w:r w:rsidRPr="00037CB9">
        <w:t>Licensing/Regulatory Information</w:t>
      </w:r>
    </w:p>
    <w:tbl>
      <w:tblPr>
        <w:tblW w:w="0" w:type="auto"/>
        <w:tblLayout w:type="fixed"/>
        <w:tblCellMar>
          <w:left w:w="62" w:type="dxa"/>
          <w:right w:w="62" w:type="dxa"/>
        </w:tblCellMar>
        <w:tblLook w:val="0000"/>
      </w:tblPr>
      <w:tblGrid>
        <w:gridCol w:w="2700"/>
        <w:gridCol w:w="5760"/>
      </w:tblGrid>
      <w:tr w:rsidTr="000C7D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 xml:space="preserve">3) </w:t>
            </w:r>
          </w:p>
        </w:tc>
      </w:tr>
      <w:tr w:rsidTr="000C7D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The skills and knowledge described in this unit do not require a license to practice</w:t>
            </w:r>
            <w:r w:rsidRPr="00037CB9">
              <w:t xml:space="preserve"> in the workplace provided equipment is not connected to installation wiring at </w:t>
            </w:r>
            <w:r w:rsidRPr="00037CB9">
              <w:t xml:space="preserve">voltage above 50 V a.c. or 120 V d.c. However other conditions may apply in some States/Territories subject to regulations related to electrical work. </w:t>
            </w:r>
          </w:p>
          <w:p w:rsidR="00000000" w:rsidRPr="00037CB9" w:rsidP="00037CB9">
            <w:pPr>
              <w:pStyle w:val="BodyText"/>
            </w:pPr>
            <w:r w:rsidRPr="00037CB9">
              <w:t>Practice in the workplac</w:t>
            </w:r>
            <w:r w:rsidRPr="00037CB9">
              <w:t>e and during training is also subject to regulations directly related to occupational health and safety and where applicable contracts of training such as apprenticeships.</w:t>
            </w:r>
          </w:p>
          <w:p w:rsidR="00000000" w:rsidRPr="00037CB9" w:rsidP="00037CB9">
            <w:pPr>
              <w:pStyle w:val="BodyText"/>
            </w:pPr>
            <w:r w:rsidRPr="00037CB9">
              <w:t>Note:</w:t>
            </w:r>
          </w:p>
          <w:p w:rsidR="00000000" w:rsidRPr="00037CB9" w:rsidP="00037CB9">
            <w:pPr>
              <w:pStyle w:val="BodyText"/>
            </w:pPr>
            <w:r w:rsidRPr="00037CB9">
              <w:t>1. Compliance with permits may be required in various jurisdictions and typica</w:t>
            </w:r>
            <w:r w:rsidRPr="00037CB9">
              <w:t>lly relates to the operation of plant, machinery and equipment such as elevating work platforms, powder operated fixing tools, power operated tools, vehicles, road signage and traffic control, lifting equipment and the like. Permits may also be required fo</w:t>
            </w:r>
            <w:r w:rsidRPr="00037CB9">
              <w:t>r some work environments such as confined spaces, working aloft, near live electrical apparatus and site rehabilitation.</w:t>
            </w:r>
          </w:p>
          <w:p w:rsidR="00000000" w:rsidRPr="00037CB9" w:rsidP="00037CB9">
            <w:pPr>
              <w:pStyle w:val="BodyText"/>
            </w:pPr>
            <w:r w:rsidRPr="00037CB9">
              <w:t>2. Compliance may be required in various jurisdictions relating to currency in First Aid, confined space, lifting and risk safety measures.</w:t>
            </w:r>
          </w:p>
        </w:tc>
      </w:tr>
    </w:tbl>
    <w:p w:rsidR="00000000" w:rsidRPr="00037CB9" w:rsidP="00037CB9">
      <w:pPr>
        <w:pStyle w:val="BodyText"/>
      </w:pPr>
    </w:p>
    <w:p w:rsidR="00000000" w:rsidRPr="00037CB9" w:rsidP="00037CB9">
      <w:pPr>
        <w:pStyle w:val="AllowPageBreak"/>
      </w:pPr>
    </w:p>
    <w:p w:rsidR="00000000" w:rsidRPr="00037CB9" w:rsidP="00037CB9">
      <w:pPr>
        <w:pStyle w:val="Heading1"/>
      </w:pPr>
      <w:bookmarkStart w:id="5" w:name="O_419781"/>
      <w:bookmarkEnd w:id="5"/>
      <w:r w:rsidRPr="00037CB9">
        <w:t>Pre-Requisites</w:t>
      </w:r>
    </w:p>
    <w:tbl>
      <w:tblPr>
        <w:tblW w:w="0" w:type="auto"/>
        <w:tblLayout w:type="fixed"/>
        <w:tblCellMar>
          <w:left w:w="62" w:type="dxa"/>
          <w:right w:w="62" w:type="dxa"/>
        </w:tblCellMar>
        <w:tblLook w:val="0000"/>
      </w:tblPr>
      <w:tblGrid>
        <w:gridCol w:w="2700"/>
        <w:gridCol w:w="5760"/>
      </w:tblGrid>
      <w:tr w:rsidTr="000C7D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 xml:space="preserve">4) </w:t>
            </w:r>
          </w:p>
        </w:tc>
      </w:tr>
      <w:tr w:rsidTr="000C7D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4.1)</w:t>
            </w:r>
          </w:p>
        </w:tc>
      </w:tr>
      <w:tr w:rsidTr="000C7D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There are no prerequisite competenci</w:t>
            </w:r>
            <w:r w:rsidRPr="00037CB9">
              <w:t>es for this unit.</w:t>
            </w:r>
          </w:p>
        </w:tc>
      </w:tr>
    </w:tbl>
    <w:p w:rsidR="00000000" w:rsidRPr="00037CB9" w:rsidP="00037CB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C7D4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 xml:space="preserve">4.2) </w:t>
            </w:r>
          </w:p>
        </w:tc>
      </w:tr>
      <w:tr w:rsidTr="000C7D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 xml:space="preserve">Participants are best equipped to achieve competency in this unit if they have reading, writing and numeracy skills indicated by the following </w:t>
            </w:r>
            <w:r w:rsidRPr="00037CB9">
              <w:t>scales. Description of each scale is given in Volume 2, Part 3 ‘Literacy and Numeracy’</w:t>
            </w:r>
          </w:p>
        </w:tc>
      </w:tr>
      <w:tr w:rsidTr="000C7D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Reading</w:t>
            </w:r>
          </w:p>
        </w:tc>
        <w:tc>
          <w:tcPr>
            <w:tcW w:w="81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5</w:t>
            </w:r>
          </w:p>
        </w:tc>
        <w:tc>
          <w:tcPr>
            <w:tcW w:w="99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Writing</w:t>
            </w: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5</w:t>
            </w:r>
          </w:p>
        </w:tc>
        <w:tc>
          <w:tcPr>
            <w:tcW w:w="12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Numeracy</w:t>
            </w:r>
          </w:p>
        </w:tc>
        <w:tc>
          <w:tcPr>
            <w:tcW w:w="72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5</w:t>
            </w:r>
          </w:p>
        </w:tc>
      </w:tr>
    </w:tbl>
    <w:p w:rsidR="00000000" w:rsidRPr="00037CB9" w:rsidP="00037CB9">
      <w:pPr>
        <w:pStyle w:val="BodyText"/>
      </w:pPr>
    </w:p>
    <w:p w:rsidR="00000000" w:rsidRPr="00037CB9" w:rsidP="00037CB9">
      <w:pPr>
        <w:pStyle w:val="AllowPageBreak"/>
      </w:pPr>
    </w:p>
    <w:p w:rsidR="00000000" w:rsidRPr="00037CB9" w:rsidP="00037CB9">
      <w:pPr>
        <w:pStyle w:val="Heading1"/>
      </w:pPr>
      <w:bookmarkStart w:id="6" w:name="O_419777"/>
      <w:bookmarkEnd w:id="6"/>
      <w:r w:rsidRPr="00037CB9">
        <w:t>Employability Skills Information</w:t>
      </w:r>
    </w:p>
    <w:tbl>
      <w:tblPr>
        <w:tblW w:w="0" w:type="auto"/>
        <w:tblLayout w:type="fixed"/>
        <w:tblCellMar>
          <w:left w:w="62" w:type="dxa"/>
          <w:right w:w="62" w:type="dxa"/>
        </w:tblCellMar>
        <w:tblLook w:val="0000"/>
      </w:tblPr>
      <w:tblGrid>
        <w:gridCol w:w="2700"/>
        <w:gridCol w:w="5760"/>
      </w:tblGrid>
      <w:tr w:rsidTr="000C7D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 xml:space="preserve">5) </w:t>
            </w:r>
          </w:p>
        </w:tc>
      </w:tr>
      <w:tr w:rsidTr="000C7D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This unit contains Employability Skills</w:t>
            </w:r>
          </w:p>
          <w:p w:rsidR="00000000" w:rsidRPr="00037CB9" w:rsidP="00037CB9">
            <w:pPr>
              <w:pStyle w:val="BodyText"/>
            </w:pPr>
            <w:r w:rsidRPr="00037CB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37CB9">
              <w:t>requirements.</w:t>
            </w:r>
          </w:p>
        </w:tc>
      </w:tr>
    </w:tbl>
    <w:p w:rsidR="00000000" w:rsidRPr="00037CB9" w:rsidP="00037CB9">
      <w:pPr>
        <w:pStyle w:val="BodyText"/>
      </w:pPr>
    </w:p>
    <w:p w:rsidR="00000000" w:rsidRPr="00037CB9" w:rsidP="00037CB9">
      <w:pPr>
        <w:pStyle w:val="AllowPageBreak"/>
      </w:pPr>
    </w:p>
    <w:p w:rsidR="00000000" w:rsidRPr="00037CB9" w:rsidP="00037CB9">
      <w:pPr>
        <w:pStyle w:val="Heading1"/>
      </w:pPr>
      <w:bookmarkStart w:id="7" w:name="O_419776"/>
      <w:bookmarkEnd w:id="7"/>
      <w:r w:rsidRPr="00037CB9">
        <w:t>Elements and Performance Criteria Pre-Content</w:t>
      </w:r>
    </w:p>
    <w:tbl>
      <w:tblPr>
        <w:tblW w:w="0" w:type="auto"/>
        <w:tblLayout w:type="fixed"/>
        <w:tblCellMar>
          <w:left w:w="62" w:type="dxa"/>
          <w:right w:w="62" w:type="dxa"/>
        </w:tblCellMar>
        <w:tblLook w:val="0000"/>
      </w:tblPr>
      <w:tblGrid>
        <w:gridCol w:w="2700"/>
        <w:gridCol w:w="5760"/>
      </w:tblGrid>
      <w:tr w:rsidTr="000C7D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6)</w:t>
            </w:r>
            <w:r w:rsidRPr="00037CB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Performance Criteria describe the required performance needed to demonstrate achievement of the element</w:t>
            </w:r>
            <w:r w:rsidRPr="00037CB9">
              <w:t>. Assessment of performance is to be consistent with the Evidence Guide.</w:t>
            </w:r>
          </w:p>
        </w:tc>
      </w:tr>
    </w:tbl>
    <w:p w:rsidR="00000000" w:rsidRPr="00037CB9" w:rsidP="00037CB9">
      <w:pPr>
        <w:pStyle w:val="BodyText"/>
      </w:pPr>
    </w:p>
    <w:p w:rsidR="00000000" w:rsidRPr="00037CB9" w:rsidP="00037CB9">
      <w:pPr>
        <w:pStyle w:val="AllowPageBreak"/>
      </w:pPr>
    </w:p>
    <w:p w:rsidR="00000000" w:rsidRPr="00037CB9" w:rsidP="00037CB9">
      <w:pPr>
        <w:pStyle w:val="Heading1"/>
      </w:pPr>
      <w:bookmarkStart w:id="8" w:name="O_419775"/>
      <w:bookmarkEnd w:id="8"/>
      <w:r w:rsidRPr="00037CB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C7D4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PERFORMANCE CRITERIA</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1</w:t>
            </w:r>
          </w:p>
        </w:tc>
        <w:tc>
          <w:tcPr>
            <w:tcW w:w="2296"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Prepare to work on microcontroller hardware</w:t>
            </w: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1.1</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OHS procedures for a given work area are obtained and understood.</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1.2</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OHS risk control work preparation measures and procedures are followed.</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1.3</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The nature of microcontroller hardware problems is obtained from documentation or from work supervisor to establish the scope of work to be undertaken.</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1.4</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Advice is sought from the work supervisor to ensure the work is co-ordinated effectively with oth</w:t>
            </w:r>
            <w:r w:rsidRPr="00037CB9">
              <w:t>ers.</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1.5</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Sources of materials that may be required for the work are established in accordance with established procedures.</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1.6</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Tools, equipment and testing devices needed to carry out the work are obtained and checked for correct operation and safety</w:t>
            </w:r>
            <w:r w:rsidRPr="00037CB9">
              <w:t>.</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2</w:t>
            </w:r>
          </w:p>
        </w:tc>
        <w:tc>
          <w:tcPr>
            <w:tcW w:w="2296"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Solve microcontroller hardware and firmware problems</w:t>
            </w: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2.1</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OHS risk control work measures and procedures are followed.</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2.2</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The need to test or measure live is determined in strict accordance with OHS requirements and when necessary conducted within established safety procedures.</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2.3</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Circuits are checked as being isolated where necessary in strict accordance OHS requirements</w:t>
            </w:r>
            <w:r w:rsidRPr="00037CB9">
              <w:t xml:space="preserve"> and procedures.</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2.4</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Established methods are used to solve problems from measured and calculated values as they apply to microcontroller hardware.</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2.5</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Unexpected situations are dealt with safely and with the approval of an authorised person.</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2.6</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Problems are solved without unnecessary damage to apparatus, circuits, the surrounding environment or services and using sustainable energy practices.</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3</w:t>
            </w:r>
          </w:p>
        </w:tc>
        <w:tc>
          <w:tcPr>
            <w:tcW w:w="2296"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3.1</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OHS work completion risk control measures an</w:t>
            </w:r>
            <w:r w:rsidRPr="00037CB9">
              <w:t>d procedures are followed.</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3.2</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Work site is cleaned and made safe in accordance with established procedures.</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3.3</w:t>
            </w:r>
          </w:p>
        </w:tc>
        <w:tc>
          <w:tcPr>
            <w:tcW w:w="48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Justification for solutions used to solve circuit problems is documented.</w:t>
            </w:r>
          </w:p>
        </w:tc>
      </w:tr>
      <w:tr w:rsidTr="000C7D4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t>3.4</w:t>
            </w:r>
          </w:p>
        </w:tc>
        <w:tc>
          <w:tcPr>
            <w:tcW w:w="486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Work complet</w:t>
            </w:r>
            <w:r w:rsidRPr="00037CB9">
              <w:t>ion is documented and an appropriate person or persons notified in accordance with established procedures.</w:t>
            </w:r>
          </w:p>
        </w:tc>
      </w:tr>
    </w:tbl>
    <w:p w:rsidR="00000000" w:rsidRPr="00037CB9" w:rsidP="00037CB9">
      <w:pPr>
        <w:pStyle w:val="BodyText"/>
      </w:pPr>
    </w:p>
    <w:p w:rsidR="00000000" w:rsidRPr="00037CB9" w:rsidP="00037CB9">
      <w:pPr>
        <w:pStyle w:val="AllowPageBreak"/>
      </w:pPr>
    </w:p>
    <w:p w:rsidR="00000000" w:rsidRPr="00037CB9" w:rsidP="00037CB9">
      <w:pPr>
        <w:pStyle w:val="Heading1"/>
      </w:pPr>
      <w:bookmarkStart w:id="9" w:name="O_419783"/>
      <w:bookmarkEnd w:id="9"/>
      <w:r w:rsidRPr="00037CB9">
        <w:t>Required Skills and Knowledge</w:t>
      </w:r>
    </w:p>
    <w:tbl>
      <w:tblPr>
        <w:tblW w:w="0" w:type="auto"/>
        <w:tblLayout w:type="fixed"/>
        <w:tblCellMar>
          <w:left w:w="62" w:type="dxa"/>
          <w:right w:w="62" w:type="dxa"/>
        </w:tblCellMar>
        <w:tblLook w:val="0000"/>
      </w:tblPr>
      <w:tblGrid>
        <w:gridCol w:w="8460"/>
      </w:tblGrid>
      <w:tr w:rsidTr="000C7D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REQUIRED SKILLS AND KNOWLEDGE</w:t>
            </w:r>
          </w:p>
        </w:tc>
      </w:tr>
      <w:tr w:rsidTr="000C7D4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8)</w:t>
            </w:r>
            <w:r w:rsidRPr="00037CB9">
              <w:t xml:space="preserve">  Evidence shall show that knowledge has been acquired of safe work</w:t>
            </w:r>
            <w:r w:rsidRPr="00037CB9">
              <w:t>ing practices and fault finding microcontroller based hardware.</w:t>
            </w:r>
          </w:p>
          <w:p w:rsidR="00000000" w:rsidRPr="00037CB9" w:rsidP="00037CB9">
            <w:pPr>
              <w:pStyle w:val="BodyText"/>
            </w:pPr>
            <w:r w:rsidRPr="00037CB9">
              <w:t>All knowledge and skills detailed in this unit should be contextualised to current industry practices and technologies.</w:t>
            </w:r>
          </w:p>
          <w:p w:rsidR="00000000" w:rsidRPr="00037CB9" w:rsidP="00037CB9">
            <w:pPr>
              <w:pStyle w:val="BodyText"/>
            </w:pPr>
            <w:r w:rsidRPr="00037CB9">
              <w:rPr>
                <w:rStyle w:val="SpecialBold"/>
              </w:rPr>
              <w:t>KS01-EH166A</w:t>
            </w:r>
            <w:r w:rsidRPr="00037CB9">
              <w:rPr>
                <w:rStyle w:val="SpecialBold"/>
              </w:rPr>
              <w:tab/>
              <w:t xml:space="preserve">              Microcontroller based system troubleshooting</w:t>
            </w:r>
          </w:p>
          <w:p w:rsidR="00000000" w:rsidRPr="00037CB9" w:rsidP="00037CB9">
            <w:pPr>
              <w:pStyle w:val="BodyText"/>
            </w:pPr>
            <w:r w:rsidRPr="00037CB9">
              <w:t>E</w:t>
            </w:r>
            <w:r w:rsidRPr="00037CB9">
              <w:t>vidence shall show an understanding of microcontroller-based systems troubleshooting, applying safe working practices and relevant Standards, Codes and Regulations to an extent indicated by the following aspects:</w:t>
            </w:r>
          </w:p>
          <w:p w:rsidR="00000000" w:rsidRPr="00037CB9" w:rsidP="00037CB9">
            <w:pPr>
              <w:pStyle w:val="BodyText"/>
            </w:pPr>
            <w:r w:rsidRPr="00037CB9">
              <w:t>T1. Microcontroller systems overview</w:t>
            </w:r>
          </w:p>
          <w:p w:rsidR="00000000" w:rsidRPr="00037CB9" w:rsidP="00037CB9">
            <w:pPr>
              <w:pStyle w:val="ListBullet"/>
            </w:pPr>
            <w:r w:rsidRPr="00037CB9">
              <w:t>Digit</w:t>
            </w:r>
            <w:r w:rsidRPr="00037CB9">
              <w:t>al Systems Concepts Associated with Microcontroller based systems.</w:t>
            </w:r>
          </w:p>
          <w:p w:rsidR="00000000" w:rsidRPr="00037CB9" w:rsidP="00037CB9">
            <w:pPr>
              <w:pStyle w:val="ListBullet"/>
            </w:pPr>
            <w:r w:rsidRPr="00037CB9">
              <w:t xml:space="preserve">Microcontroller architecture </w:t>
            </w:r>
          </w:p>
          <w:p w:rsidR="00000000" w:rsidRPr="00037CB9" w:rsidP="00037CB9">
            <w:pPr>
              <w:pStyle w:val="ListBullet"/>
            </w:pPr>
            <w:r w:rsidRPr="00037CB9">
              <w:t>Microcontroller System block diagram</w:t>
            </w:r>
          </w:p>
          <w:p w:rsidR="00000000" w:rsidRPr="00037CB9" w:rsidP="00037CB9">
            <w:pPr>
              <w:pStyle w:val="ListBullet"/>
            </w:pPr>
            <w:r w:rsidRPr="00037CB9">
              <w:t>Microcontroller manufacturers</w:t>
            </w:r>
          </w:p>
          <w:p w:rsidR="00000000" w:rsidRPr="00037CB9" w:rsidP="00037CB9">
            <w:pPr>
              <w:pStyle w:val="BodyText"/>
            </w:pPr>
            <w:r w:rsidRPr="00037CB9">
              <w:t>T2. Program storage types</w:t>
            </w:r>
          </w:p>
          <w:p w:rsidR="00000000" w:rsidRPr="00037CB9" w:rsidP="00037CB9">
            <w:pPr>
              <w:pStyle w:val="ListBullet"/>
            </w:pPr>
            <w:r w:rsidRPr="00037CB9">
              <w:t>Software</w:t>
            </w:r>
          </w:p>
          <w:p w:rsidR="00000000" w:rsidRPr="00037CB9" w:rsidP="00037CB9">
            <w:pPr>
              <w:pStyle w:val="ListBullet"/>
            </w:pPr>
            <w:r w:rsidRPr="00037CB9">
              <w:t>Memory Terminology Hardware</w:t>
            </w:r>
          </w:p>
          <w:p w:rsidR="00000000" w:rsidRPr="00037CB9" w:rsidP="00037CB9">
            <w:pPr>
              <w:pStyle w:val="ListBullet"/>
            </w:pPr>
            <w:r w:rsidRPr="00037CB9">
              <w:t>Secondary Memory and Useage</w:t>
            </w:r>
          </w:p>
          <w:p w:rsidR="00000000" w:rsidRPr="00037CB9" w:rsidP="00037CB9">
            <w:pPr>
              <w:pStyle w:val="BodyText"/>
            </w:pPr>
            <w:r w:rsidRPr="00037CB9">
              <w:t>T3. Data storage types</w:t>
            </w:r>
          </w:p>
          <w:p w:rsidR="00000000" w:rsidRPr="00037CB9" w:rsidP="00037CB9">
            <w:pPr>
              <w:pStyle w:val="ListBullet"/>
            </w:pPr>
            <w:r w:rsidRPr="00037CB9">
              <w:t>ROM</w:t>
            </w:r>
          </w:p>
          <w:p w:rsidR="00000000" w:rsidRPr="00037CB9" w:rsidP="00037CB9">
            <w:pPr>
              <w:pStyle w:val="ListBullet"/>
            </w:pPr>
            <w:r w:rsidRPr="00037CB9">
              <w:t>RAM</w:t>
            </w:r>
          </w:p>
          <w:p w:rsidR="00000000" w:rsidRPr="00037CB9" w:rsidP="00037CB9">
            <w:pPr>
              <w:pStyle w:val="ListBullet"/>
            </w:pPr>
            <w:r w:rsidRPr="00037CB9">
              <w:t>FLASH</w:t>
            </w:r>
          </w:p>
          <w:p w:rsidR="00000000" w:rsidRPr="00037CB9" w:rsidP="00037CB9">
            <w:pPr>
              <w:pStyle w:val="ListBullet"/>
            </w:pPr>
            <w:r w:rsidRPr="00037CB9">
              <w:t>EEPROM</w:t>
            </w:r>
          </w:p>
          <w:p w:rsidR="00000000" w:rsidRPr="00037CB9" w:rsidP="00037CB9">
            <w:pPr>
              <w:pStyle w:val="BodyText"/>
            </w:pPr>
            <w:r w:rsidRPr="00037CB9">
              <w:t>T4. I/O Ports: analogue/ digital</w:t>
            </w:r>
          </w:p>
          <w:p w:rsidR="00000000" w:rsidRPr="00037CB9" w:rsidP="00037CB9">
            <w:pPr>
              <w:pStyle w:val="ListBullet"/>
            </w:pPr>
            <w:r w:rsidRPr="00037CB9">
              <w:t>Ports</w:t>
            </w:r>
          </w:p>
          <w:p w:rsidR="00000000" w:rsidRPr="00037CB9" w:rsidP="00037CB9">
            <w:pPr>
              <w:pStyle w:val="ListBullet"/>
            </w:pPr>
            <w:r w:rsidRPr="00037CB9">
              <w:t>Interfacing with I/O devices (e.g. switches, LEDs, DC motors, LDRs, etc)</w:t>
            </w:r>
          </w:p>
          <w:p w:rsidR="00000000" w:rsidRPr="00037CB9" w:rsidP="00037CB9">
            <w:pPr>
              <w:pStyle w:val="BodyText"/>
            </w:pPr>
            <w:r w:rsidRPr="00037CB9">
              <w:t>T5. Integrated Peripherals: timers, interrupts etc</w:t>
            </w:r>
          </w:p>
          <w:p w:rsidR="00000000" w:rsidRPr="00037CB9" w:rsidP="00037CB9">
            <w:pPr>
              <w:pStyle w:val="ListBullet"/>
            </w:pPr>
            <w:r w:rsidRPr="00037CB9">
              <w:t>Introduction to timers/counters</w:t>
            </w:r>
          </w:p>
          <w:p w:rsidR="00000000" w:rsidRPr="00037CB9" w:rsidP="00037CB9">
            <w:pPr>
              <w:pStyle w:val="ListBullet"/>
            </w:pPr>
            <w:r w:rsidRPr="00037CB9">
              <w:t>Introduction t</w:t>
            </w:r>
            <w:r w:rsidRPr="00037CB9">
              <w:t>o interrupts</w:t>
            </w:r>
          </w:p>
          <w:p w:rsidR="00000000" w:rsidRPr="00037CB9" w:rsidP="00037CB9">
            <w:pPr>
              <w:pStyle w:val="BodyText"/>
            </w:pPr>
            <w:r w:rsidRPr="00037CB9">
              <w:t>T6. Control circuitry: system clock, reset etc</w:t>
            </w:r>
          </w:p>
          <w:p w:rsidR="00000000" w:rsidRPr="00037CB9" w:rsidP="00037CB9">
            <w:pPr>
              <w:pStyle w:val="ListBullet"/>
            </w:pPr>
            <w:r w:rsidRPr="00037CB9">
              <w:t>System clock circuitry</w:t>
            </w:r>
          </w:p>
          <w:p w:rsidR="00000000" w:rsidRPr="00037CB9" w:rsidP="00037CB9">
            <w:pPr>
              <w:pStyle w:val="ListBullet"/>
            </w:pPr>
            <w:r w:rsidRPr="00037CB9">
              <w:t>Reset circuit</w:t>
            </w:r>
          </w:p>
          <w:p w:rsidR="00000000" w:rsidRPr="00037CB9" w:rsidP="00037CB9">
            <w:pPr>
              <w:pStyle w:val="ListBullet"/>
            </w:pPr>
            <w:r w:rsidRPr="00037CB9">
              <w:t>Communication circuitry (e.g. serial port, etc)</w:t>
            </w:r>
          </w:p>
          <w:p w:rsidR="00000000" w:rsidRPr="00037CB9" w:rsidP="00037CB9">
            <w:pPr>
              <w:pStyle w:val="BodyText"/>
            </w:pPr>
            <w:r w:rsidRPr="00037CB9">
              <w:t>T7. Writing, testing and debugging code (eg. Micro controller instruction set)</w:t>
            </w:r>
          </w:p>
          <w:p w:rsidR="00000000" w:rsidRPr="00037CB9" w:rsidP="00037CB9">
            <w:pPr>
              <w:pStyle w:val="ListBullet"/>
            </w:pPr>
            <w:r w:rsidRPr="00037CB9">
              <w:t>Addressing modes</w:t>
            </w:r>
          </w:p>
          <w:p w:rsidR="00000000" w:rsidRPr="00037CB9" w:rsidP="00037CB9">
            <w:pPr>
              <w:pStyle w:val="ListBullet"/>
            </w:pPr>
            <w:r w:rsidRPr="00037CB9">
              <w:t>Using an industry standard programming environment to develop code</w:t>
            </w:r>
          </w:p>
          <w:p w:rsidR="00000000" w:rsidRPr="00037CB9" w:rsidP="00037CB9">
            <w:pPr>
              <w:pStyle w:val="BodyText"/>
            </w:pPr>
            <w:r w:rsidRPr="00037CB9">
              <w:t>T8. Electronic fault finding techniques</w:t>
            </w:r>
          </w:p>
          <w:p w:rsidR="00000000" w:rsidRPr="00037CB9" w:rsidP="00037CB9">
            <w:pPr>
              <w:pStyle w:val="ListBullet"/>
            </w:pPr>
            <w:r w:rsidRPr="00037CB9">
              <w:t>Fault identification techniques</w:t>
            </w:r>
          </w:p>
          <w:p w:rsidR="00000000" w:rsidRPr="00037CB9" w:rsidP="00037CB9">
            <w:pPr>
              <w:pStyle w:val="ListBullet"/>
            </w:pPr>
            <w:r w:rsidRPr="00037CB9">
              <w:t>Test equipment, safe operating procedure, application and in circuit connection.</w:t>
            </w:r>
          </w:p>
          <w:p w:rsidR="00000000" w:rsidRPr="00037CB9" w:rsidP="00037CB9">
            <w:pPr>
              <w:pStyle w:val="BodyText"/>
            </w:pPr>
            <w:r w:rsidRPr="00037CB9">
              <w:t>T9. Methods:</w:t>
            </w:r>
          </w:p>
          <w:p w:rsidR="00000000" w:rsidRPr="00037CB9" w:rsidP="00037CB9">
            <w:pPr>
              <w:pStyle w:val="ListBullet"/>
            </w:pPr>
            <w:r w:rsidRPr="00037CB9">
              <w:t>Visual inspection</w:t>
            </w:r>
          </w:p>
          <w:p w:rsidR="00000000" w:rsidRPr="00037CB9" w:rsidP="00037CB9">
            <w:pPr>
              <w:pStyle w:val="ListBullet"/>
            </w:pPr>
            <w:r w:rsidRPr="00037CB9">
              <w:t>Sec</w:t>
            </w:r>
            <w:r w:rsidRPr="00037CB9">
              <w:t>tional testing</w:t>
            </w:r>
          </w:p>
          <w:p w:rsidR="00000000" w:rsidRPr="00037CB9" w:rsidP="00037CB9">
            <w:pPr>
              <w:pStyle w:val="ListBullet"/>
            </w:pPr>
            <w:r w:rsidRPr="00037CB9">
              <w:t>Split-half tests</w:t>
            </w:r>
          </w:p>
          <w:p w:rsidR="00000000" w:rsidRPr="00037CB9" w:rsidP="00037CB9">
            <w:pPr>
              <w:pStyle w:val="ListBullet"/>
            </w:pPr>
            <w:r w:rsidRPr="00037CB9">
              <w:t>Component isolation</w:t>
            </w:r>
          </w:p>
          <w:p w:rsidR="00000000" w:rsidRPr="00037CB9" w:rsidP="00037CB9">
            <w:pPr>
              <w:pStyle w:val="ListBullet"/>
            </w:pPr>
            <w:r w:rsidRPr="00037CB9">
              <w:t>Dealing with intermittent faults</w:t>
            </w:r>
          </w:p>
        </w:tc>
      </w:tr>
    </w:tbl>
    <w:p w:rsidR="00000000" w:rsidRPr="00037CB9" w:rsidP="00037CB9">
      <w:pPr>
        <w:pStyle w:val="BodyText"/>
      </w:pPr>
    </w:p>
    <w:p w:rsidR="00000000" w:rsidRPr="00037CB9" w:rsidP="00037CB9">
      <w:pPr>
        <w:pStyle w:val="AllowPageBreak"/>
      </w:pPr>
    </w:p>
    <w:p w:rsidR="00000000" w:rsidRPr="00037CB9" w:rsidP="00037CB9">
      <w:pPr>
        <w:pStyle w:val="Heading1"/>
      </w:pPr>
      <w:bookmarkStart w:id="10" w:name="O_419778"/>
      <w:bookmarkEnd w:id="10"/>
      <w:r w:rsidRPr="00037CB9">
        <w:t>Evidence Guide</w:t>
      </w:r>
    </w:p>
    <w:tbl>
      <w:tblPr>
        <w:tblW w:w="0" w:type="auto"/>
        <w:tblLayout w:type="fixed"/>
        <w:tblCellMar>
          <w:left w:w="62" w:type="dxa"/>
          <w:right w:w="62" w:type="dxa"/>
        </w:tblCellMar>
        <w:tblLook w:val="0000"/>
      </w:tblPr>
      <w:tblGrid>
        <w:gridCol w:w="8460"/>
      </w:tblGrid>
      <w:tr w:rsidTr="000C7D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EVIDENCE GUIDE</w:t>
            </w:r>
          </w:p>
        </w:tc>
      </w:tr>
      <w:tr w:rsidTr="000C7D4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9)</w:t>
            </w:r>
            <w:r w:rsidRPr="00037CB9">
              <w:t xml:space="preserve">  The evidence guide provides advice on assessment and must be read in conjunction with the Performance </w:t>
            </w:r>
            <w:r w:rsidRPr="00037CB9">
              <w:t>Criteria, Required Skills and Knowledge, the Range Statement and the Assessment Guidelines for this Training Package. .</w:t>
            </w:r>
          </w:p>
          <w:p w:rsidR="00000000" w:rsidRPr="00037CB9" w:rsidP="00037CB9">
            <w:pPr>
              <w:pStyle w:val="BodyText"/>
            </w:pPr>
            <w:r w:rsidRPr="00037CB9">
              <w:t>The Evidence Guide forms an integral part of this unit. It must be used in conjunction with all parts of the unit and performed in accor</w:t>
            </w:r>
            <w:r w:rsidRPr="00037CB9">
              <w:t>dance with the Assessment Guidelines of this Training Package.</w:t>
            </w:r>
          </w:p>
        </w:tc>
      </w:tr>
    </w:tbl>
    <w:p w:rsidR="00000000" w:rsidRPr="00037CB9" w:rsidP="00037CB9">
      <w:pPr>
        <w:pStyle w:val="BodyText"/>
      </w:pPr>
    </w:p>
    <w:tbl>
      <w:tblPr>
        <w:tblW w:w="0" w:type="auto"/>
        <w:tblLayout w:type="fixed"/>
        <w:tblCellMar>
          <w:left w:w="62" w:type="dxa"/>
          <w:right w:w="62" w:type="dxa"/>
        </w:tblCellMar>
        <w:tblLook w:val="0000"/>
      </w:tblPr>
      <w:tblGrid>
        <w:gridCol w:w="1890"/>
        <w:gridCol w:w="6570"/>
      </w:tblGrid>
      <w:tr w:rsidTr="000C7D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9.1)</w:t>
            </w:r>
          </w:p>
        </w:tc>
      </w:tr>
      <w:tr w:rsidTr="000C7D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 xml:space="preserve">Longitudinal competency development approaches to assessment, such as Profiling, require data to be reliably gathered in a form that can be </w:t>
            </w:r>
            <w:r w:rsidRPr="00037CB9">
              <w:t>consistently interpreted over time. This approach is best utilised in Apprenticeship programs and reduces assessment intervention. It is the Industry-preferred model for apprenticeships. However, where summative (or final) assessment is used it must includ</w:t>
            </w:r>
            <w:r w:rsidRPr="00037CB9">
              <w:t>e the application of the competency in the normal work environment or, at a minimum, the application of the competency in a realistically simulated work environment. It is recognised that, in some circumstances, assessment in part or full can occur outside</w:t>
            </w:r>
            <w:r w:rsidRPr="00037CB9">
              <w:t xml:space="preserve"> the workplace. However, it must be in accord with industry and regulatory policy.</w:t>
            </w:r>
          </w:p>
          <w:p w:rsidR="00000000" w:rsidRPr="00037CB9" w:rsidP="00037CB9">
            <w:pPr>
              <w:pStyle w:val="BodyText"/>
            </w:pPr>
            <w:r w:rsidRPr="00037CB9">
              <w:t>Methods chosen for a particular assessment will be influenced by various factors. These include the extent of the assessment, the most effective locations for the assessment</w:t>
            </w:r>
            <w:r w:rsidRPr="00037CB9">
              <w:t xml:space="preserve"> activities to take place, access to physical resources, additional safety measures that may be required and the critical nature of the competencies being assessed.</w:t>
            </w:r>
          </w:p>
          <w:p w:rsidR="00000000" w:rsidRPr="00037CB9" w:rsidP="00037CB9">
            <w:pPr>
              <w:pStyle w:val="BodyText"/>
            </w:pPr>
            <w:r w:rsidRPr="00037CB9">
              <w:t>The critical safety nature of working with electricity, electrical equipment, gas or any ot</w:t>
            </w:r>
            <w:r w:rsidRPr="00037CB9">
              <w:t>her hazardous substance/material rries risk in deeming a person competent. Sources of evidence need to be ‘rich’ in nature to minimise error in judgment.</w:t>
            </w:r>
          </w:p>
          <w:p w:rsidR="00000000" w:rsidRPr="00037CB9" w:rsidP="00037CB9">
            <w:pPr>
              <w:pStyle w:val="BodyText"/>
            </w:pPr>
            <w:r w:rsidRPr="00037CB9">
              <w:t>Activities associated with normal everyday work influence decisions about how/how much the data gather</w:t>
            </w:r>
            <w:r w:rsidRPr="00037CB9">
              <w:t>ed will contribute to its ‘richness’. Some skills are more critical to safety and operational requirements while the same skills may be more or less frequently practised. These points are raised for the assessors to consider when choosing an assessment met</w:t>
            </w:r>
            <w:r w:rsidRPr="00037CB9">
              <w:t>hod and developing assessment instruments. Sample assessment instruments are included for Assessors in the Assessment Guidelines of this Training Package.</w:t>
            </w:r>
          </w:p>
        </w:tc>
      </w:tr>
    </w:tbl>
    <w:p w:rsidR="00000000" w:rsidRPr="00037CB9" w:rsidP="00037CB9">
      <w:pPr>
        <w:pStyle w:val="BodyText"/>
      </w:pPr>
    </w:p>
    <w:tbl>
      <w:tblPr>
        <w:tblW w:w="0" w:type="auto"/>
        <w:tblLayout w:type="fixed"/>
        <w:tblCellMar>
          <w:left w:w="62" w:type="dxa"/>
          <w:right w:w="62" w:type="dxa"/>
        </w:tblCellMar>
        <w:tblLook w:val="0000"/>
      </w:tblPr>
      <w:tblGrid>
        <w:gridCol w:w="1890"/>
        <w:gridCol w:w="6570"/>
      </w:tblGrid>
      <w:tr w:rsidTr="000C7D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9.2)</w:t>
            </w:r>
          </w:p>
        </w:tc>
      </w:tr>
      <w:tr w:rsidTr="000C7D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Before the critical aspects of evidence are considered all prerequisites shall be met.</w:t>
            </w:r>
          </w:p>
          <w:p w:rsidR="00000000" w:rsidRPr="00037CB9" w:rsidP="00037CB9">
            <w:pPr>
              <w:pStyle w:val="BodyText"/>
            </w:pPr>
            <w:r w:rsidRPr="00037CB9">
              <w:t xml:space="preserve">Evidence for competence in this unit shall be considered holistically.  Each Element and associated performance criteria shall be demonstrated on at least two occasions </w:t>
            </w:r>
            <w:r w:rsidRPr="00037CB9">
              <w:t>in accordance with the ‘Assessment Guidelines – UEE11’.  Evidence shall also comprise:</w:t>
            </w:r>
          </w:p>
          <w:p w:rsidR="00000000" w:rsidRPr="00037CB9" w:rsidP="00037CB9">
            <w:pPr>
              <w:pStyle w:val="ListBullet"/>
            </w:pPr>
            <w:r w:rsidRPr="00037CB9">
              <w:t>A representative body of work performance demonstrated within the timeframes typically expected of the discipline, work function and industrial environment. In particul</w:t>
            </w:r>
            <w:r w:rsidRPr="00037CB9">
              <w:t>ar this shall incorporate evidence that shows a candidate is able to:</w:t>
            </w:r>
          </w:p>
          <w:p w:rsidR="00000000" w:rsidRPr="00037CB9" w:rsidP="00037CB9">
            <w:pPr>
              <w:pStyle w:val="ListBullet2"/>
            </w:pPr>
            <w:r w:rsidRPr="00037CB9">
              <w:t>Implement Occupational Health and Safety workplace procedures and practices, including the use of risk control measures as specified in the performance criteria and range statement</w:t>
            </w:r>
          </w:p>
          <w:p w:rsidR="00000000" w:rsidRPr="00037CB9" w:rsidP="00037CB9">
            <w:pPr>
              <w:pStyle w:val="ListBullet2"/>
            </w:pPr>
            <w:r w:rsidRPr="00037CB9">
              <w:t>Apply sustainable energy principles and practices as specified in the performance criteria and range statement</w:t>
            </w:r>
          </w:p>
          <w:p w:rsidR="00000000" w:rsidRPr="00037CB9" w:rsidP="00037CB9">
            <w:pPr>
              <w:pStyle w:val="ListBullet2"/>
            </w:pPr>
            <w:r w:rsidRPr="00037CB9">
              <w:t>Demonstrate an understanding of the essential knowledge and associated skills as described in this unit.  It may be required by some jurisdiction</w:t>
            </w:r>
            <w:r w:rsidRPr="00037CB9">
              <w:t>s that RTOs provide a percentile graded result for the purpose of regulatory or licensing requirements.</w:t>
            </w:r>
          </w:p>
          <w:p w:rsidR="00000000" w:rsidRPr="00037CB9" w:rsidP="00037CB9">
            <w:pPr>
              <w:pStyle w:val="ListBullet2"/>
            </w:pPr>
            <w:r w:rsidRPr="00037CB9">
              <w:t>Demonstrate an appropriate level of skills enabling employment</w:t>
            </w:r>
          </w:p>
          <w:p w:rsidR="00000000" w:rsidRPr="00037CB9" w:rsidP="00037CB9">
            <w:pPr>
              <w:pStyle w:val="ListBullet2"/>
            </w:pPr>
            <w:r w:rsidRPr="00037CB9">
              <w:t>Conduct work observing the relevant Anti Discrimination legislation, regulations, polices</w:t>
            </w:r>
            <w:r w:rsidRPr="00037CB9">
              <w:t xml:space="preserve"> and workplace procedures</w:t>
            </w:r>
          </w:p>
          <w:p w:rsidR="00000000" w:rsidRPr="00037CB9" w:rsidP="00037CB9">
            <w:pPr>
              <w:pStyle w:val="ListBullet"/>
            </w:pPr>
            <w:r w:rsidRPr="00037CB9">
              <w:t>Demonstrated consistent performance across a representative range of contexts from the prescribed items below:</w:t>
            </w:r>
          </w:p>
          <w:p w:rsidR="00000000" w:rsidRPr="00037CB9" w:rsidP="00037CB9">
            <w:pPr>
              <w:pStyle w:val="ListBullet2"/>
            </w:pPr>
            <w:r w:rsidRPr="00037CB9">
              <w:t>Fault find Microcontroller based hardware as described in 8) and including:</w:t>
            </w:r>
          </w:p>
          <w:p w:rsidR="00000000" w:rsidRPr="00037CB9" w:rsidP="00037CB9">
            <w:pPr>
              <w:pStyle w:val="ListAlpha2"/>
            </w:pPr>
            <w:r w:rsidRPr="00037CB9">
              <w:t>Using methodical pro</w:t>
            </w:r>
            <w:r w:rsidRPr="00037CB9">
              <w:t>blem solving methods.</w:t>
            </w:r>
          </w:p>
          <w:p w:rsidR="00000000" w:rsidRPr="00037CB9" w:rsidP="00037CB9">
            <w:pPr>
              <w:pStyle w:val="ListAlpha2"/>
            </w:pPr>
            <w:r w:rsidRPr="00037CB9">
              <w:t>Taking measurements correctly and accurately.</w:t>
            </w:r>
          </w:p>
          <w:p w:rsidR="00000000" w:rsidRPr="00037CB9" w:rsidP="00037CB9">
            <w:pPr>
              <w:pStyle w:val="ListAlpha2"/>
            </w:pPr>
            <w:r w:rsidRPr="00037CB9">
              <w:t>Calculating parameters correctly and accurately.</w:t>
            </w:r>
          </w:p>
          <w:p w:rsidR="00000000" w:rsidRPr="00037CB9" w:rsidP="00037CB9">
            <w:pPr>
              <w:pStyle w:val="ListAlpha2"/>
            </w:pPr>
            <w:r w:rsidRPr="00037CB9">
              <w:t>Providing solution to microcontroller component/circuit problems.</w:t>
            </w:r>
          </w:p>
          <w:p w:rsidR="00000000" w:rsidRPr="00037CB9" w:rsidP="00037CB9">
            <w:pPr>
              <w:pStyle w:val="ListAlpha2"/>
            </w:pPr>
            <w:r w:rsidRPr="00037CB9">
              <w:t>Providing written justification for the solutions to problems.</w:t>
            </w:r>
          </w:p>
          <w:p w:rsidR="00000000" w:rsidRPr="00037CB9" w:rsidP="00037CB9">
            <w:pPr>
              <w:pStyle w:val="ListAlpha2"/>
            </w:pPr>
            <w:r w:rsidRPr="00037CB9">
              <w:t>Dealing with unplanned events by drawing on essential knowledge and skills to provide appropriate solutions incorporated in a holistic assessment with the above listed items.</w:t>
            </w:r>
          </w:p>
          <w:p w:rsidR="00000000" w:rsidRPr="00037CB9" w:rsidP="00037CB9">
            <w:pPr>
              <w:pStyle w:val="BodyText"/>
            </w:pPr>
            <w:r w:rsidRPr="00037CB9">
              <w:t>Note:</w:t>
            </w:r>
          </w:p>
          <w:p w:rsidR="00000000" w:rsidRPr="00037CB9" w:rsidP="00037CB9">
            <w:pPr>
              <w:pStyle w:val="BodyText"/>
            </w:pPr>
            <w:r w:rsidRPr="00037CB9">
              <w:t>Successful completion of relevant vendor training may be used to contribute</w:t>
            </w:r>
            <w:r w:rsidRPr="00037CB9">
              <w:t xml:space="preserve"> to evidence on which competency is deemed. In these cases the alignment of outcomes of vendor training with performance criteria and critical aspects of evidence shall be clearly identified.</w:t>
            </w:r>
          </w:p>
        </w:tc>
      </w:tr>
    </w:tbl>
    <w:p w:rsidR="00000000" w:rsidRPr="00037CB9" w:rsidP="00037CB9">
      <w:pPr>
        <w:pStyle w:val="BodyText"/>
      </w:pPr>
    </w:p>
    <w:tbl>
      <w:tblPr>
        <w:tblW w:w="0" w:type="auto"/>
        <w:tblLayout w:type="fixed"/>
        <w:tblCellMar>
          <w:left w:w="62" w:type="dxa"/>
          <w:right w:w="62" w:type="dxa"/>
        </w:tblCellMar>
        <w:tblLook w:val="0000"/>
      </w:tblPr>
      <w:tblGrid>
        <w:gridCol w:w="1890"/>
        <w:gridCol w:w="6570"/>
      </w:tblGrid>
      <w:tr w:rsidTr="000C7D4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9.3)</w:t>
            </w:r>
          </w:p>
        </w:tc>
      </w:tr>
      <w:tr w:rsidTr="000C7D4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This unit should be assessed as it relates to normal work practice using procedures, information and resources typical of a workplace. This should include:</w:t>
            </w:r>
          </w:p>
          <w:p w:rsidR="00000000" w:rsidRPr="00037CB9" w:rsidP="00037CB9">
            <w:pPr>
              <w:pStyle w:val="ListBullet"/>
            </w:pPr>
            <w:r w:rsidRPr="00037CB9">
              <w:t>OHS policy and work procedures and instructions.</w:t>
            </w:r>
          </w:p>
          <w:p w:rsidR="00000000" w:rsidRPr="00037CB9" w:rsidP="00037CB9">
            <w:pPr>
              <w:pStyle w:val="ListBullet"/>
            </w:pPr>
            <w:r w:rsidRPr="00037CB9">
              <w:t>Suitable work environment, facilities, equipment a</w:t>
            </w:r>
            <w:r w:rsidRPr="00037CB9">
              <w:t>nd materials to undertake actual work as prescribed by this unit.</w:t>
            </w:r>
          </w:p>
          <w:p w:rsidR="00000000" w:rsidRPr="00037CB9" w:rsidP="00037CB9">
            <w:pPr>
              <w:pStyle w:val="BodyText"/>
            </w:pPr>
            <w:r w:rsidRPr="00037CB9">
              <w:t>These should be part of the formal learning/assessment environment.</w:t>
            </w:r>
          </w:p>
          <w:p w:rsidR="00000000" w:rsidRPr="00037CB9" w:rsidP="00037CB9">
            <w:pPr>
              <w:pStyle w:val="BodyText"/>
            </w:pPr>
            <w:r w:rsidRPr="00037CB9">
              <w:t>Note:</w:t>
            </w:r>
          </w:p>
          <w:p w:rsidR="00000000" w:rsidRPr="00037CB9" w:rsidP="00037CB9">
            <w:pPr>
              <w:pStyle w:val="BodyText"/>
            </w:pPr>
            <w:r w:rsidRPr="00037CB9">
              <w:t>Where simulation is considered a suitable strategy for assessment, conditions must be authentic and as far as possib</w:t>
            </w:r>
            <w:r w:rsidRPr="00037CB9">
              <w:t>le reproduce and replicate the workplace and be consistent with the approved industry simulation policy.</w:t>
            </w:r>
          </w:p>
          <w:p w:rsidR="00000000" w:rsidRPr="00037CB9" w:rsidP="00037CB9">
            <w:pPr>
              <w:pStyle w:val="BodyText"/>
            </w:pPr>
            <w:r w:rsidRPr="00037CB9">
              <w:t>The resources used for assessment should reflect current industry practices in relation to fault finding Microcontroller based hardware.</w:t>
            </w:r>
          </w:p>
        </w:tc>
      </w:tr>
    </w:tbl>
    <w:p w:rsidR="00000000" w:rsidRPr="00037CB9" w:rsidP="00037CB9">
      <w:pPr>
        <w:pStyle w:val="BodyText"/>
      </w:pPr>
    </w:p>
    <w:tbl>
      <w:tblPr>
        <w:tblW w:w="0" w:type="auto"/>
        <w:tblLayout w:type="fixed"/>
        <w:tblCellMar>
          <w:left w:w="62" w:type="dxa"/>
          <w:right w:w="62" w:type="dxa"/>
        </w:tblCellMar>
        <w:tblLook w:val="0000"/>
      </w:tblPr>
      <w:tblGrid>
        <w:gridCol w:w="1890"/>
        <w:gridCol w:w="6570"/>
      </w:tblGrid>
      <w:tr w:rsidTr="000C7D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9.4)</w:t>
            </w:r>
          </w:p>
        </w:tc>
      </w:tr>
      <w:tr w:rsidTr="000C7D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This unit shall be assessed by methods given in Volume 1, Part 3 ‘Assessment Guidelines’.</w:t>
            </w:r>
          </w:p>
          <w:p w:rsidR="00000000" w:rsidRPr="00037CB9" w:rsidP="00037CB9">
            <w:pPr>
              <w:pStyle w:val="BodyText"/>
            </w:pPr>
            <w:r w:rsidRPr="00037CB9">
              <w:t>Note:</w:t>
            </w:r>
          </w:p>
          <w:p w:rsidR="00000000" w:rsidRPr="00037CB9" w:rsidP="00037CB9">
            <w:pPr>
              <w:pStyle w:val="BodyText"/>
            </w:pPr>
            <w:r w:rsidRPr="00037CB9">
              <w:t>Competent performance with inherent safe working practices is expected in the industry to which this unit applies. This requires tha</w:t>
            </w:r>
            <w:r w:rsidRPr="00037CB9">
              <w:t>t the specified essential knowledge and associated skills are assessed in a structured environment which is primarily intended for learning/assessment and incorporates all necessary equipment and facilities for learners to develop and demonstrate the essen</w:t>
            </w:r>
            <w:r w:rsidRPr="00037CB9">
              <w:t>tial knowledge and skills described in this unit.</w:t>
            </w:r>
          </w:p>
        </w:tc>
      </w:tr>
    </w:tbl>
    <w:p w:rsidR="00000000" w:rsidRPr="00037CB9" w:rsidP="00037CB9">
      <w:pPr>
        <w:pStyle w:val="BodyText"/>
      </w:pPr>
    </w:p>
    <w:tbl>
      <w:tblPr>
        <w:tblW w:w="0" w:type="auto"/>
        <w:tblLayout w:type="fixed"/>
        <w:tblCellMar>
          <w:left w:w="62" w:type="dxa"/>
          <w:right w:w="62" w:type="dxa"/>
        </w:tblCellMar>
        <w:tblLook w:val="0000"/>
      </w:tblPr>
      <w:tblGrid>
        <w:gridCol w:w="1890"/>
        <w:gridCol w:w="6570"/>
      </w:tblGrid>
      <w:tr w:rsidTr="000C7D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9.5)</w:t>
            </w:r>
          </w:p>
        </w:tc>
      </w:tr>
      <w:tr w:rsidTr="000C7D4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For optimisation of training and assessment effort, competency development in this unit may be arranged concurrently with unit:</w:t>
            </w:r>
          </w:p>
          <w:p w:rsidR="00000000" w:rsidRPr="00037CB9" w:rsidP="00037CB9">
            <w:pPr>
              <w:pStyle w:val="BodyText"/>
            </w:pPr>
            <w:r w:rsidRPr="00037CB9">
              <w:t>Repairs basic</w:t>
            </w:r>
            <w:r w:rsidRPr="00037CB9">
              <w:t xml:space="preserve"> electronic apparatus faults by replacement of components</w:t>
            </w:r>
          </w:p>
          <w:p w:rsidR="00000000" w:rsidRPr="00037CB9" w:rsidP="00037CB9">
            <w:pPr>
              <w:pStyle w:val="BodyText"/>
            </w:pPr>
            <w:r w:rsidRPr="00037CB9">
              <w:t>Troubleshoot digital sub-systems</w:t>
            </w:r>
          </w:p>
          <w:p w:rsidR="00000000" w:rsidRPr="00037CB9" w:rsidP="00037CB9">
            <w:pPr>
              <w:pStyle w:val="BodyText"/>
            </w:pPr>
            <w:r w:rsidRPr="00037CB9">
              <w:t>Troubleshoot amplifiers in an electronic apparatus</w:t>
            </w:r>
          </w:p>
          <w:p w:rsidR="00000000" w:rsidRPr="00037CB9" w:rsidP="00037CB9">
            <w:pPr>
              <w:pStyle w:val="BodyText"/>
            </w:pPr>
            <w:r w:rsidRPr="00037CB9">
              <w:t>Find and repair microwave amplifier section faults in electronic apparatus</w:t>
            </w:r>
          </w:p>
        </w:tc>
      </w:tr>
    </w:tbl>
    <w:p w:rsidR="00000000" w:rsidRPr="00037CB9" w:rsidP="00037CB9">
      <w:pPr>
        <w:pStyle w:val="BodyText"/>
      </w:pPr>
    </w:p>
    <w:p w:rsidR="00000000" w:rsidRPr="00037CB9" w:rsidP="00037CB9">
      <w:pPr>
        <w:pStyle w:val="AllowPageBreak"/>
      </w:pPr>
    </w:p>
    <w:p w:rsidR="00000000" w:rsidRPr="00037CB9" w:rsidP="00037CB9">
      <w:pPr>
        <w:pStyle w:val="Heading1"/>
      </w:pPr>
      <w:bookmarkStart w:id="11" w:name="O_419782"/>
      <w:bookmarkEnd w:id="11"/>
      <w:r w:rsidRPr="00037CB9">
        <w:t>Range Statement</w:t>
      </w:r>
    </w:p>
    <w:tbl>
      <w:tblPr>
        <w:tblW w:w="0" w:type="auto"/>
        <w:tblLayout w:type="fixed"/>
        <w:tblCellMar>
          <w:left w:w="62" w:type="dxa"/>
          <w:right w:w="62" w:type="dxa"/>
        </w:tblCellMar>
        <w:tblLook w:val="0000"/>
      </w:tblPr>
      <w:tblGrid>
        <w:gridCol w:w="8460"/>
      </w:tblGrid>
      <w:tr w:rsidTr="000C7D4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RANGE STATEMENT</w:t>
            </w:r>
          </w:p>
        </w:tc>
      </w:tr>
      <w:tr w:rsidTr="000C7D4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10)</w:t>
            </w:r>
            <w:r w:rsidRPr="00037CB9">
              <w:t xml:space="preserve">  This relates to the unit as a whole providing the range of contexts and conditions to which the performance criteria apply. It allows for different work environments and situations that will affect performance.</w:t>
            </w:r>
          </w:p>
          <w:p w:rsidR="00000000" w:rsidRPr="00037CB9" w:rsidP="00037CB9">
            <w:pPr>
              <w:pStyle w:val="BodyText"/>
            </w:pPr>
            <w:r w:rsidRPr="00037CB9">
              <w:t>This unit shall be demo</w:t>
            </w:r>
            <w:r w:rsidRPr="00037CB9">
              <w:t>nstrated in relation to solving at least two of the following types of microcontroller hardware problems.</w:t>
            </w:r>
          </w:p>
          <w:p w:rsidR="00000000" w:rsidRPr="00037CB9" w:rsidP="00037CB9">
            <w:pPr>
              <w:pStyle w:val="ListBullet"/>
            </w:pPr>
            <w:r w:rsidRPr="00037CB9">
              <w:t xml:space="preserve">Determining the operating parameters of an existing circuit </w:t>
            </w:r>
          </w:p>
          <w:p w:rsidR="00000000" w:rsidRPr="00037CB9" w:rsidP="00037CB9">
            <w:pPr>
              <w:pStyle w:val="ListBullet"/>
            </w:pPr>
            <w:r w:rsidRPr="00037CB9">
              <w:t>Alternating an existing circuit to comply with specified operating parameters</w:t>
            </w:r>
          </w:p>
          <w:p w:rsidR="00000000" w:rsidRPr="00037CB9" w:rsidP="00037CB9">
            <w:pPr>
              <w:pStyle w:val="ListBullet"/>
            </w:pPr>
            <w:r w:rsidRPr="00037CB9">
              <w:t>Developing circuits to comply with a specified function and operating parameters</w:t>
            </w:r>
          </w:p>
          <w:p w:rsidR="00000000" w:rsidRPr="00037CB9" w:rsidP="00037CB9">
            <w:pPr>
              <w:pStyle w:val="BodyText"/>
            </w:pPr>
            <w:r w:rsidRPr="00037CB9">
              <w:t xml:space="preserve">Generic terms used throughout this Vocational Standard shall be regarded as part of the Range Statement in which competency is demonstrated. The definition of these and other </w:t>
            </w:r>
            <w:r w:rsidRPr="00037CB9">
              <w:t>terms that apply are given in Volume 2, Part 2.1.</w:t>
            </w:r>
          </w:p>
        </w:tc>
      </w:tr>
    </w:tbl>
    <w:p w:rsidR="00000000" w:rsidRPr="00037CB9" w:rsidP="00037CB9">
      <w:pPr>
        <w:pStyle w:val="BodyText"/>
      </w:pPr>
    </w:p>
    <w:p w:rsidR="00000000" w:rsidRPr="00037CB9" w:rsidP="00037CB9">
      <w:pPr>
        <w:pStyle w:val="AllowPageBreak"/>
      </w:pPr>
    </w:p>
    <w:p w:rsidR="00000000" w:rsidRPr="00037CB9" w:rsidP="00037CB9">
      <w:pPr>
        <w:pStyle w:val="Heading1"/>
      </w:pPr>
      <w:bookmarkStart w:id="12" w:name="O_419785"/>
      <w:bookmarkEnd w:id="12"/>
      <w:r w:rsidRPr="00037CB9">
        <w:t>Unit Sector(s)</w:t>
      </w:r>
    </w:p>
    <w:p w:rsidR="00000000" w:rsidRPr="00037CB9" w:rsidP="00037CB9">
      <w:pPr>
        <w:pStyle w:val="BodyText"/>
      </w:pPr>
      <w:r w:rsidRPr="00037CB9">
        <w:t>Not applicable.</w:t>
      </w:r>
    </w:p>
    <w:p w:rsidR="00000000" w:rsidRPr="00037CB9" w:rsidP="00037CB9">
      <w:pPr>
        <w:pStyle w:val="AllowPageBreak"/>
      </w:pPr>
    </w:p>
    <w:p w:rsidR="00000000" w:rsidRPr="00037CB9" w:rsidP="00037CB9">
      <w:pPr>
        <w:pStyle w:val="Heading1"/>
      </w:pPr>
      <w:bookmarkStart w:id="13" w:name="O_419774"/>
      <w:bookmarkEnd w:id="13"/>
      <w:r w:rsidRPr="00037CB9">
        <w:t>Competency Field</w:t>
      </w:r>
    </w:p>
    <w:tbl>
      <w:tblPr>
        <w:tblW w:w="0" w:type="auto"/>
        <w:tblLayout w:type="fixed"/>
        <w:tblCellMar>
          <w:left w:w="62" w:type="dxa"/>
          <w:right w:w="62" w:type="dxa"/>
        </w:tblCellMar>
        <w:tblLook w:val="0000"/>
      </w:tblPr>
      <w:tblGrid>
        <w:gridCol w:w="2700"/>
        <w:gridCol w:w="5760"/>
      </w:tblGrid>
      <w:tr w:rsidTr="000C7D4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37CB9">
            <w:pPr>
              <w:pStyle w:val="BodyText"/>
              <w:rPr>
                <w:lang w:val="en-NZ"/>
              </w:rPr>
            </w:pPr>
            <w:r w:rsidRPr="00037CB9">
              <w:rPr>
                <w:rStyle w:val="SpecialBold"/>
              </w:rPr>
              <w:t xml:space="preserve">11) </w:t>
            </w:r>
          </w:p>
        </w:tc>
      </w:tr>
      <w:tr w:rsidTr="000C7D4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7CB9" w:rsidP="00037CB9">
            <w:pPr>
              <w:pStyle w:val="BodyText"/>
            </w:pPr>
            <w:r w:rsidRPr="00037CB9">
              <w:t>Electronics</w:t>
            </w:r>
          </w:p>
        </w:tc>
      </w:tr>
    </w:tbl>
    <w:p w:rsidR="00000000" w:rsidRPr="00037CB9" w:rsidP="00037CB9">
      <w:pPr>
        <w:pStyle w:val="BodyText"/>
      </w:pPr>
    </w:p>
    <w:p w:rsidR="00000000" w:rsidRPr="00037CB9" w:rsidP="00037CB9"/>
    <w:sectPr w:rsidSect="00037C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7D44" w:rsidP="000C7D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D44" w:rsidP="00037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7D44" w:rsidP="00037C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C7D44" w:rsidP="00037C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7D44" w:rsidP="000C7D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D44" w:rsidP="00037CB9">
    <w:pPr>
      <w:pStyle w:val="Header"/>
      <w:framePr w:wrap="around"/>
    </w:pPr>
    <w:r>
      <w:fldChar w:fldCharType="begin"/>
    </w:r>
    <w:r>
      <w:instrText xml:space="preserve"> TITLE   \* MERGEFORMAT </w:instrText>
    </w:r>
    <w:r>
      <w:fldChar w:fldCharType="separate"/>
    </w:r>
    <w:r>
      <w:t>UEENEEH166A Troubleshoot microcontroller based hardware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7D44" w:rsidP="00037C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B8E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C6A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605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D8C38A0"/>
    <w:multiLevelType w:val="multilevel"/>
    <w:tmpl w:val="398E5E3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C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7CB9"/>
    <w:pPr>
      <w:spacing w:before="360" w:after="60"/>
      <w:outlineLvl w:val="0"/>
    </w:pPr>
    <w:rPr>
      <w:sz w:val="32"/>
    </w:rPr>
  </w:style>
  <w:style w:type="paragraph" w:styleId="Heading2">
    <w:name w:val="heading 2"/>
    <w:basedOn w:val="HeadingBase"/>
    <w:next w:val="BodyText"/>
    <w:link w:val="Heading2Char"/>
    <w:qFormat/>
    <w:rsid w:val="00037CB9"/>
    <w:pPr>
      <w:keepLines/>
      <w:spacing w:before="240" w:after="120"/>
      <w:outlineLvl w:val="1"/>
    </w:pPr>
    <w:rPr>
      <w:sz w:val="28"/>
      <w:szCs w:val="40"/>
    </w:rPr>
  </w:style>
  <w:style w:type="paragraph" w:styleId="Heading3">
    <w:name w:val="heading 3"/>
    <w:basedOn w:val="HeadingBase"/>
    <w:next w:val="BodyText"/>
    <w:link w:val="Heading3Char"/>
    <w:qFormat/>
    <w:rsid w:val="00037CB9"/>
    <w:pPr>
      <w:spacing w:before="180" w:after="120"/>
      <w:outlineLvl w:val="2"/>
    </w:pPr>
    <w:rPr>
      <w:spacing w:val="-10"/>
      <w:kern w:val="32"/>
    </w:rPr>
  </w:style>
  <w:style w:type="paragraph" w:styleId="Heading4">
    <w:name w:val="heading 4"/>
    <w:basedOn w:val="HeadingBase"/>
    <w:next w:val="BodyText"/>
    <w:link w:val="Heading4Char"/>
    <w:qFormat/>
    <w:rsid w:val="00037CB9"/>
    <w:pPr>
      <w:spacing w:before="160" w:after="120"/>
      <w:outlineLvl w:val="3"/>
    </w:pPr>
    <w:rPr>
      <w:sz w:val="22"/>
    </w:rPr>
  </w:style>
  <w:style w:type="paragraph" w:styleId="Heading5">
    <w:name w:val="heading 5"/>
    <w:basedOn w:val="HeadingBase"/>
    <w:next w:val="Normal"/>
    <w:link w:val="Heading5Char"/>
    <w:qFormat/>
    <w:rsid w:val="00037CB9"/>
    <w:pPr>
      <w:spacing w:before="80"/>
      <w:outlineLvl w:val="4"/>
    </w:pPr>
    <w:rPr>
      <w:color w:val="918585"/>
      <w:sz w:val="20"/>
    </w:rPr>
  </w:style>
  <w:style w:type="paragraph" w:styleId="Heading6">
    <w:name w:val="heading 6"/>
    <w:basedOn w:val="HeadingBase"/>
    <w:next w:val="Normal"/>
    <w:link w:val="Heading6Char"/>
    <w:qFormat/>
    <w:rsid w:val="00037CB9"/>
    <w:pPr>
      <w:spacing w:before="60"/>
      <w:outlineLvl w:val="5"/>
    </w:pPr>
    <w:rPr>
      <w:color w:val="918585"/>
      <w:sz w:val="20"/>
    </w:rPr>
  </w:style>
  <w:style w:type="paragraph" w:styleId="Heading7">
    <w:name w:val="heading 7"/>
    <w:basedOn w:val="Normal"/>
    <w:next w:val="Normal"/>
    <w:link w:val="Heading7Char"/>
    <w:qFormat/>
    <w:rsid w:val="00037CB9"/>
    <w:pPr>
      <w:ind w:left="720"/>
      <w:outlineLvl w:val="6"/>
    </w:pPr>
    <w:rPr>
      <w:i/>
    </w:rPr>
  </w:style>
  <w:style w:type="paragraph" w:styleId="Heading8">
    <w:name w:val="heading 8"/>
    <w:basedOn w:val="Normal"/>
    <w:next w:val="Normal"/>
    <w:link w:val="Heading8Char"/>
    <w:qFormat/>
    <w:rsid w:val="00037CB9"/>
    <w:pPr>
      <w:ind w:left="720"/>
      <w:outlineLvl w:val="7"/>
    </w:pPr>
    <w:rPr>
      <w:i/>
    </w:rPr>
  </w:style>
  <w:style w:type="paragraph" w:styleId="Heading9">
    <w:name w:val="heading 9"/>
    <w:basedOn w:val="Normal"/>
    <w:next w:val="Normal"/>
    <w:link w:val="Heading9Char"/>
    <w:qFormat/>
    <w:rsid w:val="00037CB9"/>
    <w:pPr>
      <w:ind w:left="720"/>
      <w:outlineLvl w:val="8"/>
    </w:pPr>
    <w:rPr>
      <w:i/>
    </w:rPr>
  </w:style>
  <w:style w:type="character" w:default="1" w:styleId="DefaultParagraphFont">
    <w:name w:val="Default Paragraph Font"/>
    <w:uiPriority w:val="1"/>
    <w:unhideWhenUsed/>
    <w:rsid w:val="00037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CB9"/>
  </w:style>
  <w:style w:type="character" w:customStyle="1" w:styleId="Heading1Char">
    <w:name w:val="Heading 1 Char"/>
    <w:basedOn w:val="DefaultParagraphFont"/>
    <w:link w:val="Heading1"/>
    <w:rsid w:val="00037CB9"/>
    <w:rPr>
      <w:rFonts w:ascii="Times New Roman" w:eastAsia="Times New Roman" w:hAnsi="Times New Roman" w:cs="Times New Roman"/>
      <w:b/>
      <w:sz w:val="32"/>
      <w:szCs w:val="20"/>
      <w:lang w:eastAsia="en-US"/>
    </w:rPr>
  </w:style>
  <w:style w:type="paragraph" w:styleId="BodyText">
    <w:name w:val="Body Text"/>
    <w:basedOn w:val="Normal"/>
    <w:link w:val="BodyTextChar"/>
    <w:rsid w:val="00037C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7CB9"/>
    <w:rPr>
      <w:rFonts w:ascii="Times New Roman" w:eastAsia="Times New Roman" w:hAnsi="Times New Roman" w:cs="Times New Roman"/>
      <w:sz w:val="24"/>
      <w:lang w:val="en-US" w:eastAsia="en-US"/>
    </w:rPr>
  </w:style>
  <w:style w:type="paragraph" w:styleId="Footer">
    <w:name w:val="footer"/>
    <w:basedOn w:val="Normal"/>
    <w:link w:val="FooterChar"/>
    <w:rsid w:val="00037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CB9"/>
    <w:rPr>
      <w:rFonts w:ascii="Times New Roman" w:eastAsia="Times New Roman" w:hAnsi="Times New Roman" w:cs="Times New Roman"/>
      <w:sz w:val="16"/>
      <w:lang w:val="en-US" w:eastAsia="en-US"/>
    </w:rPr>
  </w:style>
  <w:style w:type="paragraph" w:styleId="ListBullet">
    <w:name w:val="List Bullet"/>
    <w:basedOn w:val="List"/>
    <w:rsid w:val="00037CB9"/>
    <w:pPr>
      <w:numPr>
        <w:numId w:val="13"/>
      </w:numPr>
      <w:tabs>
        <w:tab w:val="clear" w:pos="340"/>
      </w:tabs>
      <w:spacing w:before="40" w:after="40"/>
    </w:pPr>
  </w:style>
  <w:style w:type="character" w:customStyle="1" w:styleId="SpecialBold">
    <w:name w:val="Special Bold"/>
    <w:basedOn w:val="DefaultParagraphFont"/>
    <w:rsid w:val="00037CB9"/>
    <w:rPr>
      <w:b/>
      <w:spacing w:val="0"/>
    </w:rPr>
  </w:style>
  <w:style w:type="paragraph" w:styleId="ListBullet2">
    <w:name w:val="List Bullet 2"/>
    <w:basedOn w:val="List2"/>
    <w:rsid w:val="00037CB9"/>
    <w:pPr>
      <w:numPr>
        <w:numId w:val="14"/>
      </w:numPr>
      <w:tabs>
        <w:tab w:val="clear" w:pos="680"/>
      </w:tabs>
    </w:pPr>
  </w:style>
  <w:style w:type="paragraph" w:styleId="Header">
    <w:name w:val="header"/>
    <w:basedOn w:val="Normal"/>
    <w:link w:val="HeaderChar"/>
    <w:rsid w:val="00037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C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7CB9"/>
    <w:pPr>
      <w:spacing w:before="240" w:after="120"/>
      <w:outlineLvl w:val="0"/>
    </w:pPr>
    <w:rPr>
      <w:rFonts w:ascii="Times New Roman" w:hAnsi="Times New Roman"/>
      <w:b/>
      <w:sz w:val="28"/>
    </w:rPr>
  </w:style>
  <w:style w:type="paragraph" w:customStyle="1" w:styleId="AllowPageBreak">
    <w:name w:val="AllowPageBreak"/>
    <w:rsid w:val="00037C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037CB9"/>
    <w:pPr>
      <w:numPr>
        <w:numId w:val="8"/>
      </w:numPr>
    </w:pPr>
  </w:style>
  <w:style w:type="character" w:customStyle="1" w:styleId="Heading2Char">
    <w:name w:val="Heading 2 Char"/>
    <w:basedOn w:val="DefaultParagraphFont"/>
    <w:link w:val="Heading2"/>
    <w:rsid w:val="00037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C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7C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7CB9"/>
    <w:rPr>
      <w:rFonts w:ascii="Courier New" w:eastAsia="Times New Roman" w:hAnsi="Courier New" w:cs="Times New Roman"/>
      <w:i/>
      <w:szCs w:val="20"/>
      <w:lang w:val="en-US" w:eastAsia="en-US"/>
    </w:rPr>
  </w:style>
  <w:style w:type="paragraph" w:customStyle="1" w:styleId="HeadingBase">
    <w:name w:val="Heading Base"/>
    <w:rsid w:val="00037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CB9"/>
    <w:pPr>
      <w:tabs>
        <w:tab w:val="right" w:leader="dot" w:pos="9072"/>
      </w:tabs>
      <w:ind w:left="567"/>
    </w:pPr>
    <w:rPr>
      <w:szCs w:val="22"/>
    </w:rPr>
  </w:style>
  <w:style w:type="paragraph" w:customStyle="1" w:styleId="TOCBase">
    <w:name w:val="TOC Base"/>
    <w:rsid w:val="00037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CB9"/>
    <w:pPr>
      <w:tabs>
        <w:tab w:val="right" w:leader="dot" w:pos="9072"/>
      </w:tabs>
      <w:spacing w:before="40" w:after="40"/>
      <w:ind w:left="284"/>
    </w:pPr>
    <w:rPr>
      <w:rFonts w:ascii="Times New Roman" w:hAnsi="Times New Roman"/>
    </w:rPr>
  </w:style>
  <w:style w:type="paragraph" w:styleId="TOC1">
    <w:name w:val="toc 1"/>
    <w:basedOn w:val="TOCBase"/>
    <w:next w:val="Normal"/>
    <w:rsid w:val="00037C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7CB9"/>
    <w:pPr>
      <w:spacing w:before="5040"/>
      <w:jc w:val="center"/>
    </w:pPr>
    <w:rPr>
      <w:sz w:val="48"/>
      <w:szCs w:val="72"/>
      <w:lang w:val="en-US"/>
    </w:rPr>
  </w:style>
  <w:style w:type="character" w:customStyle="1" w:styleId="TitleChar">
    <w:name w:val="Title Char"/>
    <w:basedOn w:val="DefaultParagraphFont"/>
    <w:link w:val="Title"/>
    <w:rsid w:val="00037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CB9"/>
    <w:pPr>
      <w:tabs>
        <w:tab w:val="left" w:pos="3600"/>
        <w:tab w:val="left" w:pos="3958"/>
      </w:tabs>
    </w:pPr>
  </w:style>
  <w:style w:type="paragraph" w:styleId="List">
    <w:name w:val="List"/>
    <w:basedOn w:val="BodyText"/>
    <w:next w:val="BodyText"/>
    <w:rsid w:val="00037CB9"/>
    <w:pPr>
      <w:tabs>
        <w:tab w:val="left" w:pos="340"/>
      </w:tabs>
      <w:spacing w:before="60" w:after="60"/>
      <w:ind w:left="340" w:hanging="340"/>
    </w:pPr>
  </w:style>
  <w:style w:type="paragraph" w:customStyle="1" w:styleId="Note">
    <w:name w:val="Note"/>
    <w:basedOn w:val="BodyText"/>
    <w:rsid w:val="00037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CB9"/>
    <w:pPr>
      <w:framePr w:wrap="auto" w:hAnchor="text" w:y="6049"/>
    </w:pPr>
    <w:rPr>
      <w:color w:val="000000"/>
      <w:sz w:val="40"/>
    </w:rPr>
  </w:style>
  <w:style w:type="paragraph" w:customStyle="1" w:styleId="TOCTitle">
    <w:name w:val="TOCTitle"/>
    <w:basedOn w:val="Heading1"/>
    <w:rsid w:val="00037CB9"/>
    <w:pPr>
      <w:spacing w:after="240"/>
      <w:jc w:val="center"/>
      <w:outlineLvl w:val="9"/>
    </w:pPr>
    <w:rPr>
      <w:caps/>
    </w:rPr>
  </w:style>
  <w:style w:type="paragraph" w:customStyle="1" w:styleId="Version">
    <w:name w:val="Version"/>
    <w:rsid w:val="00037C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CB9"/>
    <w:pPr>
      <w:keepNext w:val="0"/>
      <w:tabs>
        <w:tab w:val="right" w:pos="4176"/>
      </w:tabs>
      <w:ind w:left="198" w:hanging="198"/>
    </w:pPr>
    <w:rPr>
      <w:rFonts w:ascii="Garamond" w:hAnsi="Garamond"/>
    </w:rPr>
  </w:style>
  <w:style w:type="paragraph" w:styleId="IndexHeading">
    <w:name w:val="index heading"/>
    <w:basedOn w:val="Normal"/>
    <w:next w:val="Index1"/>
    <w:semiHidden/>
    <w:rsid w:val="00037CB9"/>
    <w:pPr>
      <w:spacing w:before="120" w:after="120"/>
    </w:pPr>
    <w:rPr>
      <w:rFonts w:ascii="Arial" w:hAnsi="Arial"/>
      <w:b/>
      <w:color w:val="918585"/>
      <w:sz w:val="24"/>
    </w:rPr>
  </w:style>
  <w:style w:type="paragraph" w:customStyle="1" w:styleId="Chapter">
    <w:name w:val="Chapter"/>
    <w:basedOn w:val="Normal"/>
    <w:rsid w:val="00037CB9"/>
    <w:pPr>
      <w:spacing w:before="240"/>
    </w:pPr>
    <w:rPr>
      <w:rFonts w:ascii="Times New Roman" w:hAnsi="Times New Roman"/>
      <w:smallCaps/>
      <w:spacing w:val="80"/>
      <w:sz w:val="28"/>
    </w:rPr>
  </w:style>
  <w:style w:type="paragraph" w:customStyle="1" w:styleId="InChapter">
    <w:name w:val="InChapter"/>
    <w:basedOn w:val="Heading3"/>
    <w:rsid w:val="00037CB9"/>
    <w:pPr>
      <w:spacing w:after="240"/>
      <w:outlineLvl w:val="9"/>
    </w:pPr>
    <w:rPr>
      <w:noProof/>
    </w:rPr>
  </w:style>
  <w:style w:type="paragraph" w:styleId="Index2">
    <w:name w:val="index 2"/>
    <w:basedOn w:val="Normal"/>
    <w:next w:val="Normal"/>
    <w:semiHidden/>
    <w:rsid w:val="00037CB9"/>
    <w:pPr>
      <w:tabs>
        <w:tab w:val="right" w:pos="4176"/>
      </w:tabs>
      <w:ind w:left="568" w:hanging="284"/>
    </w:pPr>
    <w:rPr>
      <w:rFonts w:ascii="Garamond" w:hAnsi="Garamond"/>
    </w:rPr>
  </w:style>
  <w:style w:type="paragraph" w:customStyle="1" w:styleId="Byline">
    <w:name w:val="Byline"/>
    <w:rsid w:val="00037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CB9"/>
    <w:pPr>
      <w:tabs>
        <w:tab w:val="clear" w:pos="3600"/>
        <w:tab w:val="clear" w:pos="3958"/>
      </w:tabs>
      <w:jc w:val="right"/>
    </w:pPr>
  </w:style>
  <w:style w:type="character" w:styleId="Emphasis">
    <w:name w:val="Emphasis"/>
    <w:basedOn w:val="DefaultParagraphFont"/>
    <w:qFormat/>
    <w:rsid w:val="00037CB9"/>
    <w:rPr>
      <w:i/>
    </w:rPr>
  </w:style>
  <w:style w:type="paragraph" w:styleId="Caption">
    <w:name w:val="caption"/>
    <w:basedOn w:val="BodyText"/>
    <w:next w:val="Normal"/>
    <w:qFormat/>
    <w:rsid w:val="00037CB9"/>
    <w:pPr>
      <w:framePr w:w="2268" w:hSpace="181" w:vSpace="181" w:wrap="around" w:vAnchor="text" w:hAnchor="page" w:x="1135" w:y="285" w:anchorLock="1"/>
    </w:pPr>
    <w:rPr>
      <w:i/>
    </w:rPr>
  </w:style>
  <w:style w:type="paragraph" w:customStyle="1" w:styleId="MiniTOCTitle">
    <w:name w:val="MiniTOCTitle"/>
    <w:basedOn w:val="Heading4"/>
    <w:rsid w:val="00037CB9"/>
    <w:pPr>
      <w:spacing w:before="240"/>
      <w:outlineLvl w:val="9"/>
    </w:pPr>
    <w:rPr>
      <w:noProof/>
      <w:sz w:val="24"/>
    </w:rPr>
  </w:style>
  <w:style w:type="paragraph" w:customStyle="1" w:styleId="MiniTOCItem">
    <w:name w:val="MiniTOCItem"/>
    <w:basedOn w:val="ListBullet"/>
    <w:rsid w:val="00037CB9"/>
    <w:pPr>
      <w:numPr>
        <w:numId w:val="0"/>
      </w:numPr>
      <w:tabs>
        <w:tab w:val="right" w:leader="dot" w:pos="6521"/>
      </w:tabs>
      <w:spacing w:before="0" w:after="0"/>
    </w:pPr>
  </w:style>
  <w:style w:type="paragraph" w:customStyle="1" w:styleId="TOFTitle">
    <w:name w:val="TOFTitle"/>
    <w:basedOn w:val="TOCTitle"/>
    <w:rsid w:val="00037CB9"/>
  </w:style>
  <w:style w:type="paragraph" w:styleId="TableofFigures">
    <w:name w:val="table of figures"/>
    <w:basedOn w:val="Normal"/>
    <w:next w:val="Normal"/>
    <w:semiHidden/>
    <w:rsid w:val="00037CB9"/>
    <w:pPr>
      <w:tabs>
        <w:tab w:val="right" w:leader="dot" w:pos="9072"/>
      </w:tabs>
      <w:ind w:left="970" w:hanging="403"/>
    </w:pPr>
    <w:rPr>
      <w:rFonts w:ascii="Times New Roman" w:hAnsi="Times New Roman"/>
      <w:b/>
    </w:rPr>
  </w:style>
  <w:style w:type="paragraph" w:styleId="ListNumber">
    <w:name w:val="List Number"/>
    <w:basedOn w:val="List"/>
    <w:rsid w:val="00037CB9"/>
    <w:pPr>
      <w:numPr>
        <w:numId w:val="11"/>
      </w:numPr>
    </w:pPr>
  </w:style>
  <w:style w:type="character" w:customStyle="1" w:styleId="WingdingSymbols">
    <w:name w:val="Wingding Symbols"/>
    <w:rsid w:val="00037CB9"/>
    <w:rPr>
      <w:rFonts w:ascii="Wingdings" w:hAnsi="Wingdings"/>
    </w:rPr>
  </w:style>
  <w:style w:type="paragraph" w:customStyle="1" w:styleId="TableHeading">
    <w:name w:val="Table Heading"/>
    <w:basedOn w:val="HeadingBase"/>
    <w:rsid w:val="00037CB9"/>
    <w:pPr>
      <w:keepLines/>
      <w:pBdr>
        <w:bottom w:val="single" w:sz="6" w:space="1" w:color="918585"/>
      </w:pBdr>
      <w:spacing w:before="240"/>
    </w:pPr>
  </w:style>
  <w:style w:type="character" w:customStyle="1" w:styleId="HotSpot">
    <w:name w:val="HotSpot"/>
    <w:rsid w:val="00037CB9"/>
    <w:rPr>
      <w:color w:val="0033CC"/>
      <w:u w:val="none"/>
    </w:rPr>
  </w:style>
  <w:style w:type="paragraph" w:customStyle="1" w:styleId="BodyTextRight">
    <w:name w:val="Body Text Right"/>
    <w:basedOn w:val="BodyText"/>
    <w:rsid w:val="00037CB9"/>
    <w:pPr>
      <w:spacing w:before="0" w:after="0"/>
      <w:jc w:val="right"/>
    </w:pPr>
  </w:style>
  <w:style w:type="paragraph" w:styleId="Index3">
    <w:name w:val="index 3"/>
    <w:basedOn w:val="ListNumber2"/>
    <w:next w:val="Normal"/>
    <w:semiHidden/>
    <w:rsid w:val="00037CB9"/>
    <w:pPr>
      <w:numPr>
        <w:numId w:val="0"/>
      </w:numPr>
      <w:tabs>
        <w:tab w:val="right" w:leader="dot" w:pos="4176"/>
      </w:tabs>
    </w:pPr>
  </w:style>
  <w:style w:type="paragraph" w:styleId="ListNumber2">
    <w:name w:val="List Number 2"/>
    <w:basedOn w:val="List2"/>
    <w:rsid w:val="00037CB9"/>
    <w:pPr>
      <w:numPr>
        <w:numId w:val="10"/>
      </w:numPr>
      <w:tabs>
        <w:tab w:val="clear" w:pos="1060"/>
      </w:tabs>
    </w:pPr>
  </w:style>
  <w:style w:type="paragraph" w:customStyle="1" w:styleId="MarginNote">
    <w:name w:val="Margin Note"/>
    <w:basedOn w:val="BodyText"/>
    <w:rsid w:val="00037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C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7CB9"/>
    <w:rPr>
      <w:sz w:val="32"/>
    </w:rPr>
  </w:style>
  <w:style w:type="paragraph" w:customStyle="1" w:styleId="HeadingProcedure">
    <w:name w:val="Heading Procedure"/>
    <w:basedOn w:val="HeadingBase"/>
    <w:next w:val="Normal"/>
    <w:rsid w:val="00037CB9"/>
    <w:pPr>
      <w:tabs>
        <w:tab w:val="left" w:pos="0"/>
      </w:tabs>
      <w:spacing w:before="120" w:after="60"/>
    </w:pPr>
    <w:rPr>
      <w:i/>
      <w:color w:val="918585"/>
      <w:sz w:val="22"/>
    </w:rPr>
  </w:style>
  <w:style w:type="paragraph" w:customStyle="1" w:styleId="TableBodyText">
    <w:name w:val="Table Body Text"/>
    <w:basedOn w:val="BodyText"/>
    <w:rsid w:val="00037CB9"/>
    <w:pPr>
      <w:spacing w:before="60" w:after="60"/>
    </w:pPr>
  </w:style>
  <w:style w:type="paragraph" w:styleId="ListContinue">
    <w:name w:val="List Continue"/>
    <w:basedOn w:val="List"/>
    <w:rsid w:val="00037CB9"/>
    <w:pPr>
      <w:ind w:firstLine="0"/>
    </w:pPr>
  </w:style>
  <w:style w:type="paragraph" w:customStyle="1" w:styleId="ListNote">
    <w:name w:val="List Note"/>
    <w:basedOn w:val="List"/>
    <w:rsid w:val="00037CB9"/>
    <w:pPr>
      <w:pBdr>
        <w:top w:val="single" w:sz="6" w:space="2" w:color="918585"/>
        <w:bottom w:val="single" w:sz="6" w:space="2" w:color="918585"/>
      </w:pBdr>
      <w:tabs>
        <w:tab w:val="left" w:pos="1021"/>
      </w:tabs>
      <w:ind w:firstLine="0"/>
    </w:pPr>
  </w:style>
  <w:style w:type="paragraph" w:customStyle="1" w:styleId="Warning">
    <w:name w:val="Warning"/>
    <w:basedOn w:val="BodyText"/>
    <w:rsid w:val="00037CB9"/>
    <w:pPr>
      <w:shd w:val="clear" w:color="auto" w:fill="D9D9D9"/>
      <w:tabs>
        <w:tab w:val="left" w:pos="992"/>
      </w:tabs>
      <w:ind w:left="119" w:right="119"/>
    </w:pPr>
    <w:rPr>
      <w:sz w:val="20"/>
    </w:rPr>
  </w:style>
  <w:style w:type="paragraph" w:customStyle="1" w:styleId="MarginIcons">
    <w:name w:val="Margin Icons"/>
    <w:basedOn w:val="BodyText"/>
    <w:rsid w:val="00037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CB9"/>
    <w:rPr>
      <w:rFonts w:ascii="Courier New" w:hAnsi="Courier New"/>
    </w:rPr>
  </w:style>
  <w:style w:type="paragraph" w:customStyle="1" w:styleId="NoteBullet">
    <w:name w:val="Note Bullet"/>
    <w:basedOn w:val="Note"/>
    <w:rsid w:val="00037CB9"/>
    <w:pPr>
      <w:tabs>
        <w:tab w:val="clear" w:pos="680"/>
      </w:tabs>
      <w:spacing w:before="60" w:after="60"/>
    </w:pPr>
  </w:style>
  <w:style w:type="paragraph" w:customStyle="1" w:styleId="SubHeading2">
    <w:name w:val="SubHeading2"/>
    <w:basedOn w:val="HeadingBase"/>
    <w:rsid w:val="00037CB9"/>
    <w:pPr>
      <w:spacing w:before="240" w:after="60"/>
    </w:pPr>
    <w:rPr>
      <w:sz w:val="20"/>
    </w:rPr>
  </w:style>
  <w:style w:type="paragraph" w:customStyle="1" w:styleId="SubHeading1">
    <w:name w:val="SubHeading1"/>
    <w:basedOn w:val="HeadingBase"/>
    <w:rsid w:val="00037CB9"/>
    <w:pPr>
      <w:spacing w:before="240" w:after="60"/>
    </w:pPr>
    <w:rPr>
      <w:color w:val="918585"/>
      <w:sz w:val="22"/>
    </w:rPr>
  </w:style>
  <w:style w:type="paragraph" w:customStyle="1" w:styleId="SideHeading">
    <w:name w:val="Side Heading"/>
    <w:basedOn w:val="HeadingBase"/>
    <w:rsid w:val="00037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CB9"/>
    <w:pPr>
      <w:numPr>
        <w:numId w:val="12"/>
      </w:numPr>
    </w:pPr>
  </w:style>
  <w:style w:type="paragraph" w:styleId="PlainText">
    <w:name w:val="Plain Text"/>
    <w:basedOn w:val="Normal"/>
    <w:link w:val="PlainTextChar"/>
    <w:rsid w:val="00037CB9"/>
    <w:rPr>
      <w:sz w:val="20"/>
    </w:rPr>
  </w:style>
  <w:style w:type="character" w:customStyle="1" w:styleId="PlainTextChar">
    <w:name w:val="Plain Text Char"/>
    <w:basedOn w:val="DefaultParagraphFont"/>
    <w:link w:val="PlainText"/>
    <w:rsid w:val="00037C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7CB9"/>
    <w:rPr>
      <w:b/>
      <w:smallCaps/>
    </w:rPr>
  </w:style>
  <w:style w:type="paragraph" w:customStyle="1" w:styleId="TableListNumber">
    <w:name w:val="Table List Number"/>
    <w:basedOn w:val="ListNumber"/>
    <w:rsid w:val="00037CB9"/>
    <w:pPr>
      <w:numPr>
        <w:numId w:val="0"/>
      </w:numPr>
    </w:pPr>
  </w:style>
  <w:style w:type="paragraph" w:styleId="TOC4">
    <w:name w:val="toc 4"/>
    <w:basedOn w:val="TOCBase"/>
    <w:next w:val="Normal"/>
    <w:semiHidden/>
    <w:rsid w:val="00037CB9"/>
    <w:pPr>
      <w:tabs>
        <w:tab w:val="right" w:leader="dot" w:pos="9071"/>
      </w:tabs>
      <w:ind w:left="1701"/>
    </w:pPr>
  </w:style>
  <w:style w:type="paragraph" w:customStyle="1" w:styleId="ListAlpha">
    <w:name w:val="List Alpha"/>
    <w:basedOn w:val="List"/>
    <w:rsid w:val="00037CB9"/>
    <w:pPr>
      <w:numPr>
        <w:numId w:val="9"/>
      </w:numPr>
    </w:pPr>
  </w:style>
  <w:style w:type="paragraph" w:styleId="List2">
    <w:name w:val="List 2"/>
    <w:basedOn w:val="BodyText"/>
    <w:rsid w:val="00037CB9"/>
    <w:pPr>
      <w:tabs>
        <w:tab w:val="left" w:pos="680"/>
      </w:tabs>
      <w:spacing w:before="60" w:after="60"/>
      <w:ind w:left="680" w:hanging="340"/>
    </w:pPr>
  </w:style>
  <w:style w:type="paragraph" w:styleId="List3">
    <w:name w:val="List 3"/>
    <w:basedOn w:val="BodyText"/>
    <w:rsid w:val="00037CB9"/>
    <w:pPr>
      <w:tabs>
        <w:tab w:val="left" w:pos="1021"/>
      </w:tabs>
      <w:spacing w:before="60" w:after="60"/>
      <w:ind w:left="1020" w:hanging="340"/>
    </w:pPr>
  </w:style>
  <w:style w:type="paragraph" w:styleId="List4">
    <w:name w:val="List 4"/>
    <w:basedOn w:val="BodyText"/>
    <w:rsid w:val="00037CB9"/>
    <w:pPr>
      <w:tabs>
        <w:tab w:val="left" w:pos="1361"/>
      </w:tabs>
      <w:spacing w:before="60" w:after="60"/>
      <w:ind w:left="1361" w:hanging="340"/>
    </w:pPr>
  </w:style>
  <w:style w:type="paragraph" w:styleId="List5">
    <w:name w:val="List 5"/>
    <w:basedOn w:val="BodyText"/>
    <w:rsid w:val="00037CB9"/>
    <w:pPr>
      <w:tabs>
        <w:tab w:val="left" w:pos="1701"/>
      </w:tabs>
      <w:spacing w:before="60" w:after="60"/>
      <w:ind w:left="1701" w:hanging="340"/>
    </w:pPr>
  </w:style>
  <w:style w:type="paragraph" w:styleId="ListBullet3">
    <w:name w:val="List Bullet 3"/>
    <w:basedOn w:val="List3"/>
    <w:rsid w:val="00037CB9"/>
    <w:pPr>
      <w:numPr>
        <w:numId w:val="15"/>
      </w:numPr>
      <w:tabs>
        <w:tab w:val="clear" w:pos="1021"/>
      </w:tabs>
      <w:ind w:left="1037" w:hanging="357"/>
    </w:pPr>
  </w:style>
  <w:style w:type="paragraph" w:styleId="ListBullet4">
    <w:name w:val="List Bullet 4"/>
    <w:basedOn w:val="List4"/>
    <w:rsid w:val="00037CB9"/>
    <w:pPr>
      <w:numPr>
        <w:numId w:val="3"/>
      </w:numPr>
    </w:pPr>
  </w:style>
  <w:style w:type="paragraph" w:styleId="ListBullet5">
    <w:name w:val="List Bullet 5"/>
    <w:basedOn w:val="List5"/>
    <w:rsid w:val="00037CB9"/>
    <w:pPr>
      <w:numPr>
        <w:numId w:val="4"/>
      </w:numPr>
    </w:pPr>
  </w:style>
  <w:style w:type="paragraph" w:styleId="ListContinue2">
    <w:name w:val="List Continue 2"/>
    <w:basedOn w:val="List2"/>
    <w:rsid w:val="00037CB9"/>
    <w:pPr>
      <w:ind w:firstLine="0"/>
    </w:pPr>
  </w:style>
  <w:style w:type="paragraph" w:styleId="ListContinue3">
    <w:name w:val="List Continue 3"/>
    <w:basedOn w:val="List3"/>
    <w:rsid w:val="00037CB9"/>
    <w:pPr>
      <w:ind w:left="1021" w:firstLine="0"/>
    </w:pPr>
  </w:style>
  <w:style w:type="paragraph" w:styleId="ListContinue4">
    <w:name w:val="List Continue 4"/>
    <w:basedOn w:val="List4"/>
    <w:rsid w:val="00037CB9"/>
    <w:pPr>
      <w:ind w:firstLine="0"/>
    </w:pPr>
  </w:style>
  <w:style w:type="paragraph" w:styleId="ListContinue5">
    <w:name w:val="List Continue 5"/>
    <w:basedOn w:val="List5"/>
    <w:rsid w:val="00037CB9"/>
    <w:pPr>
      <w:ind w:firstLine="0"/>
    </w:pPr>
  </w:style>
  <w:style w:type="paragraph" w:styleId="ListNumber3">
    <w:name w:val="List Number 3"/>
    <w:basedOn w:val="List3"/>
    <w:rsid w:val="00037CB9"/>
    <w:pPr>
      <w:numPr>
        <w:numId w:val="5"/>
      </w:numPr>
    </w:pPr>
  </w:style>
  <w:style w:type="paragraph" w:styleId="ListNumber4">
    <w:name w:val="List Number 4"/>
    <w:basedOn w:val="List4"/>
    <w:rsid w:val="00037CB9"/>
    <w:pPr>
      <w:numPr>
        <w:numId w:val="6"/>
      </w:numPr>
    </w:pPr>
  </w:style>
  <w:style w:type="paragraph" w:styleId="ListNumber5">
    <w:name w:val="List Number 5"/>
    <w:basedOn w:val="List5"/>
    <w:rsid w:val="00037CB9"/>
    <w:pPr>
      <w:numPr>
        <w:numId w:val="7"/>
      </w:numPr>
    </w:pPr>
  </w:style>
  <w:style w:type="paragraph" w:styleId="BlockText">
    <w:name w:val="Block Text"/>
    <w:basedOn w:val="Normal"/>
    <w:rsid w:val="00037CB9"/>
    <w:pPr>
      <w:spacing w:after="120"/>
      <w:ind w:left="1440" w:right="1440"/>
    </w:pPr>
  </w:style>
  <w:style w:type="character" w:customStyle="1" w:styleId="Subscript">
    <w:name w:val="Subscript"/>
    <w:basedOn w:val="DefaultParagraphFont"/>
    <w:rsid w:val="00037CB9"/>
    <w:rPr>
      <w:sz w:val="16"/>
      <w:vertAlign w:val="subscript"/>
    </w:rPr>
  </w:style>
  <w:style w:type="character" w:customStyle="1" w:styleId="Superscript">
    <w:name w:val="Superscript"/>
    <w:basedOn w:val="DefaultParagraphFont"/>
    <w:rsid w:val="00037CB9"/>
    <w:rPr>
      <w:sz w:val="16"/>
      <w:vertAlign w:val="superscript"/>
    </w:rPr>
  </w:style>
  <w:style w:type="character" w:customStyle="1" w:styleId="Symbols">
    <w:name w:val="Symbols"/>
    <w:basedOn w:val="DefaultParagraphFont"/>
    <w:rsid w:val="00037CB9"/>
    <w:rPr>
      <w:rFonts w:ascii="Symbol" w:hAnsi="Symbol"/>
    </w:rPr>
  </w:style>
  <w:style w:type="character" w:customStyle="1" w:styleId="MenuOptions">
    <w:name w:val="Menu Options"/>
    <w:basedOn w:val="DefaultParagraphFont"/>
    <w:rsid w:val="00037CB9"/>
    <w:rPr>
      <w:rFonts w:ascii="Arial Narrow" w:hAnsi="Arial Narrow"/>
      <w:smallCaps/>
    </w:rPr>
  </w:style>
  <w:style w:type="character" w:customStyle="1" w:styleId="Buttons">
    <w:name w:val="Buttons"/>
    <w:basedOn w:val="DefaultParagraphFont"/>
    <w:rsid w:val="00037CB9"/>
    <w:rPr>
      <w:b/>
    </w:rPr>
  </w:style>
  <w:style w:type="character" w:customStyle="1" w:styleId="Underlined">
    <w:name w:val="Underlined"/>
    <w:basedOn w:val="DefaultParagraphFont"/>
    <w:rsid w:val="00037CB9"/>
    <w:rPr>
      <w:u w:val="single"/>
    </w:rPr>
  </w:style>
  <w:style w:type="paragraph" w:customStyle="1" w:styleId="TableBodyTextRight">
    <w:name w:val="Table Body Text Right"/>
    <w:basedOn w:val="TableBodyText"/>
    <w:rsid w:val="00037CB9"/>
    <w:pPr>
      <w:widowControl w:val="0"/>
      <w:autoSpaceDE w:val="0"/>
      <w:autoSpaceDN w:val="0"/>
      <w:adjustRightInd w:val="0"/>
      <w:jc w:val="right"/>
    </w:pPr>
    <w:rPr>
      <w:rFonts w:cs="Arial"/>
      <w:szCs w:val="18"/>
    </w:rPr>
  </w:style>
  <w:style w:type="paragraph" w:customStyle="1" w:styleId="CopyrightText">
    <w:name w:val="Copyright Text"/>
    <w:basedOn w:val="BodyText"/>
    <w:rsid w:val="00037CB9"/>
    <w:rPr>
      <w:sz w:val="18"/>
    </w:rPr>
  </w:style>
  <w:style w:type="paragraph" w:customStyle="1" w:styleId="BodySmallRight">
    <w:name w:val="Body Small Right"/>
    <w:basedOn w:val="BodyTextRight"/>
    <w:rsid w:val="00037CB9"/>
    <w:rPr>
      <w:sz w:val="18"/>
      <w:szCs w:val="18"/>
    </w:rPr>
  </w:style>
  <w:style w:type="paragraph" w:customStyle="1" w:styleId="MarginEdition">
    <w:name w:val="Margin Edition"/>
    <w:basedOn w:val="MarginNote"/>
    <w:rsid w:val="00037CB9"/>
    <w:pPr>
      <w:spacing w:before="0" w:after="0"/>
    </w:pPr>
    <w:rPr>
      <w:rFonts w:ascii="Times New Roman" w:hAnsi="Times New Roman"/>
      <w:color w:val="999999"/>
    </w:rPr>
  </w:style>
  <w:style w:type="paragraph" w:customStyle="1" w:styleId="Spacer">
    <w:name w:val="Spacer"/>
    <w:basedOn w:val="Normal"/>
    <w:rsid w:val="00037CB9"/>
    <w:rPr>
      <w:sz w:val="2"/>
      <w:szCs w:val="2"/>
    </w:rPr>
  </w:style>
  <w:style w:type="character" w:customStyle="1" w:styleId="Small">
    <w:name w:val="Small"/>
    <w:basedOn w:val="DefaultParagraphFont"/>
    <w:rsid w:val="00037CB9"/>
    <w:rPr>
      <w:sz w:val="16"/>
    </w:rPr>
  </w:style>
  <w:style w:type="paragraph" w:customStyle="1" w:styleId="WideTable">
    <w:name w:val="Wide Table"/>
    <w:basedOn w:val="Normal"/>
    <w:rsid w:val="00037CB9"/>
    <w:pPr>
      <w:ind w:left="-1418"/>
    </w:pPr>
    <w:rPr>
      <w:sz w:val="2"/>
      <w:szCs w:val="2"/>
    </w:rPr>
  </w:style>
  <w:style w:type="character" w:styleId="PageNumber">
    <w:name w:val="page number"/>
    <w:basedOn w:val="DefaultParagraphFont"/>
    <w:rsid w:val="00037CB9"/>
  </w:style>
  <w:style w:type="paragraph" w:styleId="Quote">
    <w:name w:val="Quote"/>
    <w:basedOn w:val="Heading1"/>
    <w:link w:val="QuoteChar"/>
    <w:qFormat/>
    <w:rsid w:val="00037CB9"/>
    <w:rPr>
      <w:b w:val="0"/>
      <w:sz w:val="72"/>
      <w:szCs w:val="72"/>
      <w:lang w:val="en-NZ"/>
    </w:rPr>
  </w:style>
  <w:style w:type="character" w:customStyle="1" w:styleId="QuoteChar">
    <w:name w:val="Quote Char"/>
    <w:basedOn w:val="DefaultParagraphFont"/>
    <w:link w:val="Quote"/>
    <w:rsid w:val="00037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CB9"/>
    <w:pPr>
      <w:pageBreakBefore/>
    </w:pPr>
  </w:style>
  <w:style w:type="paragraph" w:customStyle="1" w:styleId="Border">
    <w:name w:val="Border"/>
    <w:basedOn w:val="Normal"/>
    <w:qFormat/>
    <w:rsid w:val="00037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CB9"/>
    <w:rPr>
      <w:b/>
      <w:bCs/>
      <w:i/>
      <w:iCs/>
      <w:color w:val="auto"/>
    </w:rPr>
  </w:style>
  <w:style w:type="paragraph" w:styleId="IntenseQuote">
    <w:name w:val="Intense Quote"/>
    <w:basedOn w:val="Normal"/>
    <w:next w:val="Normal"/>
    <w:link w:val="IntenseQuoteChar"/>
    <w:uiPriority w:val="30"/>
    <w:qFormat/>
    <w:rsid w:val="00037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C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7CB9"/>
    <w:rPr>
      <w:smallCaps/>
      <w:color w:val="auto"/>
      <w:u w:val="single"/>
    </w:rPr>
  </w:style>
  <w:style w:type="character" w:styleId="IntenseReference">
    <w:name w:val="Intense Reference"/>
    <w:basedOn w:val="DefaultParagraphFont"/>
    <w:uiPriority w:val="32"/>
    <w:qFormat/>
    <w:rsid w:val="00037CB9"/>
    <w:rPr>
      <w:b/>
      <w:bCs/>
      <w:smallCaps/>
      <w:color w:val="auto"/>
      <w:spacing w:val="5"/>
      <w:u w:val="single"/>
    </w:rPr>
  </w:style>
  <w:style w:type="paragraph" w:customStyle="1" w:styleId="2ColumnHeading">
    <w:name w:val="2Column Heading"/>
    <w:basedOn w:val="BodyText"/>
    <w:qFormat/>
    <w:rsid w:val="00037CB9"/>
    <w:pPr>
      <w:spacing w:after="60"/>
      <w:ind w:left="-2268"/>
    </w:pPr>
    <w:rPr>
      <w:b/>
    </w:rPr>
  </w:style>
  <w:style w:type="paragraph" w:customStyle="1" w:styleId="Heading1TOC">
    <w:name w:val="Heading1 TOC"/>
    <w:basedOn w:val="Normal"/>
    <w:qFormat/>
    <w:rsid w:val="00037CB9"/>
    <w:pPr>
      <w:spacing w:before="240" w:after="120"/>
    </w:pPr>
    <w:rPr>
      <w:rFonts w:ascii="Times New Roman" w:hAnsi="Times New Roman"/>
      <w:b/>
      <w:sz w:val="32"/>
    </w:rPr>
  </w:style>
  <w:style w:type="paragraph" w:customStyle="1" w:styleId="Heading2TOC">
    <w:name w:val="Heading2 TOC"/>
    <w:basedOn w:val="Normal"/>
    <w:qFormat/>
    <w:rsid w:val="00037CB9"/>
    <w:pPr>
      <w:spacing w:before="240" w:after="60"/>
    </w:pPr>
    <w:rPr>
      <w:rFonts w:ascii="Times New Roman" w:hAnsi="Times New Roman"/>
      <w:b/>
      <w:sz w:val="28"/>
    </w:rPr>
  </w:style>
  <w:style w:type="character" w:customStyle="1" w:styleId="Underline">
    <w:name w:val="Underline"/>
    <w:basedOn w:val="DefaultParagraphFont"/>
    <w:qFormat/>
    <w:rsid w:val="00037CB9"/>
    <w:rPr>
      <w:u w:val="single"/>
    </w:rPr>
  </w:style>
  <w:style w:type="character" w:customStyle="1" w:styleId="BoldandItalics">
    <w:name w:val="Bold and Italics"/>
    <w:qFormat/>
    <w:rsid w:val="00037CB9"/>
    <w:rPr>
      <w:b/>
      <w:i/>
      <w:u w:val="none"/>
    </w:rPr>
  </w:style>
  <w:style w:type="paragraph" w:styleId="BalloonText">
    <w:name w:val="Balloon Text"/>
    <w:basedOn w:val="Normal"/>
    <w:link w:val="BalloonTextChar"/>
    <w:rsid w:val="00037CB9"/>
    <w:rPr>
      <w:rFonts w:ascii="Tahoma" w:hAnsi="Tahoma" w:cs="Tahoma"/>
      <w:sz w:val="16"/>
      <w:szCs w:val="16"/>
    </w:rPr>
  </w:style>
  <w:style w:type="character" w:customStyle="1" w:styleId="BalloonTextChar">
    <w:name w:val="Balloon Text Char"/>
    <w:basedOn w:val="DefaultParagraphFont"/>
    <w:link w:val="BalloonText"/>
    <w:rsid w:val="00037C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7C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7C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2008</Words>
  <Characters>12258</Characters>
  <Application>Microsoft Office Word</Application>
  <DocSecurity>0</DocSecurity>
  <Lines>445</Lines>
  <Paragraphs>194</Paragraphs>
  <ScaleCrop>false</ScaleCrop>
  <Company>Author-it Software Corporation Ltd.</Company>
  <LinksUpToDate>false</LinksUpToDate>
  <CharactersWithSpaces>14140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UEENEEH166A Troubleshoot microcontroller based hardware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2012-05-26T11:19:00Z</dcterms:created>
  <dcterms:modified xsi:type="dcterms:W3CDTF">2012-05-26T11:19:00Z</dcterms:modified>
</cp:coreProperties>
</file>