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544" w:rsidP="00CA2544">
      <w:pPr>
        <w:pStyle w:val="Title"/>
      </w:pPr>
      <w:r>
        <w:fldChar w:fldCharType="begin"/>
      </w:r>
      <w:r>
        <w:instrText xml:space="preserve"> TITLE   \* MERGEFORMAT </w:instrText>
      </w:r>
      <w:r>
        <w:fldChar w:fldCharType="separate"/>
      </w:r>
      <w:r>
        <w:t>UEENEEH165A Troubleshoot fire protection systems</w:t>
      </w:r>
      <w:r>
        <w:fldChar w:fldCharType="end"/>
      </w:r>
    </w:p>
    <w:p w:rsidR="00CA2544" w:rsidP="00CA2544">
      <w:pPr>
        <w:pStyle w:val="Version"/>
        <w:sectPr w:rsidSect="00970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0E27" w:rsidP="00970E27">
      <w:pPr>
        <w:pStyle w:val="SuperHeading"/>
      </w:pPr>
      <w:r w:rsidRPr="00970E27">
        <w:t>UEENEEH165A Troubleshoot fire protection systems</w:t>
      </w:r>
    </w:p>
    <w:p w:rsidR="00000000" w:rsidRPr="00970E27" w:rsidP="00970E27">
      <w:pPr>
        <w:pStyle w:val="Heading1"/>
      </w:pPr>
      <w:bookmarkStart w:id="1" w:name="O_588069"/>
      <w:bookmarkEnd w:id="1"/>
      <w:r w:rsidRPr="00970E27">
        <w:t>Modification History</w:t>
      </w:r>
    </w:p>
    <w:p w:rsidR="00000000" w:rsidRPr="00970E27" w:rsidP="00970E27">
      <w:pPr>
        <w:pStyle w:val="BodyText"/>
      </w:pPr>
      <w:r w:rsidRPr="00970E27">
        <w:t>Not applicable.</w:t>
      </w:r>
    </w:p>
    <w:p w:rsidR="00000000" w:rsidRPr="00970E27" w:rsidP="00970E27">
      <w:pPr>
        <w:pStyle w:val="AllowPageBreak"/>
      </w:pPr>
    </w:p>
    <w:p w:rsidR="00000000" w:rsidRPr="00970E27" w:rsidP="00970E27">
      <w:pPr>
        <w:pStyle w:val="Heading1"/>
      </w:pPr>
      <w:bookmarkStart w:id="2" w:name="O_588068"/>
      <w:bookmarkEnd w:id="2"/>
      <w:r w:rsidRPr="00970E27">
        <w:t>Unit Descriptor</w:t>
      </w:r>
    </w:p>
    <w:tbl>
      <w:tblPr>
        <w:tblW w:w="0" w:type="auto"/>
        <w:tblLayout w:type="fixed"/>
        <w:tblCellMar>
          <w:left w:w="62" w:type="dxa"/>
          <w:right w:w="62" w:type="dxa"/>
        </w:tblCellMar>
        <w:tblLook w:val="0000"/>
      </w:tblPr>
      <w:tblGrid>
        <w:gridCol w:w="2700"/>
        <w:gridCol w:w="5760"/>
      </w:tblGrid>
      <w:tr w:rsidTr="00CA2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1)</w:t>
            </w:r>
            <w:r w:rsidRPr="00970E27">
              <w:t xml:space="preserve"> </w:t>
            </w:r>
            <w:r w:rsidRPr="00970E27">
              <w:rPr>
                <w:rStyle w:val="SpecialBold"/>
              </w:rPr>
              <w:t>Scope:</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0E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1.1) Descriptor</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This unit covers troubleshoot fire protection systems that include multiple connected detection, warning and fire control devices an</w:t>
            </w:r>
            <w:r w:rsidRPr="00970E27">
              <w:t>d remote monitoring to the sub-assembly level. The unit encompasses safe working practices, interpreting circuit diagrams, applying logical fault finding procedures, conducting repairs, safety and functional testing and completing the necessary service doc</w:t>
            </w:r>
            <w:r w:rsidRPr="00970E27">
              <w:t>umentation.</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3" w:name="O_588067"/>
      <w:bookmarkEnd w:id="3"/>
      <w:r w:rsidRPr="00970E27">
        <w:t>Application of the Unit</w:t>
      </w:r>
    </w:p>
    <w:tbl>
      <w:tblPr>
        <w:tblW w:w="0" w:type="auto"/>
        <w:tblLayout w:type="fixed"/>
        <w:tblCellMar>
          <w:left w:w="62" w:type="dxa"/>
          <w:right w:w="62" w:type="dxa"/>
        </w:tblCellMar>
        <w:tblLook w:val="0000"/>
      </w:tblPr>
      <w:tblGrid>
        <w:gridCol w:w="2672"/>
        <w:gridCol w:w="5699"/>
      </w:tblGrid>
      <w:tr w:rsidTr="00CA25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2)</w:t>
            </w:r>
          </w:p>
        </w:tc>
      </w:tr>
      <w:tr w:rsidTr="00CA25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 xml:space="preserve">This unit is intended for competency development entry-level employment based programs incorporated in approved contracts of training or approved </w:t>
            </w:r>
            <w:r w:rsidRPr="00970E27">
              <w:t>training programs. It may also used to augment formally acquired competencies.</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4" w:name="O_588066"/>
      <w:bookmarkEnd w:id="4"/>
      <w:r w:rsidRPr="00970E27">
        <w:t>Licensing/Regulatory Information</w:t>
      </w:r>
    </w:p>
    <w:tbl>
      <w:tblPr>
        <w:tblW w:w="0" w:type="auto"/>
        <w:tblLayout w:type="fixed"/>
        <w:tblCellMar>
          <w:left w:w="62" w:type="dxa"/>
          <w:right w:w="62" w:type="dxa"/>
        </w:tblCellMar>
        <w:tblLook w:val="0000"/>
      </w:tblPr>
      <w:tblGrid>
        <w:gridCol w:w="2700"/>
        <w:gridCol w:w="5760"/>
      </w:tblGrid>
      <w:tr w:rsidTr="00CA2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 xml:space="preserve">3) </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The skills and knowledge described in this unit require a license to practice in the workplace subj</w:t>
            </w:r>
            <w:r w:rsidRPr="00970E27">
              <w:t>ect to regulations for undertaking of electrical work. Practice in workplace and during training is also subject to regulations directly related to occupational health and safety and where applicable contracts of training such as apprenticeships.</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5" w:name="O_588065"/>
      <w:bookmarkEnd w:id="5"/>
      <w:r w:rsidRPr="00970E27">
        <w:t>Pre-Requisites</w:t>
      </w:r>
    </w:p>
    <w:tbl>
      <w:tblPr>
        <w:tblW w:w="0" w:type="auto"/>
        <w:tblLayout w:type="fixed"/>
        <w:tblCellMar>
          <w:left w:w="62" w:type="dxa"/>
          <w:right w:w="62" w:type="dxa"/>
        </w:tblCellMar>
        <w:tblLook w:val="0000"/>
      </w:tblPr>
      <w:tblGrid>
        <w:gridCol w:w="2700"/>
        <w:gridCol w:w="1620"/>
        <w:gridCol w:w="4140"/>
      </w:tblGrid>
      <w:tr w:rsidTr="00CA2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 xml:space="preserve">4) </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4.1)</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Granting competency in this unit shall be made only after competency in the following unit(s) has/have been confirmed.</w:t>
            </w:r>
          </w:p>
        </w:tc>
      </w:tr>
      <w:tr w:rsidTr="00CA254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UEENEEE101A</w:t>
            </w:r>
          </w:p>
        </w:tc>
        <w:tc>
          <w:tcPr>
            <w:tcW w:w="414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 xml:space="preserve">Apply Occupational Health and Safety regulations, codes and practices in the workplace </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UEENEEE102A</w:t>
            </w:r>
          </w:p>
        </w:tc>
        <w:tc>
          <w:tcPr>
            <w:tcW w:w="414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Fabricate, assemble and dismantle utilities industry components</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UEENEEE105A</w:t>
            </w:r>
          </w:p>
        </w:tc>
        <w:tc>
          <w:tcPr>
            <w:tcW w:w="414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Fix and secure electrotechnology equipment</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UEENEEE107A</w:t>
            </w:r>
          </w:p>
        </w:tc>
        <w:tc>
          <w:tcPr>
            <w:tcW w:w="414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Use drawings, diagrams, schedules, standards, codes and specifications</w:t>
            </w:r>
          </w:p>
        </w:tc>
      </w:tr>
      <w:tr w:rsidTr="00CA2544">
        <w:tblPrEx>
          <w:tblW w:w="0" w:type="auto"/>
          <w:tblLayout w:type="fixed"/>
          <w:tblCellMar>
            <w:left w:w="62" w:type="dxa"/>
            <w:right w:w="62" w:type="dxa"/>
          </w:tblCellMar>
          <w:tblLook w:val="0000"/>
        </w:tblPrEx>
        <w:trPr>
          <w:trHeight w:val="75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 xml:space="preserve">UEENEEH161A </w:t>
            </w:r>
          </w:p>
        </w:tc>
        <w:tc>
          <w:tcPr>
            <w:tcW w:w="414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Install fire detection and warning system apparatus</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 xml:space="preserve">UEENEEH162A </w:t>
            </w:r>
          </w:p>
        </w:tc>
        <w:tc>
          <w:tcPr>
            <w:tcW w:w="414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Enter and verify programs for fire protection systems</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 xml:space="preserve">UEENEEH163A </w:t>
            </w:r>
          </w:p>
        </w:tc>
        <w:tc>
          <w:tcPr>
            <w:tcW w:w="414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Commission large fire protection systems</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 xml:space="preserve">UEENEEH164A </w:t>
            </w:r>
          </w:p>
        </w:tc>
        <w:tc>
          <w:tcPr>
            <w:tcW w:w="414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Troubleshoot fire protection systems</w:t>
            </w:r>
          </w:p>
        </w:tc>
      </w:tr>
    </w:tbl>
    <w:p w:rsidR="00000000" w:rsidRPr="00970E27" w:rsidP="00970E2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A254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 xml:space="preserve">4.2) </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Participants are best equipped to achieve competency in this unit if they have reading, writing and numeracy skills indicated by the following scales. Description of each scale is given in Volume 2, Part 3 ‘Literacy and Numeracy’</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Reading</w:t>
            </w:r>
          </w:p>
        </w:tc>
        <w:tc>
          <w:tcPr>
            <w:tcW w:w="81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5</w:t>
            </w:r>
          </w:p>
        </w:tc>
        <w:tc>
          <w:tcPr>
            <w:tcW w:w="99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Writing</w:t>
            </w: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5</w:t>
            </w:r>
          </w:p>
        </w:tc>
        <w:tc>
          <w:tcPr>
            <w:tcW w:w="12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Numeracy</w:t>
            </w:r>
          </w:p>
        </w:tc>
        <w:tc>
          <w:tcPr>
            <w:tcW w:w="72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5</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6" w:name="O_588064"/>
      <w:bookmarkEnd w:id="6"/>
      <w:r w:rsidRPr="00970E27">
        <w:t>Employability Skills Information</w:t>
      </w:r>
    </w:p>
    <w:tbl>
      <w:tblPr>
        <w:tblW w:w="0" w:type="auto"/>
        <w:tblLayout w:type="fixed"/>
        <w:tblCellMar>
          <w:left w:w="62" w:type="dxa"/>
          <w:right w:w="62" w:type="dxa"/>
        </w:tblCellMar>
        <w:tblLook w:val="0000"/>
      </w:tblPr>
      <w:tblGrid>
        <w:gridCol w:w="2700"/>
        <w:gridCol w:w="5760"/>
      </w:tblGrid>
      <w:tr w:rsidTr="00CA2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 xml:space="preserve">5) </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This unit contains Employability Skills</w:t>
            </w:r>
          </w:p>
          <w:p w:rsidR="00000000" w:rsidRPr="00970E27" w:rsidP="00970E27">
            <w:pPr>
              <w:pStyle w:val="BodyText"/>
            </w:pPr>
            <w:r w:rsidRPr="00970E2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70E27">
              <w:t>requirements.</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7" w:name="O_588063"/>
      <w:bookmarkEnd w:id="7"/>
      <w:r w:rsidRPr="00970E27">
        <w:t>Elements and Performance Criteria Pre-Content</w:t>
      </w:r>
    </w:p>
    <w:tbl>
      <w:tblPr>
        <w:tblW w:w="0" w:type="auto"/>
        <w:tblLayout w:type="fixed"/>
        <w:tblCellMar>
          <w:left w:w="62" w:type="dxa"/>
          <w:right w:w="62" w:type="dxa"/>
        </w:tblCellMar>
        <w:tblLook w:val="0000"/>
      </w:tblPr>
      <w:tblGrid>
        <w:gridCol w:w="2700"/>
        <w:gridCol w:w="5760"/>
      </w:tblGrid>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6)</w:t>
            </w:r>
            <w:r w:rsidRPr="00970E2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Performance Criteria describe the required performance needed to demonstrate achievement of the element. Assessment of performance is to be consistent with the Evidence Guide.</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8" w:name="O_588062"/>
      <w:bookmarkEnd w:id="8"/>
      <w:r w:rsidRPr="00970E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A254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PERFORMANCE CRITER</w:t>
            </w:r>
            <w:r w:rsidRPr="00970E27">
              <w:rPr>
                <w:rStyle w:val="SpecialBold"/>
              </w:rPr>
              <w:t>IA</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1</w:t>
            </w:r>
          </w:p>
        </w:tc>
        <w:tc>
          <w:tcPr>
            <w:tcW w:w="2296"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1.1</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OHS procedures for a given work area are identified, obtained and understood.</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1.2</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OHS risk control measures and procedures are followed in preparation for the work.</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1.3</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The likely extent of work to b</w:t>
            </w:r>
            <w:r w:rsidRPr="00970E27">
              <w:t>e undertaken is envisaged from fault/breakdown reports and/or discussions with appropriate person(s).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1.4</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Advice is sought from the work supervisor to ensure the work is co-ordinated effectively with others.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1.5</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Sources of materials that may be required for the work are established in accordance with established procedures.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1.6</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Tools, equipment and testing devices needed to locate faults are obtained in accordance with established procedures and checked for cor</w:t>
            </w:r>
            <w:r w:rsidRPr="00970E27">
              <w:t>rect operation and safety.</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w:t>
            </w:r>
          </w:p>
        </w:tc>
        <w:tc>
          <w:tcPr>
            <w:tcW w:w="2296"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Find and repair faults</w:t>
            </w: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2.1</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OHS risk control measures and procedures for carrying out the work are followed.</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2.2</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The need to test or measure live is determin</w:t>
            </w:r>
            <w:r w:rsidRPr="00970E27">
              <w:t>ed in strict accordance with OHS requirements and when necessary conducted within established safety procedures.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2.3</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Circuits/machines/plant/system interfaces are checked as being isolated where necessary in strict accordance OHS requirements and proced</w:t>
            </w:r>
            <w:r w:rsidRPr="00970E27">
              <w:t>ures.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2.4</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Safety hazards resulting from the fault or breakdown are documented and risk control measures devised and implemented in consultation with appropriate personnel.</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2.5</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Fault finding is approached methodically drawing on knowledge of fire prot</w:t>
            </w:r>
            <w:r w:rsidRPr="00970E27">
              <w:t>ection systems and components using measured values of system parameters.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2.6</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System components are dismantled where necessary and parts stored to protect them against loss or damage.</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2.7</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Faulty system/components are rechecked and their fault status and confirmed.</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2.8</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Materials/replacement parts required to rectify faults are sourced and obtained in accordance with established procedures.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2.9</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Effectiveness of the repair is tested in a</w:t>
            </w:r>
            <w:r w:rsidRPr="00970E27">
              <w:t>ccordance with established procedures.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2.10</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Apparatus is reassembled, finally tested and prepared for return to service.</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2.11</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Unexpected situations are dealt with safely and with the approval of an authorised person.</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2.12</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Fault finding and repair activities are carried out without unnecessary damage to apparatus, circuits, the surrounding environment or services and using sustainable energy practices.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3</w:t>
            </w:r>
          </w:p>
        </w:tc>
        <w:tc>
          <w:tcPr>
            <w:tcW w:w="2296"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3.1</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OHS work</w:t>
            </w:r>
            <w:r w:rsidRPr="00970E27">
              <w:t xml:space="preserve"> completion risk control measures and procedures are followed.</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3.2</w:t>
            </w:r>
          </w:p>
        </w:tc>
        <w:tc>
          <w:tcPr>
            <w:tcW w:w="48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Reusable, faulty or worn components are tagged and dispatched for repair to maintain adequate spares.</w:t>
            </w:r>
          </w:p>
        </w:tc>
      </w:tr>
      <w:tr w:rsidTr="00CA25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t>3.3</w:t>
            </w:r>
          </w:p>
        </w:tc>
        <w:tc>
          <w:tcPr>
            <w:tcW w:w="48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Fault finding and repair work activities are documented in accordance with established procedures.</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9" w:name="O_588061"/>
      <w:bookmarkEnd w:id="9"/>
      <w:r w:rsidRPr="00970E27">
        <w:t>Required Skills and Knowledge</w:t>
      </w:r>
    </w:p>
    <w:tbl>
      <w:tblPr>
        <w:tblW w:w="0" w:type="auto"/>
        <w:tblLayout w:type="fixed"/>
        <w:tblCellMar>
          <w:left w:w="62" w:type="dxa"/>
          <w:right w:w="62" w:type="dxa"/>
        </w:tblCellMar>
        <w:tblLook w:val="0000"/>
      </w:tblPr>
      <w:tblGrid>
        <w:gridCol w:w="8460"/>
      </w:tblGrid>
      <w:tr w:rsidTr="00CA25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REQUIRED SKILLS AND KNOWLEDGE</w:t>
            </w:r>
          </w:p>
        </w:tc>
      </w:tr>
      <w:tr w:rsidTr="00CA254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8)</w:t>
            </w:r>
            <w:r w:rsidRPr="00970E27">
              <w:t xml:space="preserve">  Evidence shall show that knowledge has been acquired of safe working practices and finding and repairing faults in fire protection systems.</w:t>
            </w:r>
          </w:p>
          <w:p w:rsidR="00000000" w:rsidRPr="00970E27" w:rsidP="00970E27">
            <w:pPr>
              <w:pStyle w:val="BodyText"/>
            </w:pPr>
            <w:r w:rsidRPr="00970E27">
              <w:t>All knowledge and skills detailed in this unit should be contextualised to current industry practices and technolo</w:t>
            </w:r>
            <w:r w:rsidRPr="00970E27">
              <w:t>gies.</w:t>
            </w:r>
          </w:p>
          <w:p w:rsidR="00000000" w:rsidRPr="00970E27" w:rsidP="00970E27">
            <w:pPr>
              <w:pStyle w:val="BodyText"/>
            </w:pPr>
            <w:r w:rsidRPr="00970E27">
              <w:t>Fire protection systems’ faults</w:t>
            </w:r>
          </w:p>
          <w:p w:rsidR="00000000" w:rsidRPr="00970E27" w:rsidP="00970E27">
            <w:pPr>
              <w:pStyle w:val="BodyText"/>
            </w:pPr>
            <w:r w:rsidRPr="00970E27">
              <w:t>Evidence shall show an understanding of technical fault finding to an extent indicated by the following aspects:</w:t>
            </w:r>
          </w:p>
          <w:p w:rsidR="00000000" w:rsidRPr="00970E27" w:rsidP="00970E27">
            <w:pPr>
              <w:pStyle w:val="BodyText"/>
            </w:pPr>
            <w:r w:rsidRPr="00970E27">
              <w:t>2.2.3</w:t>
            </w:r>
          </w:p>
          <w:p w:rsidR="00000000" w:rsidRPr="00970E27" w:rsidP="00970E27">
            <w:pPr>
              <w:pStyle w:val="BodyText"/>
            </w:pPr>
            <w:r w:rsidRPr="00970E27">
              <w:t>T1</w:t>
            </w:r>
            <w:r w:rsidRPr="00970E27">
              <w:tab/>
              <w:t>Factors to consider in clarifying the nature of a fault encompassing:</w:t>
            </w:r>
          </w:p>
          <w:p w:rsidR="00000000" w:rsidRPr="00970E27" w:rsidP="00970E27">
            <w:pPr>
              <w:pStyle w:val="ListBullet"/>
            </w:pPr>
            <w:r w:rsidRPr="00970E27">
              <w:t xml:space="preserve">Initial fault report </w:t>
            </w:r>
          </w:p>
          <w:p w:rsidR="00000000" w:rsidRPr="00970E27" w:rsidP="00970E27">
            <w:pPr>
              <w:pStyle w:val="ListBullet"/>
            </w:pPr>
            <w:r w:rsidRPr="00970E27">
              <w:t>Confirmation of symptoms of the fault</w:t>
            </w:r>
          </w:p>
          <w:p w:rsidR="00000000" w:rsidRPr="00970E27" w:rsidP="00970E27">
            <w:pPr>
              <w:pStyle w:val="ListBullet"/>
            </w:pPr>
            <w:r w:rsidRPr="00970E27">
              <w:t>Comparison of symptoms with normal operation</w:t>
            </w:r>
          </w:p>
          <w:p w:rsidR="00000000" w:rsidRPr="00970E27" w:rsidP="00970E27">
            <w:pPr>
              <w:pStyle w:val="BodyText"/>
            </w:pPr>
            <w:r w:rsidRPr="00970E27">
              <w:t>T2</w:t>
            </w:r>
            <w:r w:rsidRPr="00970E27">
              <w:tab/>
              <w:t>Effect to cause reasoning — assumptions of possible causes</w:t>
            </w:r>
          </w:p>
          <w:p w:rsidR="00000000" w:rsidRPr="00970E27" w:rsidP="00970E27">
            <w:pPr>
              <w:pStyle w:val="BodyText"/>
            </w:pPr>
            <w:r w:rsidRPr="00970E27">
              <w:t>T3</w:t>
            </w:r>
            <w:r w:rsidRPr="00970E27">
              <w:tab/>
              <w:t>Methods for testing assumptions encompassing:</w:t>
            </w:r>
          </w:p>
          <w:p w:rsidR="00000000" w:rsidRPr="00970E27" w:rsidP="00970E27">
            <w:pPr>
              <w:pStyle w:val="ListBullet"/>
            </w:pPr>
            <w:r w:rsidRPr="00970E27">
              <w:t>Visual inspection</w:t>
            </w:r>
          </w:p>
          <w:p w:rsidR="00000000" w:rsidRPr="00970E27" w:rsidP="00970E27">
            <w:pPr>
              <w:pStyle w:val="ListBullet"/>
            </w:pPr>
            <w:r w:rsidRPr="00970E27">
              <w:t>Sectional testing</w:t>
            </w:r>
          </w:p>
          <w:p w:rsidR="00000000" w:rsidRPr="00970E27" w:rsidP="00970E27">
            <w:pPr>
              <w:pStyle w:val="ListBullet"/>
            </w:pPr>
            <w:r w:rsidRPr="00970E27">
              <w:t>Split-half tests</w:t>
            </w:r>
          </w:p>
          <w:p w:rsidR="00000000" w:rsidRPr="00970E27" w:rsidP="00970E27">
            <w:pPr>
              <w:pStyle w:val="ListBullet"/>
            </w:pPr>
            <w:r w:rsidRPr="00970E27">
              <w:t>Componen</w:t>
            </w:r>
            <w:r w:rsidRPr="00970E27">
              <w:t>t isolation</w:t>
            </w:r>
          </w:p>
          <w:p w:rsidR="00000000" w:rsidRPr="00970E27" w:rsidP="00970E27">
            <w:pPr>
              <w:pStyle w:val="BodyText"/>
            </w:pPr>
            <w:r w:rsidRPr="00970E27">
              <w:t>T4</w:t>
            </w:r>
            <w:r w:rsidRPr="00970E27">
              <w:tab/>
              <w:t>Dealing with intermittent faults</w:t>
            </w:r>
          </w:p>
          <w:p w:rsidR="00000000" w:rsidRPr="00970E27" w:rsidP="00970E27">
            <w:pPr>
              <w:pStyle w:val="BodyText"/>
            </w:pPr>
            <w:r w:rsidRPr="00970E27">
              <w:t xml:space="preserve">Note: </w:t>
            </w:r>
          </w:p>
          <w:p w:rsidR="00000000" w:rsidRPr="00970E27" w:rsidP="00970E27">
            <w:pPr>
              <w:pStyle w:val="BodyText"/>
            </w:pPr>
            <w:r w:rsidRPr="00970E27">
              <w:t>Typical causes of intermittent faults are vibration, shock, changes in temperature and electromagnetic interference.</w:t>
            </w:r>
          </w:p>
          <w:p w:rsidR="00000000" w:rsidRPr="00970E27" w:rsidP="00970E27">
            <w:pPr>
              <w:pStyle w:val="BodyText"/>
            </w:pPr>
            <w:r w:rsidRPr="00970E27">
              <w:t>2.2.4</w:t>
            </w:r>
          </w:p>
          <w:p w:rsidR="00000000" w:rsidRPr="00970E27" w:rsidP="00970E27">
            <w:pPr>
              <w:pStyle w:val="BodyText"/>
            </w:pPr>
            <w:r w:rsidRPr="00970E27">
              <w:t>Evidence shall show an understanding of problem solving concepts and technique</w:t>
            </w:r>
            <w:r w:rsidRPr="00970E27">
              <w:t>s as they apply in the workplace, to an extent indicated by the following aspects:</w:t>
            </w:r>
          </w:p>
          <w:p w:rsidR="00000000" w:rsidRPr="00970E27" w:rsidP="00970E27">
            <w:pPr>
              <w:pStyle w:val="BodyText"/>
            </w:pPr>
            <w:r w:rsidRPr="00970E27">
              <w:t>T1</w:t>
            </w:r>
            <w:r w:rsidRPr="00970E27">
              <w:tab/>
              <w:t>Identify problems</w:t>
            </w:r>
          </w:p>
          <w:p w:rsidR="00000000" w:rsidRPr="00970E27" w:rsidP="00970E27">
            <w:pPr>
              <w:pStyle w:val="BodyText"/>
            </w:pPr>
            <w:r w:rsidRPr="00970E27">
              <w:t>Note.</w:t>
            </w:r>
          </w:p>
          <w:p w:rsidR="00000000" w:rsidRPr="00970E27" w:rsidP="00970E27">
            <w:pPr>
              <w:pStyle w:val="BodyText"/>
            </w:pPr>
            <w:r w:rsidRPr="00970E27">
              <w:t>Examples may include: Process and quality problems; Equipment selection, availability and failure; Teamwork and work allocation problems; Safety a</w:t>
            </w:r>
            <w:r w:rsidRPr="00970E27">
              <w:t>nd emergency situations and incident; Performance gaps; Profit improvement and the like.</w:t>
            </w:r>
          </w:p>
          <w:p w:rsidR="00000000" w:rsidRPr="00970E27" w:rsidP="00970E27">
            <w:pPr>
              <w:pStyle w:val="BodyText"/>
            </w:pPr>
            <w:r w:rsidRPr="00970E27">
              <w:t>T2</w:t>
            </w:r>
            <w:r w:rsidRPr="00970E27">
              <w:tab/>
              <w:t>Mathematical Tools</w:t>
            </w:r>
          </w:p>
          <w:p w:rsidR="00000000" w:rsidRPr="00970E27" w:rsidP="00970E27">
            <w:pPr>
              <w:pStyle w:val="BodyText"/>
            </w:pPr>
            <w:r w:rsidRPr="00970E27">
              <w:t>Note.</w:t>
            </w:r>
          </w:p>
          <w:p w:rsidR="00000000" w:rsidRPr="00970E27" w:rsidP="00970E27">
            <w:pPr>
              <w:pStyle w:val="BodyText"/>
            </w:pPr>
            <w:r w:rsidRPr="00970E27">
              <w:t>Examples may include: Average, Standard deviation and the like.</w:t>
            </w:r>
          </w:p>
          <w:p w:rsidR="00000000" w:rsidRPr="00970E27" w:rsidP="00970E27">
            <w:pPr>
              <w:pStyle w:val="BodyText"/>
            </w:pPr>
            <w:r w:rsidRPr="00970E27">
              <w:t>T3</w:t>
            </w:r>
            <w:r w:rsidRPr="00970E27">
              <w:tab/>
              <w:t>Use of analytical techniques in problem solving</w:t>
            </w:r>
          </w:p>
          <w:p w:rsidR="00000000" w:rsidRPr="00970E27" w:rsidP="00970E27">
            <w:pPr>
              <w:pStyle w:val="BodyText"/>
            </w:pPr>
            <w:r w:rsidRPr="00970E27">
              <w:t>Note.</w:t>
            </w:r>
          </w:p>
          <w:p w:rsidR="00000000" w:rsidRPr="00970E27" w:rsidP="00970E27">
            <w:pPr>
              <w:pStyle w:val="BodyText"/>
            </w:pPr>
            <w:r w:rsidRPr="00970E27">
              <w:t>Examples may include: Brainstorming; Fishbone diagrams/cause and effect diagrams; Logic trees; Process logic/process requirements; Similarity/difference analysis; Pareto analysis; Force field/SWOT analysis.</w:t>
            </w:r>
          </w:p>
          <w:p w:rsidR="00000000" w:rsidRPr="00970E27" w:rsidP="00970E27">
            <w:pPr>
              <w:pStyle w:val="BodyText"/>
            </w:pPr>
            <w:r w:rsidRPr="00970E27">
              <w:t>T4</w:t>
            </w:r>
            <w:r w:rsidRPr="00970E27">
              <w:tab/>
              <w:t>Using tools to assistance in problem solving</w:t>
            </w:r>
          </w:p>
          <w:p w:rsidR="00000000" w:rsidRPr="00970E27" w:rsidP="00970E27">
            <w:pPr>
              <w:pStyle w:val="BodyText"/>
            </w:pPr>
            <w:r w:rsidRPr="00970E27">
              <w:t>N</w:t>
            </w:r>
            <w:r w:rsidRPr="00970E27">
              <w:t>ote.</w:t>
            </w:r>
          </w:p>
          <w:p w:rsidR="00000000" w:rsidRPr="00970E27" w:rsidP="00970E27">
            <w:pPr>
              <w:pStyle w:val="BodyText"/>
            </w:pPr>
            <w:r w:rsidRPr="00970E27">
              <w:t>Examples may include: Procedures and work instructions; Safety data sheets; Job cards; Maintenance logs; Plant drawing.</w:t>
            </w:r>
          </w:p>
          <w:p w:rsidR="00000000" w:rsidRPr="00970E27" w:rsidP="00970E27">
            <w:pPr>
              <w:pStyle w:val="BodyText"/>
            </w:pPr>
            <w:r w:rsidRPr="00970E27">
              <w:t>T5</w:t>
            </w:r>
            <w:r w:rsidRPr="00970E27">
              <w:tab/>
              <w:t>Determine corrective action encompassing:</w:t>
            </w:r>
          </w:p>
          <w:p w:rsidR="00000000" w:rsidRPr="00970E27" w:rsidP="00970E27">
            <w:pPr>
              <w:pStyle w:val="ListBullet"/>
            </w:pPr>
            <w:r w:rsidRPr="00970E27">
              <w:t>Tools</w:t>
            </w:r>
          </w:p>
          <w:p w:rsidR="00000000" w:rsidRPr="00970E27" w:rsidP="00970E27">
            <w:pPr>
              <w:pStyle w:val="ListBullet"/>
            </w:pPr>
            <w:r w:rsidRPr="00970E27">
              <w:t>Mode of communication procedure used within each enterprise</w:t>
            </w:r>
          </w:p>
          <w:p w:rsidR="00000000" w:rsidRPr="00970E27" w:rsidP="00970E27">
            <w:pPr>
              <w:pStyle w:val="ListBullet"/>
            </w:pPr>
            <w:r w:rsidRPr="00970E27">
              <w:t>Established work pr</w:t>
            </w:r>
            <w:r w:rsidRPr="00970E27">
              <w:t>ocedures and policies</w:t>
            </w:r>
          </w:p>
          <w:p w:rsidR="00000000" w:rsidRPr="00970E27" w:rsidP="00970E27">
            <w:pPr>
              <w:pStyle w:val="ListBullet"/>
            </w:pPr>
            <w:r w:rsidRPr="00970E27">
              <w:t>Size and structure of the teams/enterprise</w:t>
            </w:r>
          </w:p>
          <w:p w:rsidR="00000000" w:rsidRPr="00970E27" w:rsidP="00970E27">
            <w:pPr>
              <w:pStyle w:val="ListBullet"/>
            </w:pPr>
            <w:r w:rsidRPr="00970E27">
              <w:t>Group goals - team, section, enterprise</w:t>
            </w:r>
          </w:p>
          <w:p w:rsidR="00000000" w:rsidRPr="00970E27" w:rsidP="00970E27">
            <w:pPr>
              <w:pStyle w:val="ListBullet"/>
            </w:pPr>
            <w:r w:rsidRPr="00970E27">
              <w:t>Enterprise specific conflict resolution procedures</w:t>
            </w:r>
          </w:p>
          <w:p w:rsidR="00000000" w:rsidRPr="00970E27" w:rsidP="00970E27">
            <w:pPr>
              <w:pStyle w:val="ListBullet"/>
            </w:pPr>
            <w:r w:rsidRPr="00970E27">
              <w:t>Action plans</w:t>
            </w:r>
          </w:p>
          <w:p w:rsidR="00000000" w:rsidRPr="00970E27" w:rsidP="00970E27">
            <w:pPr>
              <w:pStyle w:val="ListBullet"/>
            </w:pPr>
            <w:r w:rsidRPr="00970E27">
              <w:t>Priority requirements</w:t>
            </w:r>
          </w:p>
          <w:p w:rsidR="00000000" w:rsidRPr="00970E27" w:rsidP="00970E27">
            <w:pPr>
              <w:pStyle w:val="ListBullet"/>
            </w:pPr>
            <w:r w:rsidRPr="00970E27">
              <w:t>Measurable objectives</w:t>
            </w:r>
          </w:p>
          <w:p w:rsidR="00000000" w:rsidRPr="00970E27" w:rsidP="00970E27">
            <w:pPr>
              <w:pStyle w:val="ListBullet"/>
            </w:pPr>
            <w:r w:rsidRPr="00970E27">
              <w:t>Resource requirements</w:t>
            </w:r>
          </w:p>
          <w:p w:rsidR="00000000" w:rsidRPr="00970E27" w:rsidP="00970E27">
            <w:pPr>
              <w:pStyle w:val="ListBullet"/>
            </w:pPr>
            <w:r w:rsidRPr="00970E27">
              <w:t xml:space="preserve">Methods for reaching </w:t>
            </w:r>
            <w:r w:rsidRPr="00970E27">
              <w:t>objectives</w:t>
            </w:r>
          </w:p>
          <w:p w:rsidR="00000000" w:rsidRPr="00970E27" w:rsidP="00970E27">
            <w:pPr>
              <w:pStyle w:val="ListBullet"/>
            </w:pPr>
            <w:r w:rsidRPr="00970E27">
              <w:t>Timelines</w:t>
            </w:r>
          </w:p>
          <w:p w:rsidR="00000000" w:rsidRPr="00970E27" w:rsidP="00970E27">
            <w:pPr>
              <w:pStyle w:val="ListBullet"/>
            </w:pPr>
            <w:r w:rsidRPr="00970E27">
              <w:t>Safety requirements</w:t>
            </w:r>
          </w:p>
          <w:p w:rsidR="00000000" w:rsidRPr="00970E27" w:rsidP="00970E27">
            <w:pPr>
              <w:pStyle w:val="ListBullet"/>
            </w:pPr>
            <w:r w:rsidRPr="00970E27">
              <w:t>Risk assessment</w:t>
            </w:r>
          </w:p>
          <w:p w:rsidR="00000000" w:rsidRPr="00970E27" w:rsidP="00970E27">
            <w:pPr>
              <w:pStyle w:val="ListBullet"/>
            </w:pPr>
            <w:r w:rsidRPr="00970E27">
              <w:t>Environmental requirements</w:t>
            </w:r>
          </w:p>
          <w:p w:rsidR="00000000" w:rsidRPr="00970E27" w:rsidP="00970E27">
            <w:pPr>
              <w:pStyle w:val="BodyText"/>
            </w:pPr>
            <w:r w:rsidRPr="00970E27">
              <w:t>T6</w:t>
            </w:r>
            <w:r w:rsidRPr="00970E27">
              <w:tab/>
              <w:t>Communicate recommendations</w:t>
            </w:r>
          </w:p>
          <w:p w:rsidR="00000000" w:rsidRPr="00970E27" w:rsidP="00970E27">
            <w:pPr>
              <w:pStyle w:val="BodyText"/>
            </w:pPr>
            <w:r w:rsidRPr="00970E27">
              <w:t>Note.</w:t>
            </w:r>
          </w:p>
          <w:p w:rsidR="00000000" w:rsidRPr="00970E27" w:rsidP="00970E27">
            <w:pPr>
              <w:pStyle w:val="BodyText"/>
            </w:pPr>
            <w:r w:rsidRPr="00970E27">
              <w:t>Examples may include: Feedback requirements; Corrective action and analysis; Following up recommendations and the like.</w:t>
            </w:r>
          </w:p>
          <w:p w:rsidR="00000000" w:rsidRPr="00970E27" w:rsidP="00970E27">
            <w:pPr>
              <w:pStyle w:val="BodyText"/>
            </w:pPr>
            <w:r w:rsidRPr="00970E27">
              <w:t>T7</w:t>
            </w:r>
            <w:r w:rsidRPr="00970E27">
              <w:tab/>
            </w:r>
            <w:r w:rsidRPr="00970E27">
              <w:t>Implement Monitoring encompassing:</w:t>
            </w:r>
          </w:p>
          <w:p w:rsidR="00000000" w:rsidRPr="00970E27" w:rsidP="00970E27">
            <w:pPr>
              <w:pStyle w:val="ListBullet"/>
            </w:pPr>
            <w:r w:rsidRPr="00970E27">
              <w:t>Identifying components to be measured</w:t>
            </w:r>
          </w:p>
          <w:p w:rsidR="00000000" w:rsidRPr="00970E27" w:rsidP="00970E27">
            <w:pPr>
              <w:pStyle w:val="ListBullet"/>
            </w:pPr>
            <w:r w:rsidRPr="00970E27">
              <w:t>Measurement and monitoring techniques</w:t>
            </w:r>
          </w:p>
          <w:p w:rsidR="00000000" w:rsidRPr="00970E27" w:rsidP="00970E27">
            <w:pPr>
              <w:pStyle w:val="ListBullet"/>
            </w:pPr>
            <w:r w:rsidRPr="00970E27">
              <w:t>Measurement and monitoring tools</w:t>
            </w:r>
          </w:p>
          <w:p w:rsidR="00000000" w:rsidRPr="00970E27" w:rsidP="00970E27">
            <w:pPr>
              <w:pStyle w:val="BodyText"/>
            </w:pPr>
            <w:r w:rsidRPr="00970E27">
              <w:t>2.9.79</w:t>
            </w:r>
          </w:p>
          <w:p w:rsidR="00000000" w:rsidRPr="00970E27" w:rsidP="00970E27">
            <w:pPr>
              <w:pStyle w:val="BodyText"/>
            </w:pPr>
            <w:r w:rsidRPr="00970E27">
              <w:t>Evidence shall show an understanding of fire protection technologies to an extent indicated by the follo</w:t>
            </w:r>
            <w:r w:rsidRPr="00970E27">
              <w:t>wing aspects:</w:t>
            </w:r>
          </w:p>
          <w:p w:rsidR="00000000" w:rsidRPr="00970E27" w:rsidP="00970E27">
            <w:pPr>
              <w:pStyle w:val="BodyText"/>
            </w:pPr>
          </w:p>
          <w:p w:rsidR="00000000" w:rsidRPr="00970E27" w:rsidP="00970E27">
            <w:pPr>
              <w:pStyle w:val="BodyText"/>
            </w:pPr>
            <w:r w:rsidRPr="00970E27">
              <w:t>T1</w:t>
            </w:r>
            <w:r w:rsidRPr="00970E27">
              <w:tab/>
              <w:t>Life and safety concerns for fire protection.</w:t>
            </w:r>
          </w:p>
          <w:p w:rsidR="00000000" w:rsidRPr="00970E27" w:rsidP="00970E27">
            <w:pPr>
              <w:pStyle w:val="BodyText"/>
            </w:pPr>
            <w:r w:rsidRPr="00970E27">
              <w:t>T2</w:t>
            </w:r>
            <w:r w:rsidRPr="00970E27">
              <w:tab/>
              <w:t>Basic principles of combustion</w:t>
            </w:r>
          </w:p>
          <w:p w:rsidR="00000000" w:rsidRPr="00970E27" w:rsidP="00970E27">
            <w:pPr>
              <w:pStyle w:val="BodyText"/>
            </w:pPr>
            <w:r w:rsidRPr="00970E27">
              <w:t>T3</w:t>
            </w:r>
            <w:r w:rsidRPr="00970E27">
              <w:tab/>
              <w:t>Bi-products of combustion that can be detected</w:t>
            </w:r>
          </w:p>
          <w:p w:rsidR="00000000" w:rsidRPr="00970E27" w:rsidP="00970E27">
            <w:pPr>
              <w:pStyle w:val="BodyText"/>
            </w:pPr>
            <w:r w:rsidRPr="00970E27">
              <w:t>T4</w:t>
            </w:r>
            <w:r w:rsidRPr="00970E27">
              <w:tab/>
              <w:t>Basic principles of fire behaviour within and enclosure</w:t>
            </w:r>
          </w:p>
          <w:p w:rsidR="00000000" w:rsidRPr="00970E27" w:rsidP="00970E27">
            <w:pPr>
              <w:pStyle w:val="BodyText"/>
            </w:pPr>
            <w:r w:rsidRPr="00970E27">
              <w:t>T5</w:t>
            </w:r>
            <w:r w:rsidRPr="00970E27">
              <w:tab/>
              <w:t>Types of fire protection systems and the diffe</w:t>
            </w:r>
            <w:r w:rsidRPr="00970E27">
              <w:t xml:space="preserve">rence between automatic and passive systems </w:t>
            </w:r>
            <w:r w:rsidRPr="00970E27">
              <w:tab/>
              <w:t>and wet and dry systems.</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10" w:name="O_588060"/>
      <w:bookmarkEnd w:id="10"/>
      <w:r w:rsidRPr="00970E27">
        <w:t>Evidence Guide</w:t>
      </w:r>
    </w:p>
    <w:tbl>
      <w:tblPr>
        <w:tblW w:w="0" w:type="auto"/>
        <w:tblLayout w:type="fixed"/>
        <w:tblCellMar>
          <w:left w:w="62" w:type="dxa"/>
          <w:right w:w="62" w:type="dxa"/>
        </w:tblCellMar>
        <w:tblLook w:val="0000"/>
      </w:tblPr>
      <w:tblGrid>
        <w:gridCol w:w="8460"/>
      </w:tblGrid>
      <w:tr w:rsidTr="00CA25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EVIDENCE GUIDE</w:t>
            </w:r>
          </w:p>
        </w:tc>
      </w:tr>
      <w:tr w:rsidTr="00CA25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9)</w:t>
            </w:r>
            <w:r w:rsidRPr="00970E27">
              <w:t xml:space="preserve">  The evidence guide provides advice on assessment and must be read in conjunction with the Performance </w:t>
            </w:r>
            <w:r w:rsidRPr="00970E27">
              <w:t>Criteria, Required Skills and Knowledge, the Range Statement and the Assessment Guidelines for this Training Package. .</w:t>
            </w:r>
          </w:p>
          <w:p w:rsidR="00000000" w:rsidRPr="00970E27" w:rsidP="00970E27">
            <w:pPr>
              <w:pStyle w:val="BodyText"/>
            </w:pPr>
            <w:r w:rsidRPr="00970E27">
              <w:t>The Evidence Guide forms an integral part of this unit. It must be used in conjunction with all parts of the unit and performed in accor</w:t>
            </w:r>
            <w:r w:rsidRPr="00970E27">
              <w:t>dance with the Assessment Guidelines of this Training Package.</w:t>
            </w:r>
          </w:p>
          <w:p w:rsidR="00000000" w:rsidRPr="00970E27" w:rsidP="00970E27">
            <w:pPr>
              <w:pStyle w:val="BodyText"/>
            </w:pPr>
          </w:p>
        </w:tc>
      </w:tr>
    </w:tbl>
    <w:p w:rsidR="00000000" w:rsidRPr="00970E27" w:rsidP="00970E27">
      <w:pPr>
        <w:pStyle w:val="BodyText"/>
      </w:pPr>
    </w:p>
    <w:tbl>
      <w:tblPr>
        <w:tblW w:w="0" w:type="auto"/>
        <w:tblLayout w:type="fixed"/>
        <w:tblCellMar>
          <w:left w:w="62" w:type="dxa"/>
          <w:right w:w="62" w:type="dxa"/>
        </w:tblCellMar>
        <w:tblLook w:val="0000"/>
      </w:tblPr>
      <w:tblGrid>
        <w:gridCol w:w="1890"/>
        <w:gridCol w:w="6570"/>
      </w:tblGrid>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9.1)</w:t>
            </w:r>
          </w:p>
        </w:tc>
      </w:tr>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 xml:space="preserve">Longitudinal competency development approaches to assessment, such as Profiling, require data to be reliably gathered in a form that can be </w:t>
            </w:r>
            <w:r w:rsidRPr="00970E27">
              <w:t>consistently interpreted over time. This approach is best utilised in Apprenticeship programs and reduces assessment intervention. It is the Industry-preferred model for apprenticeships. However, where summative (or final) assessment is used it must includ</w:t>
            </w:r>
            <w:r w:rsidRPr="00970E27">
              <w:t>e the application of the competency in the normal work environment or, at a minimum, the application of the competency in a realistically simulated work environment. It is recognised that, in some circumstances, assessment in part or full can occur outside</w:t>
            </w:r>
            <w:r w:rsidRPr="00970E27">
              <w:t xml:space="preserve"> the workplace. However, it must be in accord with industry and regulatory policy.</w:t>
            </w:r>
          </w:p>
          <w:p w:rsidR="00000000" w:rsidRPr="00970E27" w:rsidP="00970E27">
            <w:pPr>
              <w:pStyle w:val="BodyText"/>
            </w:pPr>
            <w:r w:rsidRPr="00970E27">
              <w:t>Methods chosen for a particular assessment will be influenced by various factors. These include the extent of the assessment, the most effective locations for the assessment</w:t>
            </w:r>
            <w:r w:rsidRPr="00970E27">
              <w:t xml:space="preserve"> activities to take place, access to physical resources, additional safety measures that may be required and the critical nature of the competencies being assessed.</w:t>
            </w:r>
          </w:p>
          <w:p w:rsidR="00000000" w:rsidRPr="00970E27" w:rsidP="00970E27">
            <w:pPr>
              <w:pStyle w:val="BodyText"/>
            </w:pPr>
            <w:r w:rsidRPr="00970E27">
              <w:t>The critical safety nature of working with electricity, electrical equipment, gas or any ot</w:t>
            </w:r>
            <w:r w:rsidRPr="00970E27">
              <w:t>her hazardous substance/material carries risk in deeming a person competent. Sources of evidence need to be ‘rich’ in nature to minimise error in judgment.</w:t>
            </w:r>
          </w:p>
          <w:p w:rsidR="00000000" w:rsidRPr="00970E27" w:rsidP="00970E27">
            <w:pPr>
              <w:pStyle w:val="BodyText"/>
            </w:pPr>
            <w:r w:rsidRPr="00970E27">
              <w:t>Activities associated with normal everyday work influence decisions about how/how much the data gath</w:t>
            </w:r>
            <w:r w:rsidRPr="00970E27">
              <w:t>ered will contribute to its ‘richness’. Some skills are more critical to safety and operational requirements while the same skills may be more or less frequently practised. These points are raised for the assessors to consider when choosing an assessment m</w:t>
            </w:r>
            <w:r w:rsidRPr="00970E27">
              <w:t>ethod and developing assessment instruments. Sample assessment instruments are included for Assessors in the Assessment Guidelines of this Training Package.</w:t>
            </w:r>
          </w:p>
        </w:tc>
      </w:tr>
    </w:tbl>
    <w:p w:rsidR="00000000" w:rsidRPr="00970E27" w:rsidP="00970E27">
      <w:pPr>
        <w:pStyle w:val="BodyText"/>
      </w:pPr>
    </w:p>
    <w:tbl>
      <w:tblPr>
        <w:tblW w:w="0" w:type="auto"/>
        <w:tblLayout w:type="fixed"/>
        <w:tblCellMar>
          <w:left w:w="62" w:type="dxa"/>
          <w:right w:w="62" w:type="dxa"/>
        </w:tblCellMar>
        <w:tblLook w:val="0000"/>
      </w:tblPr>
      <w:tblGrid>
        <w:gridCol w:w="1890"/>
        <w:gridCol w:w="6570"/>
      </w:tblGrid>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9.2)</w:t>
            </w:r>
          </w:p>
        </w:tc>
      </w:tr>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Before the cr</w:t>
            </w:r>
            <w:r w:rsidRPr="00970E27">
              <w:t>itical aspects of evidence are considered all prerequisites shall be met.</w:t>
            </w:r>
          </w:p>
          <w:p w:rsidR="00000000" w:rsidRPr="00970E27" w:rsidP="00970E27">
            <w:pPr>
              <w:pStyle w:val="BodyText"/>
            </w:pPr>
            <w:r w:rsidRPr="00970E27">
              <w:t>Evidence for competence in this unit shall be considered holistically.  Each Element and associated performance criteria shall be demonstrated on at least two occasions in accordance</w:t>
            </w:r>
            <w:r w:rsidRPr="00970E27">
              <w:t xml:space="preserve"> with the ‘Assessment Guidelines – UEE11’.  Evidence shall also comprise:</w:t>
            </w:r>
          </w:p>
          <w:p w:rsidR="00000000" w:rsidRPr="00970E27" w:rsidP="00970E27">
            <w:pPr>
              <w:pStyle w:val="ListBullet"/>
            </w:pPr>
            <w:r w:rsidRPr="00970E27">
              <w:t>A representative body of work performance demonstrated within the timeframes typically expected of the discipline, work function and industrial environment. In particular this shall</w:t>
            </w:r>
            <w:r w:rsidRPr="00970E27">
              <w:t xml:space="preserve"> incorporate evidence that shows a candidate is able to:</w:t>
            </w:r>
          </w:p>
          <w:p w:rsidR="00000000" w:rsidRPr="00970E27" w:rsidP="00970E27">
            <w:pPr>
              <w:pStyle w:val="ListBullet2"/>
            </w:pPr>
            <w:r w:rsidRPr="00970E27">
              <w:t>Implement Occupational Health and Safety workplace procedures and practices, including the use of risk control measures as specified in the performance criteria and range statement</w:t>
            </w:r>
          </w:p>
          <w:p w:rsidR="00000000" w:rsidRPr="00970E27" w:rsidP="00970E27">
            <w:pPr>
              <w:pStyle w:val="ListBullet2"/>
            </w:pPr>
            <w:r w:rsidRPr="00970E27">
              <w:t>Apply sustainable energy principles and practices as specified in the performance criteria and range statement</w:t>
            </w:r>
          </w:p>
          <w:p w:rsidR="00000000" w:rsidRPr="00970E27" w:rsidP="00970E27">
            <w:pPr>
              <w:pStyle w:val="ListBullet2"/>
            </w:pPr>
            <w:r w:rsidRPr="00970E27">
              <w:t>Demonstrate an understanding of the essential knowledge and associated skills as described in this unit.  It may be required by some jurisdiction</w:t>
            </w:r>
            <w:r w:rsidRPr="00970E27">
              <w:t>s that RTOs provide a percentile graded result for the purpose of regulatory or licensing requirements.</w:t>
            </w:r>
          </w:p>
          <w:p w:rsidR="00000000" w:rsidRPr="00970E27" w:rsidP="00970E27">
            <w:pPr>
              <w:pStyle w:val="ListBullet2"/>
            </w:pPr>
            <w:r w:rsidRPr="00970E27">
              <w:t>Demonstrate an appropriate level of skills enabling employment</w:t>
            </w:r>
          </w:p>
          <w:p w:rsidR="00000000" w:rsidRPr="00970E27" w:rsidP="00970E27">
            <w:pPr>
              <w:pStyle w:val="ListBullet2"/>
            </w:pPr>
            <w:r w:rsidRPr="00970E27">
              <w:t>Conduct work observing the relevant Anti Discrimination legislation, regulations, polices</w:t>
            </w:r>
            <w:r w:rsidRPr="00970E27">
              <w:t xml:space="preserve"> and workplace procedures</w:t>
            </w:r>
          </w:p>
          <w:p w:rsidR="00000000" w:rsidRPr="00970E27" w:rsidP="00970E27">
            <w:pPr>
              <w:pStyle w:val="ListBullet"/>
            </w:pPr>
            <w:r w:rsidRPr="00970E27">
              <w:t>Demonstrated consistent performance across a representative range of contexts from the prescribed items below:</w:t>
            </w:r>
          </w:p>
          <w:p w:rsidR="00000000" w:rsidRPr="00970E27" w:rsidP="00970E27">
            <w:pPr>
              <w:pStyle w:val="ListBullet2"/>
            </w:pPr>
            <w:r w:rsidRPr="00970E27">
              <w:t>Find and repair faults in fire protection systems as described in 8) and including:</w:t>
            </w:r>
          </w:p>
          <w:p w:rsidR="00000000" w:rsidRPr="00970E27" w:rsidP="00970E27">
            <w:pPr>
              <w:pStyle w:val="ListAlpha2"/>
            </w:pPr>
            <w:r w:rsidRPr="00970E27">
              <w:t>Envisaging t</w:t>
            </w:r>
            <w:r w:rsidRPr="00970E27">
              <w:t>he likely extent of work from fault/breakdown reports and discussion with appropriate person(s).</w:t>
            </w:r>
          </w:p>
          <w:p w:rsidR="00000000" w:rsidRPr="00970E27" w:rsidP="00970E27">
            <w:pPr>
              <w:pStyle w:val="ListAlpha2"/>
            </w:pPr>
            <w:r w:rsidRPr="00970E27">
              <w:t>Using methodical fault finding techniques.</w:t>
            </w:r>
          </w:p>
          <w:p w:rsidR="00000000" w:rsidRPr="00970E27" w:rsidP="00970E27">
            <w:pPr>
              <w:pStyle w:val="ListAlpha2"/>
            </w:pPr>
            <w:r w:rsidRPr="00970E27">
              <w:t>Finding faults efficiently.</w:t>
            </w:r>
          </w:p>
          <w:p w:rsidR="00000000" w:rsidRPr="00970E27" w:rsidP="00970E27">
            <w:pPr>
              <w:pStyle w:val="ListAlpha2"/>
            </w:pPr>
            <w:r w:rsidRPr="00970E27">
              <w:t>Rectifying faults effectively.</w:t>
            </w:r>
          </w:p>
          <w:p w:rsidR="00000000" w:rsidRPr="00970E27" w:rsidP="00970E27">
            <w:pPr>
              <w:pStyle w:val="ListAlpha2"/>
            </w:pPr>
            <w:r w:rsidRPr="00970E27">
              <w:t>Completing documentation correctly.</w:t>
            </w:r>
          </w:p>
          <w:p w:rsidR="00000000" w:rsidRPr="00970E27" w:rsidP="00970E27">
            <w:pPr>
              <w:pStyle w:val="ListAlpha2"/>
            </w:pPr>
            <w:r w:rsidRPr="00970E27">
              <w:t>Dealing with unplanned events by drawing on essential knowledge and skills to provide appropriate solutions incorporated in a holistic assessment with the above listed items.</w:t>
            </w:r>
          </w:p>
          <w:p w:rsidR="00000000" w:rsidRPr="00970E27" w:rsidP="00970E27">
            <w:pPr>
              <w:pStyle w:val="BodyText"/>
            </w:pPr>
            <w:r w:rsidRPr="00970E27">
              <w:t>Note:</w:t>
            </w:r>
          </w:p>
          <w:p w:rsidR="00000000" w:rsidRPr="00970E27" w:rsidP="00970E27">
            <w:pPr>
              <w:pStyle w:val="BodyText"/>
            </w:pPr>
            <w:r w:rsidRPr="00970E27">
              <w:t>Successful completion of relevant vendor training may be used to contribute</w:t>
            </w:r>
            <w:r w:rsidRPr="00970E27">
              <w:t xml:space="preserve"> to evidence on which competency is deemed. In these cases the alignment of outcomes of vendor training with performance criteria and critical aspects of evidence shall be clearly identified.</w:t>
            </w:r>
          </w:p>
        </w:tc>
      </w:tr>
    </w:tbl>
    <w:p w:rsidR="00000000" w:rsidRPr="00970E27" w:rsidP="00970E27">
      <w:pPr>
        <w:pStyle w:val="BodyText"/>
      </w:pPr>
    </w:p>
    <w:tbl>
      <w:tblPr>
        <w:tblW w:w="0" w:type="auto"/>
        <w:tblLayout w:type="fixed"/>
        <w:tblCellMar>
          <w:left w:w="62" w:type="dxa"/>
          <w:right w:w="62" w:type="dxa"/>
        </w:tblCellMar>
        <w:tblLook w:val="0000"/>
      </w:tblPr>
      <w:tblGrid>
        <w:gridCol w:w="1890"/>
        <w:gridCol w:w="6570"/>
      </w:tblGrid>
      <w:tr w:rsidTr="00CA254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9.3)</w:t>
            </w:r>
          </w:p>
        </w:tc>
      </w:tr>
      <w:tr w:rsidTr="00CA254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This unit should be assessed as it relates to normal work practice using procedures, information and resources typical of a workplace. This should include:</w:t>
            </w:r>
          </w:p>
          <w:p w:rsidR="00000000" w:rsidRPr="00970E27" w:rsidP="00970E27">
            <w:pPr>
              <w:pStyle w:val="ListBullet"/>
            </w:pPr>
            <w:r w:rsidRPr="00970E27">
              <w:t>OHS policy and work procedures and instructions.</w:t>
            </w:r>
          </w:p>
          <w:p w:rsidR="00000000" w:rsidRPr="00970E27" w:rsidP="00970E27">
            <w:pPr>
              <w:pStyle w:val="ListBullet"/>
            </w:pPr>
            <w:r w:rsidRPr="00970E27">
              <w:t>Suitable work environment, facilities, equipment a</w:t>
            </w:r>
            <w:r w:rsidRPr="00970E27">
              <w:t>nd materials to undertake actual work as prescribed by this unit.</w:t>
            </w:r>
          </w:p>
          <w:p w:rsidR="00000000" w:rsidRPr="00970E27" w:rsidP="00970E27">
            <w:pPr>
              <w:pStyle w:val="BodyText"/>
            </w:pPr>
            <w:r w:rsidRPr="00970E27">
              <w:t>These should be part of the formal learning/assessment environment.</w:t>
            </w:r>
          </w:p>
          <w:p w:rsidR="00000000" w:rsidRPr="00970E27" w:rsidP="00970E27">
            <w:pPr>
              <w:pStyle w:val="BodyText"/>
            </w:pPr>
            <w:r w:rsidRPr="00970E27">
              <w:t>Note:</w:t>
            </w:r>
          </w:p>
          <w:p w:rsidR="00000000" w:rsidRPr="00970E27" w:rsidP="00970E27">
            <w:pPr>
              <w:pStyle w:val="BodyText"/>
            </w:pPr>
            <w:r w:rsidRPr="00970E27">
              <w:t>Where simulation is considered a suitable strategy for assessment, conditions must be authentic and as far as possib</w:t>
            </w:r>
            <w:r w:rsidRPr="00970E27">
              <w:t>le reproduce and replicate the workplace and be consistent with the approved industry simulation policy.</w:t>
            </w:r>
          </w:p>
          <w:p w:rsidR="00000000" w:rsidRPr="00970E27" w:rsidP="00970E27">
            <w:pPr>
              <w:pStyle w:val="BodyText"/>
            </w:pPr>
            <w:r w:rsidRPr="00970E27">
              <w:t>The resources used for assessment should reflect current industry practices in relation to finding and repairing faults in fire protection systems.</w:t>
            </w:r>
          </w:p>
        </w:tc>
      </w:tr>
    </w:tbl>
    <w:p w:rsidR="00000000" w:rsidRPr="00970E27" w:rsidP="00970E27">
      <w:pPr>
        <w:pStyle w:val="BodyText"/>
      </w:pPr>
    </w:p>
    <w:tbl>
      <w:tblPr>
        <w:tblW w:w="0" w:type="auto"/>
        <w:tblLayout w:type="fixed"/>
        <w:tblCellMar>
          <w:left w:w="62" w:type="dxa"/>
          <w:right w:w="62" w:type="dxa"/>
        </w:tblCellMar>
        <w:tblLook w:val="0000"/>
      </w:tblPr>
      <w:tblGrid>
        <w:gridCol w:w="1890"/>
        <w:gridCol w:w="6570"/>
      </w:tblGrid>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9.4)</w:t>
            </w:r>
          </w:p>
        </w:tc>
      </w:tr>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This unit shall be assessed by methods given in Volume 1, Part 3 ‘Assessment Guidelines’.</w:t>
            </w:r>
          </w:p>
          <w:p w:rsidR="00000000" w:rsidRPr="00970E27" w:rsidP="00970E27">
            <w:pPr>
              <w:pStyle w:val="BodyText"/>
            </w:pPr>
            <w:r w:rsidRPr="00970E27">
              <w:t>Note:</w:t>
            </w:r>
          </w:p>
          <w:p w:rsidR="00000000" w:rsidRPr="00970E27" w:rsidP="00970E27">
            <w:pPr>
              <w:pStyle w:val="BodyText"/>
            </w:pPr>
            <w:r w:rsidRPr="00970E27">
              <w:t>Competent performance with inherent safe working practices is expected in the industry to which this unit applies. This requires tha</w:t>
            </w:r>
            <w:r w:rsidRPr="00970E27">
              <w:t>t the specified essential knowledge and associated skills are assessed in a structured environment which is primarily intended for learning/assessment and incorporates all necessary equipment and facilities for learners to develop and demonstrate the essen</w:t>
            </w:r>
            <w:r w:rsidRPr="00970E27">
              <w:t>tial knowledge and skills described in this unit.</w:t>
            </w:r>
          </w:p>
        </w:tc>
      </w:tr>
    </w:tbl>
    <w:p w:rsidR="00000000" w:rsidRPr="00970E27" w:rsidP="00970E27">
      <w:pPr>
        <w:pStyle w:val="BodyText"/>
      </w:pPr>
    </w:p>
    <w:tbl>
      <w:tblPr>
        <w:tblW w:w="0" w:type="auto"/>
        <w:tblLayout w:type="fixed"/>
        <w:tblCellMar>
          <w:left w:w="62" w:type="dxa"/>
          <w:right w:w="62" w:type="dxa"/>
        </w:tblCellMar>
        <w:tblLook w:val="0000"/>
      </w:tblPr>
      <w:tblGrid>
        <w:gridCol w:w="1890"/>
        <w:gridCol w:w="6570"/>
      </w:tblGrid>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9.5)</w:t>
            </w:r>
          </w:p>
        </w:tc>
      </w:tr>
      <w:tr w:rsidTr="00CA25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There are no concurrent assessment recommendations for this unit.</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11" w:name="O_588059"/>
      <w:bookmarkEnd w:id="11"/>
      <w:r w:rsidRPr="00970E27">
        <w:t>Range Statement</w:t>
      </w:r>
    </w:p>
    <w:tbl>
      <w:tblPr>
        <w:tblW w:w="0" w:type="auto"/>
        <w:tblLayout w:type="fixed"/>
        <w:tblCellMar>
          <w:left w:w="62" w:type="dxa"/>
          <w:right w:w="62" w:type="dxa"/>
        </w:tblCellMar>
        <w:tblLook w:val="0000"/>
      </w:tblPr>
      <w:tblGrid>
        <w:gridCol w:w="8460"/>
      </w:tblGrid>
      <w:tr w:rsidTr="00CA25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RANGE STATEMENT</w:t>
            </w:r>
          </w:p>
        </w:tc>
      </w:tr>
      <w:tr w:rsidTr="00CA25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10)</w:t>
            </w:r>
            <w:r w:rsidRPr="00970E27">
              <w:t xml:space="preserve">  This unit shall be demonstrated in relation to:</w:t>
            </w:r>
          </w:p>
          <w:p w:rsidR="00000000" w:rsidRPr="00970E27" w:rsidP="00970E27">
            <w:pPr>
              <w:pStyle w:val="BodyText"/>
            </w:pPr>
            <w:r w:rsidRPr="00970E27">
              <w:tab/>
              <w:t>Both a fire alarm and warning systems that include at least the following system components:</w:t>
            </w:r>
          </w:p>
          <w:p w:rsidR="00000000" w:rsidRPr="00970E27" w:rsidP="00970E27">
            <w:pPr>
              <w:pStyle w:val="ListBullet"/>
            </w:pPr>
            <w:r w:rsidRPr="00970E27">
              <w:t>Fire alarm system with at least 50 input devices, 20 output device and 2 system interface controls</w:t>
            </w:r>
          </w:p>
          <w:p w:rsidR="00000000" w:rsidRPr="00970E27" w:rsidP="00970E27">
            <w:pPr>
              <w:pStyle w:val="ListBullet"/>
            </w:pPr>
            <w:r w:rsidRPr="00970E27">
              <w:t>Fire warning system with at least 50 speakers, 5 interface communication devices and 2 warning indicators.</w:t>
            </w:r>
          </w:p>
          <w:p w:rsidR="00000000" w:rsidRPr="00970E27" w:rsidP="00970E27">
            <w:pPr>
              <w:pStyle w:val="ListBullet"/>
            </w:pPr>
            <w:r w:rsidRPr="00970E27">
              <w:t>Voice message facilities</w:t>
            </w:r>
          </w:p>
          <w:p w:rsidR="00000000" w:rsidRPr="00970E27" w:rsidP="00970E27">
            <w:pPr>
              <w:pStyle w:val="BodyText"/>
            </w:pPr>
            <w:r w:rsidRPr="00970E27">
              <w:t>Note:</w:t>
            </w:r>
          </w:p>
          <w:p w:rsidR="00000000" w:rsidRPr="00970E27" w:rsidP="00970E27">
            <w:pPr>
              <w:pStyle w:val="BodyText"/>
            </w:pPr>
            <w:r w:rsidRPr="00970E27">
              <w:t>1. Input devices can be conventional, analogue or analogue addressable fire detectors, flow switch connections or swit</w:t>
            </w:r>
            <w:r w:rsidRPr="00970E27">
              <w:t>ch connections and the like.</w:t>
            </w:r>
          </w:p>
          <w:p w:rsidR="00000000" w:rsidRPr="00970E27" w:rsidP="00970E27">
            <w:pPr>
              <w:pStyle w:val="BodyText"/>
            </w:pPr>
            <w:r w:rsidRPr="00970E27">
              <w:t>2. Output devices can be shutdown signal, door or system release controls, solenoid valve controls and the like.</w:t>
            </w:r>
          </w:p>
          <w:p w:rsidR="00000000" w:rsidRPr="00970E27" w:rsidP="00970E27">
            <w:pPr>
              <w:pStyle w:val="BodyText"/>
            </w:pPr>
            <w:r w:rsidRPr="00970E27">
              <w:t>3. System interface controls can be communication signals to remote control and indicating equipment, Building mon</w:t>
            </w:r>
            <w:r w:rsidRPr="00970E27">
              <w:t>itoring systems, paging system, colour graphics and or the like.</w:t>
            </w:r>
          </w:p>
          <w:p w:rsidR="00000000" w:rsidRPr="00970E27" w:rsidP="00970E27">
            <w:pPr>
              <w:pStyle w:val="BodyText"/>
            </w:pPr>
            <w:r w:rsidRPr="00970E27">
              <w:t>4. Interface communication devices can be Warden In communication phones, Remote PA inputs and the like.</w:t>
            </w:r>
          </w:p>
          <w:p w:rsidR="00000000" w:rsidRPr="00970E27" w:rsidP="00970E27">
            <w:pPr>
              <w:pStyle w:val="BodyText"/>
            </w:pPr>
            <w:r w:rsidRPr="00970E27">
              <w:t>5. Warning indicators are flashing lights for hearing impaired persons, fire brigade b</w:t>
            </w:r>
            <w:r w:rsidRPr="00970E27">
              <w:t>uilding indication and the like.</w:t>
            </w:r>
          </w:p>
          <w:p w:rsidR="00000000" w:rsidRPr="00970E27" w:rsidP="00970E27">
            <w:pPr>
              <w:pStyle w:val="BodyText"/>
            </w:pPr>
            <w:r w:rsidRPr="00970E27">
              <w:t>Finding and repairing any six of the following faults in fire alarm and warning systems:</w:t>
            </w:r>
          </w:p>
          <w:p w:rsidR="00000000" w:rsidRPr="00970E27" w:rsidP="00970E27">
            <w:pPr>
              <w:pStyle w:val="ListBullet"/>
            </w:pPr>
            <w:r w:rsidRPr="00970E27">
              <w:t xml:space="preserve">Open-circuit </w:t>
            </w:r>
          </w:p>
          <w:p w:rsidR="00000000" w:rsidRPr="00970E27" w:rsidP="00970E27">
            <w:pPr>
              <w:pStyle w:val="ListBullet"/>
            </w:pPr>
            <w:r w:rsidRPr="00970E27">
              <w:t xml:space="preserve">Short-circuit </w:t>
            </w:r>
          </w:p>
          <w:p w:rsidR="00000000" w:rsidRPr="00970E27" w:rsidP="00970E27">
            <w:pPr>
              <w:pStyle w:val="ListBullet"/>
            </w:pPr>
            <w:r w:rsidRPr="00970E27">
              <w:t>Incorrect connections</w:t>
            </w:r>
          </w:p>
          <w:p w:rsidR="00000000" w:rsidRPr="00970E27" w:rsidP="00970E27">
            <w:pPr>
              <w:pStyle w:val="ListBullet"/>
            </w:pPr>
            <w:r w:rsidRPr="00970E27">
              <w:t>Insulation failure</w:t>
            </w:r>
          </w:p>
          <w:p w:rsidR="00000000" w:rsidRPr="00970E27" w:rsidP="00970E27">
            <w:pPr>
              <w:pStyle w:val="ListBullet"/>
            </w:pPr>
            <w:r w:rsidRPr="00970E27">
              <w:t>Program failure</w:t>
            </w:r>
          </w:p>
          <w:p w:rsidR="00000000" w:rsidRPr="00970E27" w:rsidP="00970E27">
            <w:pPr>
              <w:pStyle w:val="ListBullet"/>
            </w:pPr>
            <w:r w:rsidRPr="00970E27">
              <w:t>Apparatus/component failure</w:t>
            </w:r>
          </w:p>
          <w:p w:rsidR="00000000" w:rsidRPr="00970E27" w:rsidP="00970E27">
            <w:pPr>
              <w:pStyle w:val="ListBullet"/>
            </w:pPr>
            <w:r w:rsidRPr="00970E27">
              <w:t xml:space="preserve">Related mechanical </w:t>
            </w:r>
            <w:r w:rsidRPr="00970E27">
              <w:t>failure</w:t>
            </w:r>
          </w:p>
          <w:p w:rsidR="00000000" w:rsidRPr="00970E27" w:rsidP="00970E27">
            <w:pPr>
              <w:pStyle w:val="ListBullet"/>
            </w:pPr>
            <w:r w:rsidRPr="00970E27">
              <w:t>Electrical induced interference</w:t>
            </w:r>
          </w:p>
          <w:p w:rsidR="00000000" w:rsidRPr="00970E27" w:rsidP="00970E27">
            <w:pPr>
              <w:pStyle w:val="ListBullet"/>
            </w:pPr>
          </w:p>
          <w:p w:rsidR="00000000" w:rsidRPr="00970E27" w:rsidP="00970E27">
            <w:pPr>
              <w:pStyle w:val="ListBullet"/>
            </w:pPr>
            <w:r w:rsidRPr="00970E27">
              <w:t xml:space="preserve">Generic terms used throughout this Vocational Standard shall be regarded as part of the Range Statement in which competency is demonstrated. The definition of these and other terms that apply are given in Volume 2, </w:t>
            </w:r>
            <w:r w:rsidRPr="00970E27">
              <w:t>Part 2.1.</w:t>
            </w:r>
          </w:p>
        </w:tc>
      </w:tr>
    </w:tbl>
    <w:p w:rsidR="00000000" w:rsidRPr="00970E27" w:rsidP="00970E27">
      <w:pPr>
        <w:pStyle w:val="BodyText"/>
      </w:pPr>
    </w:p>
    <w:p w:rsidR="00000000" w:rsidRPr="00970E27" w:rsidP="00970E27">
      <w:pPr>
        <w:pStyle w:val="AllowPageBreak"/>
      </w:pPr>
    </w:p>
    <w:p w:rsidR="00000000" w:rsidRPr="00970E27" w:rsidP="00970E27">
      <w:pPr>
        <w:pStyle w:val="Heading1"/>
      </w:pPr>
      <w:bookmarkStart w:id="12" w:name="O_588058"/>
      <w:bookmarkEnd w:id="12"/>
      <w:r w:rsidRPr="00970E27">
        <w:t>Unit Sector(s)</w:t>
      </w:r>
    </w:p>
    <w:p w:rsidR="00000000" w:rsidRPr="00970E27" w:rsidP="00970E27">
      <w:pPr>
        <w:pStyle w:val="BodyText"/>
      </w:pPr>
      <w:r w:rsidRPr="00970E27">
        <w:t>Not applicable.</w:t>
      </w:r>
    </w:p>
    <w:p w:rsidR="00000000" w:rsidRPr="00970E27" w:rsidP="00970E27">
      <w:pPr>
        <w:pStyle w:val="AllowPageBreak"/>
      </w:pPr>
    </w:p>
    <w:p w:rsidR="00000000" w:rsidRPr="00970E27" w:rsidP="00970E27">
      <w:pPr>
        <w:pStyle w:val="Heading1"/>
      </w:pPr>
      <w:bookmarkStart w:id="13" w:name="O_588057"/>
      <w:bookmarkEnd w:id="13"/>
      <w:r w:rsidRPr="00970E27">
        <w:t>Competency Field</w:t>
      </w:r>
    </w:p>
    <w:tbl>
      <w:tblPr>
        <w:tblW w:w="0" w:type="auto"/>
        <w:tblLayout w:type="fixed"/>
        <w:tblCellMar>
          <w:left w:w="62" w:type="dxa"/>
          <w:right w:w="62" w:type="dxa"/>
        </w:tblCellMar>
        <w:tblLook w:val="0000"/>
      </w:tblPr>
      <w:tblGrid>
        <w:gridCol w:w="2700"/>
        <w:gridCol w:w="5760"/>
      </w:tblGrid>
      <w:tr w:rsidTr="00CA25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0E27">
            <w:pPr>
              <w:pStyle w:val="BodyText"/>
              <w:rPr>
                <w:lang w:val="en-NZ"/>
              </w:rPr>
            </w:pPr>
            <w:r w:rsidRPr="00970E27">
              <w:rPr>
                <w:rStyle w:val="SpecialBold"/>
              </w:rPr>
              <w:t xml:space="preserve">11) </w:t>
            </w:r>
          </w:p>
        </w:tc>
      </w:tr>
      <w:tr w:rsidTr="00CA25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0E27" w:rsidP="00970E27">
            <w:pPr>
              <w:pStyle w:val="BodyText"/>
            </w:pPr>
            <w:r w:rsidRPr="00970E27">
              <w:t>Electronics</w:t>
            </w:r>
          </w:p>
        </w:tc>
      </w:tr>
    </w:tbl>
    <w:p w:rsidR="00000000" w:rsidRPr="00970E27" w:rsidP="00970E27">
      <w:pPr>
        <w:pStyle w:val="BodyText"/>
      </w:pPr>
    </w:p>
    <w:p w:rsidR="00000000" w:rsidRPr="00970E27" w:rsidP="00970E27"/>
    <w:sectPr w:rsidSect="00970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7" w:rsidRPr="00CA2544" w:rsidP="00CA2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44" w:rsidP="00970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A2544" w:rsidP="00970E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A2544" w:rsidP="00970E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7" w:rsidRPr="00CA2544" w:rsidP="00CA25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44" w:rsidRPr="002D2AF8" w:rsidP="00970E27">
    <w:pPr>
      <w:pStyle w:val="Header"/>
      <w:framePr w:wrap="around"/>
    </w:pPr>
    <w:r>
      <w:fldChar w:fldCharType="begin"/>
    </w:r>
    <w:r>
      <w:instrText xml:space="preserve"> TITLE   \* MERGEFORMAT </w:instrText>
    </w:r>
    <w:r>
      <w:fldChar w:fldCharType="separate"/>
    </w:r>
    <w:r>
      <w:t>UEENEEH165A Troubleshoot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A2544" w:rsidP="00970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C0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601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E4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EC3651A"/>
    <w:multiLevelType w:val="multilevel"/>
    <w:tmpl w:val="B5E24B3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E27"/>
    <w:pPr>
      <w:spacing w:before="360" w:after="60"/>
      <w:outlineLvl w:val="0"/>
    </w:pPr>
    <w:rPr>
      <w:sz w:val="32"/>
    </w:rPr>
  </w:style>
  <w:style w:type="paragraph" w:styleId="Heading2">
    <w:name w:val="heading 2"/>
    <w:basedOn w:val="HeadingBase"/>
    <w:next w:val="BodyText"/>
    <w:link w:val="Heading2Char"/>
    <w:qFormat/>
    <w:rsid w:val="00970E27"/>
    <w:pPr>
      <w:keepLines/>
      <w:spacing w:before="240" w:after="120"/>
      <w:outlineLvl w:val="1"/>
    </w:pPr>
    <w:rPr>
      <w:sz w:val="28"/>
      <w:szCs w:val="40"/>
    </w:rPr>
  </w:style>
  <w:style w:type="paragraph" w:styleId="Heading3">
    <w:name w:val="heading 3"/>
    <w:basedOn w:val="HeadingBase"/>
    <w:next w:val="BodyText"/>
    <w:link w:val="Heading3Char"/>
    <w:qFormat/>
    <w:rsid w:val="00970E27"/>
    <w:pPr>
      <w:spacing w:before="180" w:after="120"/>
      <w:outlineLvl w:val="2"/>
    </w:pPr>
    <w:rPr>
      <w:spacing w:val="-10"/>
      <w:kern w:val="32"/>
    </w:rPr>
  </w:style>
  <w:style w:type="paragraph" w:styleId="Heading4">
    <w:name w:val="heading 4"/>
    <w:basedOn w:val="HeadingBase"/>
    <w:next w:val="BodyText"/>
    <w:link w:val="Heading4Char"/>
    <w:qFormat/>
    <w:rsid w:val="00970E27"/>
    <w:pPr>
      <w:spacing w:before="160" w:after="120"/>
      <w:outlineLvl w:val="3"/>
    </w:pPr>
    <w:rPr>
      <w:sz w:val="22"/>
    </w:rPr>
  </w:style>
  <w:style w:type="paragraph" w:styleId="Heading5">
    <w:name w:val="heading 5"/>
    <w:basedOn w:val="HeadingBase"/>
    <w:next w:val="Normal"/>
    <w:link w:val="Heading5Char"/>
    <w:qFormat/>
    <w:rsid w:val="00970E27"/>
    <w:pPr>
      <w:spacing w:before="80"/>
      <w:outlineLvl w:val="4"/>
    </w:pPr>
    <w:rPr>
      <w:color w:val="918585"/>
      <w:sz w:val="20"/>
    </w:rPr>
  </w:style>
  <w:style w:type="paragraph" w:styleId="Heading6">
    <w:name w:val="heading 6"/>
    <w:basedOn w:val="HeadingBase"/>
    <w:next w:val="Normal"/>
    <w:link w:val="Heading6Char"/>
    <w:qFormat/>
    <w:rsid w:val="00970E27"/>
    <w:pPr>
      <w:spacing w:before="60"/>
      <w:outlineLvl w:val="5"/>
    </w:pPr>
    <w:rPr>
      <w:color w:val="918585"/>
      <w:sz w:val="20"/>
    </w:rPr>
  </w:style>
  <w:style w:type="paragraph" w:styleId="Heading7">
    <w:name w:val="heading 7"/>
    <w:basedOn w:val="Normal"/>
    <w:next w:val="Normal"/>
    <w:link w:val="Heading7Char"/>
    <w:qFormat/>
    <w:rsid w:val="00970E27"/>
    <w:pPr>
      <w:ind w:left="720"/>
      <w:outlineLvl w:val="6"/>
    </w:pPr>
    <w:rPr>
      <w:i/>
    </w:rPr>
  </w:style>
  <w:style w:type="paragraph" w:styleId="Heading8">
    <w:name w:val="heading 8"/>
    <w:basedOn w:val="Normal"/>
    <w:next w:val="Normal"/>
    <w:link w:val="Heading8Char"/>
    <w:qFormat/>
    <w:rsid w:val="00970E27"/>
    <w:pPr>
      <w:ind w:left="720"/>
      <w:outlineLvl w:val="7"/>
    </w:pPr>
    <w:rPr>
      <w:i/>
    </w:rPr>
  </w:style>
  <w:style w:type="paragraph" w:styleId="Heading9">
    <w:name w:val="heading 9"/>
    <w:basedOn w:val="Normal"/>
    <w:next w:val="Normal"/>
    <w:link w:val="Heading9Char"/>
    <w:qFormat/>
    <w:rsid w:val="00970E27"/>
    <w:pPr>
      <w:ind w:left="720"/>
      <w:outlineLvl w:val="8"/>
    </w:pPr>
    <w:rPr>
      <w:i/>
    </w:rPr>
  </w:style>
  <w:style w:type="character" w:default="1" w:styleId="DefaultParagraphFont">
    <w:name w:val="Default Paragraph Font"/>
    <w:uiPriority w:val="1"/>
    <w:unhideWhenUsed/>
    <w:rsid w:val="00970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E27"/>
  </w:style>
  <w:style w:type="character" w:customStyle="1" w:styleId="Heading1Char">
    <w:name w:val="Heading 1 Char"/>
    <w:basedOn w:val="DefaultParagraphFont"/>
    <w:link w:val="Heading1"/>
    <w:rsid w:val="00970E27"/>
    <w:rPr>
      <w:rFonts w:ascii="Times New Roman" w:eastAsia="Times New Roman" w:hAnsi="Times New Roman" w:cs="Times New Roman"/>
      <w:b/>
      <w:sz w:val="32"/>
      <w:szCs w:val="20"/>
      <w:lang w:eastAsia="en-US"/>
    </w:rPr>
  </w:style>
  <w:style w:type="paragraph" w:styleId="BodyText">
    <w:name w:val="Body Text"/>
    <w:basedOn w:val="Normal"/>
    <w:link w:val="BodyTextChar"/>
    <w:rsid w:val="00970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E27"/>
    <w:rPr>
      <w:rFonts w:ascii="Times New Roman" w:eastAsia="Times New Roman" w:hAnsi="Times New Roman" w:cs="Times New Roman"/>
      <w:sz w:val="24"/>
      <w:lang w:eastAsia="en-US"/>
    </w:rPr>
  </w:style>
  <w:style w:type="paragraph" w:styleId="ListBullet">
    <w:name w:val="List Bullet"/>
    <w:basedOn w:val="List"/>
    <w:rsid w:val="00970E27"/>
    <w:pPr>
      <w:numPr>
        <w:numId w:val="13"/>
      </w:numPr>
      <w:tabs>
        <w:tab w:val="clear" w:pos="340"/>
      </w:tabs>
      <w:spacing w:before="40" w:after="40"/>
    </w:pPr>
  </w:style>
  <w:style w:type="character" w:customStyle="1" w:styleId="SpecialBold">
    <w:name w:val="Special Bold"/>
    <w:basedOn w:val="DefaultParagraphFont"/>
    <w:rsid w:val="00970E27"/>
    <w:rPr>
      <w:b/>
      <w:spacing w:val="0"/>
    </w:rPr>
  </w:style>
  <w:style w:type="paragraph" w:styleId="ListBullet2">
    <w:name w:val="List Bullet 2"/>
    <w:basedOn w:val="List2"/>
    <w:rsid w:val="00970E27"/>
    <w:pPr>
      <w:numPr>
        <w:numId w:val="14"/>
      </w:numPr>
      <w:tabs>
        <w:tab w:val="clear" w:pos="680"/>
      </w:tabs>
    </w:pPr>
  </w:style>
  <w:style w:type="paragraph" w:customStyle="1" w:styleId="SuperHeading">
    <w:name w:val="SuperHeading"/>
    <w:basedOn w:val="Normal"/>
    <w:rsid w:val="00970E27"/>
    <w:pPr>
      <w:spacing w:before="240" w:after="120"/>
      <w:outlineLvl w:val="0"/>
    </w:pPr>
    <w:rPr>
      <w:rFonts w:ascii="Times New Roman" w:hAnsi="Times New Roman"/>
      <w:b/>
      <w:sz w:val="32"/>
    </w:rPr>
  </w:style>
  <w:style w:type="paragraph" w:customStyle="1" w:styleId="AllowPageBreak">
    <w:name w:val="AllowPageBreak"/>
    <w:rsid w:val="00970E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970E27"/>
    <w:pPr>
      <w:numPr>
        <w:numId w:val="8"/>
      </w:numPr>
    </w:pPr>
  </w:style>
  <w:style w:type="character" w:customStyle="1" w:styleId="Heading2Char">
    <w:name w:val="Heading 2 Char"/>
    <w:basedOn w:val="DefaultParagraphFont"/>
    <w:link w:val="Heading2"/>
    <w:rsid w:val="00970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E27"/>
    <w:rPr>
      <w:rFonts w:ascii="Courier New" w:eastAsia="Times New Roman" w:hAnsi="Courier New" w:cs="Times New Roman"/>
      <w:i/>
      <w:szCs w:val="20"/>
      <w:lang w:eastAsia="en-US"/>
    </w:rPr>
  </w:style>
  <w:style w:type="paragraph" w:customStyle="1" w:styleId="HeadingBase">
    <w:name w:val="Heading Base"/>
    <w:rsid w:val="00970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E27"/>
    <w:pPr>
      <w:tabs>
        <w:tab w:val="right" w:leader="dot" w:pos="9072"/>
      </w:tabs>
      <w:ind w:left="567"/>
    </w:pPr>
    <w:rPr>
      <w:szCs w:val="22"/>
    </w:rPr>
  </w:style>
  <w:style w:type="paragraph" w:customStyle="1" w:styleId="TOCBase">
    <w:name w:val="TOC Base"/>
    <w:rsid w:val="00970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E27"/>
    <w:pPr>
      <w:tabs>
        <w:tab w:val="right" w:leader="dot" w:pos="9072"/>
      </w:tabs>
      <w:spacing w:before="40" w:after="40"/>
      <w:ind w:left="284"/>
    </w:pPr>
    <w:rPr>
      <w:rFonts w:ascii="Times New Roman" w:hAnsi="Times New Roman"/>
    </w:rPr>
  </w:style>
  <w:style w:type="paragraph" w:styleId="TOC1">
    <w:name w:val="toc 1"/>
    <w:basedOn w:val="TOCBase"/>
    <w:next w:val="Normal"/>
    <w:rsid w:val="00970E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E27"/>
    <w:rPr>
      <w:rFonts w:ascii="Times New Roman" w:eastAsia="Times New Roman" w:hAnsi="Times New Roman" w:cs="Times New Roman"/>
      <w:sz w:val="16"/>
      <w:lang w:eastAsia="en-US"/>
    </w:rPr>
  </w:style>
  <w:style w:type="paragraph" w:styleId="Title">
    <w:name w:val="Title"/>
    <w:basedOn w:val="HeadingBase"/>
    <w:link w:val="TitleChar"/>
    <w:qFormat/>
    <w:rsid w:val="00970E27"/>
    <w:pPr>
      <w:spacing w:before="5040"/>
      <w:jc w:val="center"/>
    </w:pPr>
    <w:rPr>
      <w:sz w:val="48"/>
      <w:szCs w:val="72"/>
      <w:lang w:val="en-US"/>
    </w:rPr>
  </w:style>
  <w:style w:type="character" w:customStyle="1" w:styleId="TitleChar">
    <w:name w:val="Title Char"/>
    <w:basedOn w:val="DefaultParagraphFont"/>
    <w:link w:val="Title"/>
    <w:rsid w:val="00970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E27"/>
    <w:pPr>
      <w:tabs>
        <w:tab w:val="left" w:pos="3600"/>
        <w:tab w:val="left" w:pos="3958"/>
      </w:tabs>
    </w:pPr>
  </w:style>
  <w:style w:type="paragraph" w:styleId="List">
    <w:name w:val="List"/>
    <w:basedOn w:val="BodyText"/>
    <w:next w:val="BodyText"/>
    <w:rsid w:val="00970E27"/>
    <w:pPr>
      <w:tabs>
        <w:tab w:val="left" w:pos="340"/>
      </w:tabs>
      <w:spacing w:before="60" w:after="60"/>
      <w:ind w:left="340" w:hanging="340"/>
    </w:pPr>
  </w:style>
  <w:style w:type="paragraph" w:customStyle="1" w:styleId="Note">
    <w:name w:val="Note"/>
    <w:basedOn w:val="BodyText"/>
    <w:rsid w:val="00970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E27"/>
    <w:pPr>
      <w:framePr w:wrap="auto" w:hAnchor="text" w:y="6049"/>
    </w:pPr>
    <w:rPr>
      <w:color w:val="000000"/>
      <w:sz w:val="40"/>
    </w:rPr>
  </w:style>
  <w:style w:type="paragraph" w:customStyle="1" w:styleId="TOCTitle">
    <w:name w:val="TOCTitle"/>
    <w:basedOn w:val="Heading1"/>
    <w:rsid w:val="00970E27"/>
    <w:pPr>
      <w:spacing w:after="240"/>
      <w:jc w:val="center"/>
      <w:outlineLvl w:val="9"/>
    </w:pPr>
    <w:rPr>
      <w:caps/>
    </w:rPr>
  </w:style>
  <w:style w:type="paragraph" w:customStyle="1" w:styleId="Version">
    <w:name w:val="Version"/>
    <w:rsid w:val="00970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E27"/>
    <w:pPr>
      <w:keepNext w:val="0"/>
      <w:tabs>
        <w:tab w:val="right" w:pos="4176"/>
      </w:tabs>
      <w:ind w:left="198" w:hanging="198"/>
    </w:pPr>
    <w:rPr>
      <w:rFonts w:ascii="Garamond" w:hAnsi="Garamond"/>
    </w:rPr>
  </w:style>
  <w:style w:type="paragraph" w:styleId="IndexHeading">
    <w:name w:val="index heading"/>
    <w:basedOn w:val="Normal"/>
    <w:next w:val="Index1"/>
    <w:semiHidden/>
    <w:rsid w:val="00970E27"/>
    <w:pPr>
      <w:spacing w:before="120" w:after="120"/>
    </w:pPr>
    <w:rPr>
      <w:rFonts w:ascii="Arial" w:hAnsi="Arial"/>
      <w:b/>
      <w:color w:val="918585"/>
      <w:sz w:val="24"/>
    </w:rPr>
  </w:style>
  <w:style w:type="paragraph" w:styleId="Header">
    <w:name w:val="header"/>
    <w:basedOn w:val="Normal"/>
    <w:link w:val="HeaderChar"/>
    <w:rsid w:val="00970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E27"/>
    <w:rPr>
      <w:rFonts w:ascii="Times New Roman" w:eastAsia="Times New Roman" w:hAnsi="Times New Roman" w:cs="Times New Roman"/>
      <w:sz w:val="16"/>
      <w:szCs w:val="20"/>
      <w:lang w:val="en-GB" w:eastAsia="en-US"/>
    </w:rPr>
  </w:style>
  <w:style w:type="paragraph" w:customStyle="1" w:styleId="Chapter">
    <w:name w:val="Chapter"/>
    <w:basedOn w:val="Normal"/>
    <w:rsid w:val="00970E27"/>
    <w:pPr>
      <w:spacing w:before="240"/>
    </w:pPr>
    <w:rPr>
      <w:rFonts w:ascii="Times New Roman" w:hAnsi="Times New Roman"/>
      <w:smallCaps/>
      <w:spacing w:val="80"/>
      <w:sz w:val="28"/>
    </w:rPr>
  </w:style>
  <w:style w:type="paragraph" w:customStyle="1" w:styleId="InChapter">
    <w:name w:val="InChapter"/>
    <w:basedOn w:val="Heading3"/>
    <w:rsid w:val="00970E27"/>
    <w:pPr>
      <w:spacing w:after="240"/>
      <w:outlineLvl w:val="9"/>
    </w:pPr>
    <w:rPr>
      <w:noProof/>
    </w:rPr>
  </w:style>
  <w:style w:type="paragraph" w:styleId="Index2">
    <w:name w:val="index 2"/>
    <w:basedOn w:val="Normal"/>
    <w:next w:val="Normal"/>
    <w:semiHidden/>
    <w:rsid w:val="00970E27"/>
    <w:pPr>
      <w:tabs>
        <w:tab w:val="right" w:pos="4176"/>
      </w:tabs>
      <w:ind w:left="568" w:hanging="284"/>
    </w:pPr>
    <w:rPr>
      <w:rFonts w:ascii="Garamond" w:hAnsi="Garamond"/>
    </w:rPr>
  </w:style>
  <w:style w:type="paragraph" w:customStyle="1" w:styleId="Byline">
    <w:name w:val="Byline"/>
    <w:rsid w:val="00970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E27"/>
    <w:pPr>
      <w:tabs>
        <w:tab w:val="clear" w:pos="3600"/>
        <w:tab w:val="clear" w:pos="3958"/>
      </w:tabs>
      <w:jc w:val="right"/>
    </w:pPr>
  </w:style>
  <w:style w:type="character" w:styleId="Emphasis">
    <w:name w:val="Emphasis"/>
    <w:basedOn w:val="DefaultParagraphFont"/>
    <w:qFormat/>
    <w:rsid w:val="00970E27"/>
    <w:rPr>
      <w:i/>
    </w:rPr>
  </w:style>
  <w:style w:type="paragraph" w:styleId="Caption">
    <w:name w:val="caption"/>
    <w:basedOn w:val="BodyText"/>
    <w:next w:val="Normal"/>
    <w:qFormat/>
    <w:rsid w:val="00970E27"/>
    <w:pPr>
      <w:framePr w:w="2268" w:hSpace="181" w:vSpace="181" w:wrap="around" w:vAnchor="text" w:hAnchor="page" w:x="1135" w:y="285" w:anchorLock="1"/>
    </w:pPr>
    <w:rPr>
      <w:i/>
    </w:rPr>
  </w:style>
  <w:style w:type="paragraph" w:customStyle="1" w:styleId="MiniTOCTitle">
    <w:name w:val="MiniTOCTitle"/>
    <w:basedOn w:val="Heading4"/>
    <w:rsid w:val="00970E27"/>
    <w:pPr>
      <w:spacing w:before="240"/>
      <w:outlineLvl w:val="9"/>
    </w:pPr>
    <w:rPr>
      <w:noProof/>
      <w:sz w:val="24"/>
    </w:rPr>
  </w:style>
  <w:style w:type="paragraph" w:customStyle="1" w:styleId="MiniTOCItem">
    <w:name w:val="MiniTOCItem"/>
    <w:basedOn w:val="ListBullet"/>
    <w:rsid w:val="00970E27"/>
    <w:pPr>
      <w:numPr>
        <w:numId w:val="0"/>
      </w:numPr>
      <w:tabs>
        <w:tab w:val="right" w:leader="dot" w:pos="6521"/>
      </w:tabs>
      <w:spacing w:before="0" w:after="0"/>
    </w:pPr>
  </w:style>
  <w:style w:type="paragraph" w:customStyle="1" w:styleId="TOFTitle">
    <w:name w:val="TOFTitle"/>
    <w:basedOn w:val="TOCTitle"/>
    <w:rsid w:val="00970E27"/>
  </w:style>
  <w:style w:type="paragraph" w:styleId="TableofFigures">
    <w:name w:val="table of figures"/>
    <w:basedOn w:val="Normal"/>
    <w:next w:val="Normal"/>
    <w:semiHidden/>
    <w:rsid w:val="00970E27"/>
    <w:pPr>
      <w:tabs>
        <w:tab w:val="right" w:leader="dot" w:pos="9072"/>
      </w:tabs>
      <w:ind w:left="970" w:hanging="403"/>
    </w:pPr>
    <w:rPr>
      <w:rFonts w:ascii="Times New Roman" w:hAnsi="Times New Roman"/>
      <w:b/>
    </w:rPr>
  </w:style>
  <w:style w:type="paragraph" w:styleId="ListNumber">
    <w:name w:val="List Number"/>
    <w:basedOn w:val="List"/>
    <w:rsid w:val="00970E27"/>
    <w:pPr>
      <w:numPr>
        <w:numId w:val="11"/>
      </w:numPr>
    </w:pPr>
  </w:style>
  <w:style w:type="character" w:customStyle="1" w:styleId="WingdingSymbols">
    <w:name w:val="Wingding Symbols"/>
    <w:rsid w:val="00970E27"/>
    <w:rPr>
      <w:rFonts w:ascii="Wingdings" w:hAnsi="Wingdings"/>
    </w:rPr>
  </w:style>
  <w:style w:type="paragraph" w:customStyle="1" w:styleId="TableHeading">
    <w:name w:val="Table Heading"/>
    <w:basedOn w:val="HeadingBase"/>
    <w:rsid w:val="00970E27"/>
    <w:pPr>
      <w:keepLines/>
      <w:pBdr>
        <w:bottom w:val="single" w:sz="6" w:space="1" w:color="918585"/>
      </w:pBdr>
      <w:spacing w:before="240"/>
    </w:pPr>
  </w:style>
  <w:style w:type="character" w:customStyle="1" w:styleId="HotSpot">
    <w:name w:val="HotSpot"/>
    <w:rsid w:val="00970E27"/>
    <w:rPr>
      <w:color w:val="0033CC"/>
      <w:u w:val="none"/>
    </w:rPr>
  </w:style>
  <w:style w:type="paragraph" w:customStyle="1" w:styleId="BodyTextRight">
    <w:name w:val="Body Text Right"/>
    <w:basedOn w:val="BodyText"/>
    <w:rsid w:val="00970E27"/>
    <w:pPr>
      <w:spacing w:before="0" w:after="0"/>
      <w:jc w:val="right"/>
    </w:pPr>
  </w:style>
  <w:style w:type="paragraph" w:styleId="Index3">
    <w:name w:val="index 3"/>
    <w:basedOn w:val="ListNumber2"/>
    <w:next w:val="Normal"/>
    <w:semiHidden/>
    <w:rsid w:val="00970E27"/>
    <w:pPr>
      <w:numPr>
        <w:numId w:val="0"/>
      </w:numPr>
      <w:tabs>
        <w:tab w:val="right" w:leader="dot" w:pos="4176"/>
      </w:tabs>
    </w:pPr>
  </w:style>
  <w:style w:type="paragraph" w:styleId="ListNumber2">
    <w:name w:val="List Number 2"/>
    <w:basedOn w:val="List2"/>
    <w:rsid w:val="00970E27"/>
    <w:pPr>
      <w:numPr>
        <w:numId w:val="10"/>
      </w:numPr>
      <w:tabs>
        <w:tab w:val="clear" w:pos="1060"/>
      </w:tabs>
    </w:pPr>
  </w:style>
  <w:style w:type="paragraph" w:customStyle="1" w:styleId="MarginNote">
    <w:name w:val="Margin Note"/>
    <w:basedOn w:val="BodyText"/>
    <w:rsid w:val="00970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E27"/>
    <w:rPr>
      <w:sz w:val="32"/>
    </w:rPr>
  </w:style>
  <w:style w:type="paragraph" w:customStyle="1" w:styleId="HeadingProcedure">
    <w:name w:val="Heading Procedure"/>
    <w:basedOn w:val="HeadingBase"/>
    <w:next w:val="Normal"/>
    <w:rsid w:val="00970E27"/>
    <w:pPr>
      <w:tabs>
        <w:tab w:val="left" w:pos="0"/>
      </w:tabs>
      <w:spacing w:before="120" w:after="60"/>
    </w:pPr>
    <w:rPr>
      <w:i/>
      <w:color w:val="918585"/>
      <w:sz w:val="22"/>
    </w:rPr>
  </w:style>
  <w:style w:type="paragraph" w:customStyle="1" w:styleId="TableBodyText">
    <w:name w:val="Table Body Text"/>
    <w:basedOn w:val="BodyText"/>
    <w:rsid w:val="00970E27"/>
    <w:pPr>
      <w:spacing w:before="60" w:after="60"/>
    </w:pPr>
  </w:style>
  <w:style w:type="paragraph" w:styleId="ListContinue">
    <w:name w:val="List Continue"/>
    <w:basedOn w:val="List"/>
    <w:rsid w:val="00970E27"/>
    <w:pPr>
      <w:ind w:firstLine="0"/>
    </w:pPr>
  </w:style>
  <w:style w:type="paragraph" w:customStyle="1" w:styleId="ListNote">
    <w:name w:val="List Note"/>
    <w:basedOn w:val="List"/>
    <w:rsid w:val="00970E27"/>
    <w:pPr>
      <w:pBdr>
        <w:top w:val="single" w:sz="6" w:space="2" w:color="918585"/>
        <w:bottom w:val="single" w:sz="6" w:space="2" w:color="918585"/>
      </w:pBdr>
      <w:tabs>
        <w:tab w:val="left" w:pos="1021"/>
      </w:tabs>
      <w:ind w:firstLine="0"/>
    </w:pPr>
  </w:style>
  <w:style w:type="paragraph" w:customStyle="1" w:styleId="Warning">
    <w:name w:val="Warning"/>
    <w:basedOn w:val="BodyText"/>
    <w:rsid w:val="00970E27"/>
    <w:pPr>
      <w:shd w:val="clear" w:color="auto" w:fill="D9D9D9"/>
      <w:tabs>
        <w:tab w:val="left" w:pos="992"/>
      </w:tabs>
      <w:ind w:left="119" w:right="119"/>
    </w:pPr>
    <w:rPr>
      <w:sz w:val="20"/>
    </w:rPr>
  </w:style>
  <w:style w:type="paragraph" w:customStyle="1" w:styleId="MarginIcons">
    <w:name w:val="Margin Icons"/>
    <w:basedOn w:val="BodyText"/>
    <w:rsid w:val="00970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E27"/>
    <w:rPr>
      <w:rFonts w:ascii="Courier New" w:hAnsi="Courier New"/>
    </w:rPr>
  </w:style>
  <w:style w:type="paragraph" w:customStyle="1" w:styleId="NoteBullet">
    <w:name w:val="Note Bullet"/>
    <w:basedOn w:val="Note"/>
    <w:rsid w:val="00970E27"/>
    <w:pPr>
      <w:tabs>
        <w:tab w:val="clear" w:pos="680"/>
      </w:tabs>
      <w:spacing w:before="60" w:after="60"/>
    </w:pPr>
  </w:style>
  <w:style w:type="paragraph" w:customStyle="1" w:styleId="SubHeading2">
    <w:name w:val="SubHeading2"/>
    <w:basedOn w:val="HeadingBase"/>
    <w:rsid w:val="00970E27"/>
    <w:pPr>
      <w:spacing w:before="240" w:after="60"/>
    </w:pPr>
    <w:rPr>
      <w:sz w:val="20"/>
    </w:rPr>
  </w:style>
  <w:style w:type="paragraph" w:customStyle="1" w:styleId="SubHeading1">
    <w:name w:val="SubHeading1"/>
    <w:basedOn w:val="HeadingBase"/>
    <w:rsid w:val="00970E27"/>
    <w:pPr>
      <w:spacing w:before="240" w:after="60"/>
    </w:pPr>
    <w:rPr>
      <w:color w:val="918585"/>
      <w:sz w:val="22"/>
    </w:rPr>
  </w:style>
  <w:style w:type="paragraph" w:customStyle="1" w:styleId="SideHeading">
    <w:name w:val="Side Heading"/>
    <w:basedOn w:val="HeadingBase"/>
    <w:rsid w:val="00970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E27"/>
    <w:pPr>
      <w:numPr>
        <w:numId w:val="12"/>
      </w:numPr>
    </w:pPr>
  </w:style>
  <w:style w:type="paragraph" w:styleId="PlainText">
    <w:name w:val="Plain Text"/>
    <w:basedOn w:val="Normal"/>
    <w:link w:val="PlainTextChar"/>
    <w:rsid w:val="00970E27"/>
    <w:rPr>
      <w:sz w:val="20"/>
    </w:rPr>
  </w:style>
  <w:style w:type="character" w:customStyle="1" w:styleId="PlainTextChar">
    <w:name w:val="Plain Text Char"/>
    <w:basedOn w:val="DefaultParagraphFont"/>
    <w:link w:val="PlainText"/>
    <w:rsid w:val="00970E27"/>
    <w:rPr>
      <w:rFonts w:ascii="Courier New" w:eastAsia="Times New Roman" w:hAnsi="Courier New" w:cs="Times New Roman"/>
      <w:sz w:val="20"/>
      <w:szCs w:val="20"/>
      <w:lang w:eastAsia="en-US"/>
    </w:rPr>
  </w:style>
  <w:style w:type="character" w:customStyle="1" w:styleId="MenuOption">
    <w:name w:val="Menu Option"/>
    <w:basedOn w:val="DefaultParagraphFont"/>
    <w:rsid w:val="00970E27"/>
    <w:rPr>
      <w:b/>
      <w:smallCaps/>
    </w:rPr>
  </w:style>
  <w:style w:type="paragraph" w:customStyle="1" w:styleId="TableListNumber">
    <w:name w:val="Table List Number"/>
    <w:basedOn w:val="ListNumber"/>
    <w:rsid w:val="00970E27"/>
    <w:pPr>
      <w:numPr>
        <w:numId w:val="0"/>
      </w:numPr>
    </w:pPr>
  </w:style>
  <w:style w:type="paragraph" w:styleId="TOC4">
    <w:name w:val="toc 4"/>
    <w:basedOn w:val="TOCBase"/>
    <w:next w:val="Normal"/>
    <w:semiHidden/>
    <w:rsid w:val="00970E27"/>
    <w:pPr>
      <w:tabs>
        <w:tab w:val="right" w:leader="dot" w:pos="9071"/>
      </w:tabs>
      <w:ind w:left="1701"/>
    </w:pPr>
  </w:style>
  <w:style w:type="paragraph" w:customStyle="1" w:styleId="ListAlpha">
    <w:name w:val="List Alpha"/>
    <w:basedOn w:val="List"/>
    <w:rsid w:val="00970E27"/>
    <w:pPr>
      <w:numPr>
        <w:numId w:val="9"/>
      </w:numPr>
    </w:pPr>
  </w:style>
  <w:style w:type="paragraph" w:styleId="List2">
    <w:name w:val="List 2"/>
    <w:basedOn w:val="BodyText"/>
    <w:rsid w:val="00970E27"/>
    <w:pPr>
      <w:tabs>
        <w:tab w:val="left" w:pos="680"/>
      </w:tabs>
      <w:spacing w:before="60" w:after="60"/>
      <w:ind w:left="680" w:hanging="340"/>
    </w:pPr>
  </w:style>
  <w:style w:type="paragraph" w:styleId="List3">
    <w:name w:val="List 3"/>
    <w:basedOn w:val="BodyText"/>
    <w:rsid w:val="00970E27"/>
    <w:pPr>
      <w:tabs>
        <w:tab w:val="left" w:pos="1021"/>
      </w:tabs>
      <w:spacing w:before="60" w:after="60"/>
      <w:ind w:left="1020" w:hanging="340"/>
    </w:pPr>
  </w:style>
  <w:style w:type="paragraph" w:styleId="List4">
    <w:name w:val="List 4"/>
    <w:basedOn w:val="BodyText"/>
    <w:rsid w:val="00970E27"/>
    <w:pPr>
      <w:tabs>
        <w:tab w:val="left" w:pos="1361"/>
      </w:tabs>
      <w:spacing w:before="60" w:after="60"/>
      <w:ind w:left="1361" w:hanging="340"/>
    </w:pPr>
  </w:style>
  <w:style w:type="paragraph" w:styleId="List5">
    <w:name w:val="List 5"/>
    <w:basedOn w:val="BodyText"/>
    <w:rsid w:val="00970E27"/>
    <w:pPr>
      <w:tabs>
        <w:tab w:val="left" w:pos="1701"/>
      </w:tabs>
      <w:spacing w:before="60" w:after="60"/>
      <w:ind w:left="1701" w:hanging="340"/>
    </w:pPr>
  </w:style>
  <w:style w:type="paragraph" w:styleId="ListBullet3">
    <w:name w:val="List Bullet 3"/>
    <w:basedOn w:val="List3"/>
    <w:rsid w:val="00970E27"/>
    <w:pPr>
      <w:numPr>
        <w:numId w:val="15"/>
      </w:numPr>
      <w:tabs>
        <w:tab w:val="clear" w:pos="1021"/>
      </w:tabs>
      <w:ind w:left="1037" w:hanging="357"/>
    </w:pPr>
  </w:style>
  <w:style w:type="paragraph" w:styleId="ListBullet4">
    <w:name w:val="List Bullet 4"/>
    <w:basedOn w:val="List4"/>
    <w:rsid w:val="00970E27"/>
    <w:pPr>
      <w:numPr>
        <w:numId w:val="3"/>
      </w:numPr>
    </w:pPr>
  </w:style>
  <w:style w:type="paragraph" w:styleId="ListBullet5">
    <w:name w:val="List Bullet 5"/>
    <w:basedOn w:val="List5"/>
    <w:rsid w:val="00970E27"/>
    <w:pPr>
      <w:numPr>
        <w:numId w:val="4"/>
      </w:numPr>
    </w:pPr>
  </w:style>
  <w:style w:type="paragraph" w:styleId="ListContinue2">
    <w:name w:val="List Continue 2"/>
    <w:basedOn w:val="List2"/>
    <w:rsid w:val="00970E27"/>
    <w:pPr>
      <w:ind w:firstLine="0"/>
    </w:pPr>
  </w:style>
  <w:style w:type="paragraph" w:styleId="ListContinue3">
    <w:name w:val="List Continue 3"/>
    <w:basedOn w:val="List3"/>
    <w:rsid w:val="00970E27"/>
    <w:pPr>
      <w:ind w:left="1021" w:firstLine="0"/>
    </w:pPr>
  </w:style>
  <w:style w:type="paragraph" w:styleId="ListContinue4">
    <w:name w:val="List Continue 4"/>
    <w:basedOn w:val="List4"/>
    <w:rsid w:val="00970E27"/>
    <w:pPr>
      <w:ind w:firstLine="0"/>
    </w:pPr>
  </w:style>
  <w:style w:type="paragraph" w:styleId="ListContinue5">
    <w:name w:val="List Continue 5"/>
    <w:basedOn w:val="List5"/>
    <w:rsid w:val="00970E27"/>
    <w:pPr>
      <w:ind w:firstLine="0"/>
    </w:pPr>
  </w:style>
  <w:style w:type="paragraph" w:styleId="ListNumber3">
    <w:name w:val="List Number 3"/>
    <w:basedOn w:val="List3"/>
    <w:rsid w:val="00970E27"/>
    <w:pPr>
      <w:numPr>
        <w:numId w:val="5"/>
      </w:numPr>
    </w:pPr>
  </w:style>
  <w:style w:type="paragraph" w:styleId="ListNumber4">
    <w:name w:val="List Number 4"/>
    <w:basedOn w:val="List4"/>
    <w:rsid w:val="00970E27"/>
    <w:pPr>
      <w:numPr>
        <w:numId w:val="6"/>
      </w:numPr>
    </w:pPr>
  </w:style>
  <w:style w:type="paragraph" w:styleId="ListNumber5">
    <w:name w:val="List Number 5"/>
    <w:basedOn w:val="List5"/>
    <w:rsid w:val="00970E27"/>
    <w:pPr>
      <w:numPr>
        <w:numId w:val="7"/>
      </w:numPr>
    </w:pPr>
  </w:style>
  <w:style w:type="paragraph" w:styleId="BlockText">
    <w:name w:val="Block Text"/>
    <w:basedOn w:val="Normal"/>
    <w:rsid w:val="00970E27"/>
    <w:pPr>
      <w:spacing w:after="120"/>
      <w:ind w:left="1440" w:right="1440"/>
    </w:pPr>
  </w:style>
  <w:style w:type="character" w:customStyle="1" w:styleId="Subscript">
    <w:name w:val="Subscript"/>
    <w:basedOn w:val="DefaultParagraphFont"/>
    <w:rsid w:val="00970E27"/>
    <w:rPr>
      <w:sz w:val="16"/>
      <w:vertAlign w:val="subscript"/>
    </w:rPr>
  </w:style>
  <w:style w:type="character" w:customStyle="1" w:styleId="Superscript">
    <w:name w:val="Superscript"/>
    <w:basedOn w:val="DefaultParagraphFont"/>
    <w:rsid w:val="00970E27"/>
    <w:rPr>
      <w:sz w:val="16"/>
      <w:vertAlign w:val="superscript"/>
    </w:rPr>
  </w:style>
  <w:style w:type="character" w:customStyle="1" w:styleId="Symbols">
    <w:name w:val="Symbols"/>
    <w:basedOn w:val="DefaultParagraphFont"/>
    <w:rsid w:val="00970E27"/>
    <w:rPr>
      <w:rFonts w:ascii="Symbol" w:hAnsi="Symbol"/>
    </w:rPr>
  </w:style>
  <w:style w:type="character" w:customStyle="1" w:styleId="MenuOptions">
    <w:name w:val="Menu Options"/>
    <w:basedOn w:val="DefaultParagraphFont"/>
    <w:rsid w:val="00970E27"/>
    <w:rPr>
      <w:rFonts w:ascii="Arial Narrow" w:hAnsi="Arial Narrow"/>
      <w:smallCaps/>
    </w:rPr>
  </w:style>
  <w:style w:type="character" w:customStyle="1" w:styleId="Buttons">
    <w:name w:val="Buttons"/>
    <w:basedOn w:val="DefaultParagraphFont"/>
    <w:rsid w:val="00970E27"/>
    <w:rPr>
      <w:b/>
    </w:rPr>
  </w:style>
  <w:style w:type="character" w:customStyle="1" w:styleId="Underlined">
    <w:name w:val="Underlined"/>
    <w:basedOn w:val="DefaultParagraphFont"/>
    <w:rsid w:val="00970E27"/>
    <w:rPr>
      <w:u w:val="single"/>
    </w:rPr>
  </w:style>
  <w:style w:type="paragraph" w:customStyle="1" w:styleId="TableBodyTextRight">
    <w:name w:val="Table Body Text Right"/>
    <w:basedOn w:val="TableBodyText"/>
    <w:rsid w:val="00970E27"/>
    <w:pPr>
      <w:widowControl w:val="0"/>
      <w:autoSpaceDE w:val="0"/>
      <w:autoSpaceDN w:val="0"/>
      <w:adjustRightInd w:val="0"/>
      <w:jc w:val="right"/>
    </w:pPr>
    <w:rPr>
      <w:rFonts w:cs="Arial"/>
      <w:szCs w:val="18"/>
    </w:rPr>
  </w:style>
  <w:style w:type="paragraph" w:customStyle="1" w:styleId="CopyrightText">
    <w:name w:val="Copyright Text"/>
    <w:basedOn w:val="BodyText"/>
    <w:rsid w:val="00970E27"/>
    <w:rPr>
      <w:sz w:val="18"/>
    </w:rPr>
  </w:style>
  <w:style w:type="paragraph" w:customStyle="1" w:styleId="BodySmallRight">
    <w:name w:val="Body Small Right"/>
    <w:basedOn w:val="BodyTextRight"/>
    <w:rsid w:val="00970E27"/>
    <w:rPr>
      <w:sz w:val="18"/>
      <w:szCs w:val="18"/>
    </w:rPr>
  </w:style>
  <w:style w:type="paragraph" w:customStyle="1" w:styleId="MarginEdition">
    <w:name w:val="Margin Edition"/>
    <w:basedOn w:val="MarginNote"/>
    <w:rsid w:val="00970E27"/>
    <w:pPr>
      <w:spacing w:before="0" w:after="0"/>
    </w:pPr>
    <w:rPr>
      <w:rFonts w:ascii="Times New Roman" w:hAnsi="Times New Roman"/>
      <w:color w:val="999999"/>
    </w:rPr>
  </w:style>
  <w:style w:type="paragraph" w:customStyle="1" w:styleId="Spacer">
    <w:name w:val="Spacer"/>
    <w:basedOn w:val="Normal"/>
    <w:rsid w:val="00970E27"/>
    <w:rPr>
      <w:sz w:val="2"/>
      <w:szCs w:val="2"/>
    </w:rPr>
  </w:style>
  <w:style w:type="character" w:customStyle="1" w:styleId="Small">
    <w:name w:val="Small"/>
    <w:basedOn w:val="DefaultParagraphFont"/>
    <w:rsid w:val="00970E27"/>
    <w:rPr>
      <w:sz w:val="16"/>
    </w:rPr>
  </w:style>
  <w:style w:type="paragraph" w:customStyle="1" w:styleId="WideTable">
    <w:name w:val="Wide Table"/>
    <w:basedOn w:val="Normal"/>
    <w:rsid w:val="00970E27"/>
    <w:pPr>
      <w:ind w:left="-1418"/>
    </w:pPr>
    <w:rPr>
      <w:sz w:val="2"/>
      <w:szCs w:val="2"/>
    </w:rPr>
  </w:style>
  <w:style w:type="character" w:styleId="PageNumber">
    <w:name w:val="page number"/>
    <w:basedOn w:val="DefaultParagraphFont"/>
    <w:rsid w:val="00970E27"/>
  </w:style>
  <w:style w:type="paragraph" w:styleId="Quote">
    <w:name w:val="Quote"/>
    <w:basedOn w:val="Heading1"/>
    <w:link w:val="QuoteChar"/>
    <w:qFormat/>
    <w:rsid w:val="00970E27"/>
    <w:rPr>
      <w:b w:val="0"/>
      <w:sz w:val="72"/>
      <w:szCs w:val="72"/>
      <w:lang w:val="en-NZ"/>
    </w:rPr>
  </w:style>
  <w:style w:type="character" w:customStyle="1" w:styleId="QuoteChar">
    <w:name w:val="Quote Char"/>
    <w:basedOn w:val="DefaultParagraphFont"/>
    <w:link w:val="Quote"/>
    <w:rsid w:val="00970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E27"/>
    <w:pPr>
      <w:pageBreakBefore/>
    </w:pPr>
  </w:style>
  <w:style w:type="paragraph" w:customStyle="1" w:styleId="Border">
    <w:name w:val="Border"/>
    <w:basedOn w:val="Normal"/>
    <w:qFormat/>
    <w:rsid w:val="00970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E27"/>
    <w:rPr>
      <w:b/>
      <w:bCs/>
      <w:i/>
      <w:iCs/>
      <w:color w:val="auto"/>
    </w:rPr>
  </w:style>
  <w:style w:type="paragraph" w:styleId="IntenseQuote">
    <w:name w:val="Intense Quote"/>
    <w:basedOn w:val="Normal"/>
    <w:next w:val="Normal"/>
    <w:link w:val="IntenseQuoteChar"/>
    <w:uiPriority w:val="30"/>
    <w:qFormat/>
    <w:rsid w:val="00970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E27"/>
    <w:rPr>
      <w:smallCaps/>
      <w:color w:val="auto"/>
      <w:u w:val="single"/>
    </w:rPr>
  </w:style>
  <w:style w:type="character" w:styleId="IntenseReference">
    <w:name w:val="Intense Reference"/>
    <w:basedOn w:val="DefaultParagraphFont"/>
    <w:uiPriority w:val="32"/>
    <w:qFormat/>
    <w:rsid w:val="00970E27"/>
    <w:rPr>
      <w:b/>
      <w:bCs/>
      <w:smallCaps/>
      <w:color w:val="auto"/>
      <w:spacing w:val="5"/>
      <w:u w:val="single"/>
    </w:rPr>
  </w:style>
  <w:style w:type="paragraph" w:customStyle="1" w:styleId="2ColumnHeading">
    <w:name w:val="2Column Heading"/>
    <w:basedOn w:val="BodyText"/>
    <w:qFormat/>
    <w:rsid w:val="00970E27"/>
    <w:pPr>
      <w:spacing w:after="60"/>
      <w:ind w:left="-2268"/>
    </w:pPr>
    <w:rPr>
      <w:b/>
    </w:rPr>
  </w:style>
  <w:style w:type="paragraph" w:customStyle="1" w:styleId="Heading1TOC">
    <w:name w:val="Heading1 TOC"/>
    <w:basedOn w:val="Normal"/>
    <w:qFormat/>
    <w:rsid w:val="00970E27"/>
    <w:pPr>
      <w:spacing w:before="240" w:after="120"/>
    </w:pPr>
    <w:rPr>
      <w:rFonts w:ascii="Times New Roman" w:hAnsi="Times New Roman"/>
      <w:b/>
      <w:sz w:val="32"/>
    </w:rPr>
  </w:style>
  <w:style w:type="paragraph" w:customStyle="1" w:styleId="Heading2TOC">
    <w:name w:val="Heading2 TOC"/>
    <w:basedOn w:val="Normal"/>
    <w:qFormat/>
    <w:rsid w:val="00970E27"/>
    <w:pPr>
      <w:spacing w:before="240" w:after="60"/>
    </w:pPr>
    <w:rPr>
      <w:rFonts w:ascii="Times New Roman" w:hAnsi="Times New Roman"/>
      <w:b/>
      <w:sz w:val="28"/>
    </w:rPr>
  </w:style>
  <w:style w:type="character" w:customStyle="1" w:styleId="Underline">
    <w:name w:val="Underline"/>
    <w:basedOn w:val="DefaultParagraphFont"/>
    <w:qFormat/>
    <w:rsid w:val="00970E27"/>
    <w:rPr>
      <w:u w:val="single"/>
    </w:rPr>
  </w:style>
  <w:style w:type="character" w:customStyle="1" w:styleId="BoldandItalics">
    <w:name w:val="Bold and Italics"/>
    <w:qFormat/>
    <w:rsid w:val="00970E27"/>
    <w:rPr>
      <w:b/>
      <w:i/>
      <w:u w:val="none"/>
    </w:rPr>
  </w:style>
  <w:style w:type="paragraph" w:styleId="BalloonText">
    <w:name w:val="Balloon Text"/>
    <w:basedOn w:val="Normal"/>
    <w:link w:val="BalloonTextChar"/>
    <w:rsid w:val="00970E27"/>
    <w:rPr>
      <w:rFonts w:ascii="Tahoma" w:hAnsi="Tahoma" w:cs="Tahoma"/>
      <w:sz w:val="16"/>
      <w:szCs w:val="16"/>
    </w:rPr>
  </w:style>
  <w:style w:type="character" w:customStyle="1" w:styleId="BalloonTextChar">
    <w:name w:val="Balloon Text Char"/>
    <w:basedOn w:val="DefaultParagraphFont"/>
    <w:link w:val="BalloonText"/>
    <w:rsid w:val="00970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E27"/>
    <w:rPr>
      <w:b/>
      <w:color w:val="660033"/>
      <w:spacing w:val="0"/>
    </w:rPr>
  </w:style>
  <w:style w:type="paragraph" w:customStyle="1" w:styleId="Nameditemlist">
    <w:name w:val="Named item list"/>
    <w:basedOn w:val="BodyText"/>
    <w:qFormat/>
    <w:rsid w:val="00970E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2319</Words>
  <Characters>14243</Characters>
  <Application>Microsoft Office Word</Application>
  <DocSecurity>0</DocSecurity>
  <Lines>544</Lines>
  <Paragraphs>248</Paragraphs>
  <ScaleCrop>false</ScaleCrop>
  <Company>Author-it Software Corporation Ltd.</Company>
  <LinksUpToDate>false</LinksUpToDate>
  <CharactersWithSpaces>16385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UEENEEH165A Troubleshoot fire protection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2013-08-14T08:08:00Z</dcterms:created>
  <dcterms:modified xsi:type="dcterms:W3CDTF">2013-08-14T08:08:00Z</dcterms:modified>
</cp:coreProperties>
</file>