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C30" w:rsidP="00762C30">
      <w:pPr>
        <w:pStyle w:val="Title"/>
      </w:pPr>
      <w:r>
        <w:fldChar w:fldCharType="begin"/>
      </w:r>
      <w:r>
        <w:instrText xml:space="preserve"> TITLE   \* MERGEFORMAT </w:instrText>
      </w:r>
      <w:r>
        <w:fldChar w:fldCharType="separate"/>
      </w:r>
      <w:r>
        <w:t>UEENEEH151A Install large security systems</w:t>
      </w:r>
      <w:r>
        <w:fldChar w:fldCharType="end"/>
      </w:r>
    </w:p>
    <w:p w:rsidR="00762C30" w:rsidP="00762C30">
      <w:pPr>
        <w:pStyle w:val="Version"/>
        <w:sectPr w:rsidSect="001703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032F" w:rsidP="0017032F">
      <w:pPr>
        <w:pStyle w:val="SuperHeading"/>
      </w:pPr>
      <w:r w:rsidRPr="0017032F">
        <w:t>UEENEEH151A Install large security systems</w:t>
      </w:r>
    </w:p>
    <w:p w:rsidR="00000000" w:rsidRPr="0017032F" w:rsidP="0017032F">
      <w:pPr>
        <w:pStyle w:val="Heading1"/>
      </w:pPr>
      <w:bookmarkStart w:id="1" w:name="O_587747"/>
      <w:bookmarkEnd w:id="1"/>
      <w:r w:rsidRPr="0017032F">
        <w:t>Modification History</w:t>
      </w:r>
    </w:p>
    <w:p w:rsidR="00000000" w:rsidRPr="0017032F" w:rsidP="0017032F">
      <w:pPr>
        <w:pStyle w:val="BodyText"/>
      </w:pPr>
      <w:r w:rsidRPr="0017032F">
        <w:t>Not applicable.</w:t>
      </w:r>
    </w:p>
    <w:p w:rsidR="00000000" w:rsidRPr="0017032F" w:rsidP="0017032F">
      <w:pPr>
        <w:pStyle w:val="AllowPageBreak"/>
      </w:pPr>
    </w:p>
    <w:p w:rsidR="00000000" w:rsidRPr="0017032F" w:rsidP="0017032F">
      <w:pPr>
        <w:pStyle w:val="Heading1"/>
      </w:pPr>
      <w:bookmarkStart w:id="2" w:name="O_587746"/>
      <w:bookmarkEnd w:id="2"/>
      <w:r w:rsidRPr="0017032F">
        <w:t>Unit Descriptor</w:t>
      </w:r>
    </w:p>
    <w:tbl>
      <w:tblPr>
        <w:tblW w:w="0" w:type="auto"/>
        <w:tblLayout w:type="fixed"/>
        <w:tblCellMar>
          <w:left w:w="62" w:type="dxa"/>
          <w:right w:w="62" w:type="dxa"/>
        </w:tblCellMar>
        <w:tblLook w:val="0000"/>
      </w:tblPr>
      <w:tblGrid>
        <w:gridCol w:w="2700"/>
        <w:gridCol w:w="5760"/>
      </w:tblGrid>
      <w:tr w:rsidTr="00762C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1)</w:t>
            </w:r>
            <w:r w:rsidRPr="0017032F">
              <w:t xml:space="preserve"> </w:t>
            </w:r>
            <w:r w:rsidRPr="0017032F">
              <w:rPr>
                <w:rStyle w:val="SpecialBold"/>
              </w:rPr>
              <w:t>Scope:</w:t>
            </w:r>
          </w:p>
        </w:tc>
      </w:tr>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032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1.1) Descriptor</w:t>
            </w:r>
          </w:p>
        </w:tc>
      </w:tr>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This unit covers installing, entering instructions and testing of electronic security systems within excess of 50 connected devices in build</w:t>
            </w:r>
            <w:r w:rsidRPr="0017032F">
              <w:t>ings, premises and precincts. It encompasses working safely and to standards, following and job specifications, securely placing and connecting security system components, and applying customer relation protocols.</w:t>
            </w:r>
          </w:p>
        </w:tc>
      </w:tr>
    </w:tbl>
    <w:p w:rsidR="00000000" w:rsidRPr="0017032F" w:rsidP="0017032F">
      <w:pPr>
        <w:pStyle w:val="BodyText"/>
      </w:pPr>
    </w:p>
    <w:p w:rsidR="00000000" w:rsidRPr="0017032F" w:rsidP="0017032F">
      <w:pPr>
        <w:pStyle w:val="AllowPageBreak"/>
      </w:pPr>
    </w:p>
    <w:p w:rsidR="00000000" w:rsidRPr="0017032F" w:rsidP="0017032F">
      <w:pPr>
        <w:pStyle w:val="Heading1"/>
      </w:pPr>
      <w:bookmarkStart w:id="3" w:name="O_587745"/>
      <w:bookmarkEnd w:id="3"/>
      <w:r w:rsidRPr="0017032F">
        <w:t>Application of the Unit</w:t>
      </w:r>
    </w:p>
    <w:tbl>
      <w:tblPr>
        <w:tblW w:w="0" w:type="auto"/>
        <w:tblLayout w:type="fixed"/>
        <w:tblCellMar>
          <w:left w:w="62" w:type="dxa"/>
          <w:right w:w="62" w:type="dxa"/>
        </w:tblCellMar>
        <w:tblLook w:val="0000"/>
      </w:tblPr>
      <w:tblGrid>
        <w:gridCol w:w="2672"/>
        <w:gridCol w:w="5699"/>
      </w:tblGrid>
      <w:tr w:rsidTr="00762C3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2)</w:t>
            </w:r>
          </w:p>
        </w:tc>
      </w:tr>
      <w:tr w:rsidTr="00762C3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This unit is intended for competency development in entry-level employment based programs incorporated in approved contracts of training or approved training programs.</w:t>
            </w:r>
          </w:p>
        </w:tc>
      </w:tr>
    </w:tbl>
    <w:p w:rsidR="00000000" w:rsidRPr="0017032F" w:rsidP="0017032F">
      <w:pPr>
        <w:pStyle w:val="BodyText"/>
      </w:pPr>
    </w:p>
    <w:p w:rsidR="00000000" w:rsidRPr="0017032F" w:rsidP="0017032F">
      <w:pPr>
        <w:pStyle w:val="AllowPageBreak"/>
      </w:pPr>
    </w:p>
    <w:p w:rsidR="00000000" w:rsidRPr="0017032F" w:rsidP="0017032F">
      <w:pPr>
        <w:pStyle w:val="Heading1"/>
      </w:pPr>
      <w:bookmarkStart w:id="4" w:name="O_587744"/>
      <w:bookmarkEnd w:id="4"/>
      <w:r w:rsidRPr="0017032F">
        <w:t>Licensing/Regulatory Information</w:t>
      </w:r>
    </w:p>
    <w:tbl>
      <w:tblPr>
        <w:tblW w:w="0" w:type="auto"/>
        <w:tblLayout w:type="fixed"/>
        <w:tblCellMar>
          <w:left w:w="62" w:type="dxa"/>
          <w:right w:w="62" w:type="dxa"/>
        </w:tblCellMar>
        <w:tblLook w:val="0000"/>
      </w:tblPr>
      <w:tblGrid>
        <w:gridCol w:w="2700"/>
        <w:gridCol w:w="5760"/>
      </w:tblGrid>
      <w:tr w:rsidTr="00762C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Licens</w:t>
            </w:r>
            <w:r w:rsidRPr="0017032F">
              <w:rPr>
                <w:rStyle w:val="SpecialBold"/>
              </w:rPr>
              <w:t>e to practice</w:t>
            </w:r>
          </w:p>
        </w:tc>
        <w:tc>
          <w:tcPr>
            <w:tcW w:w="576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 xml:space="preserve">3) </w:t>
            </w:r>
          </w:p>
        </w:tc>
      </w:tr>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The skills and knowledge described in this unit require a license to practice in the workplace where plant and equipment operate at voltage above 50 V a.c. or 120 V d.c. However other conditions may apply in some States/Territories subj</w:t>
            </w:r>
            <w:r w:rsidRPr="0017032F">
              <w:t>ect to regulations related to electrical work.</w:t>
            </w:r>
          </w:p>
          <w:p w:rsidR="00000000" w:rsidRPr="0017032F" w:rsidP="0017032F">
            <w:pPr>
              <w:pStyle w:val="BodyText"/>
            </w:pPr>
            <w:r w:rsidRPr="0017032F">
              <w:t>Practice o</w:t>
            </w:r>
            <w:r w:rsidRPr="0017032F">
              <w:t xml:space="preserve">f this unit in the work place is subject to State and Territory Security Industry regulations. Where the </w:t>
            </w:r>
            <w:r w:rsidRPr="0017032F">
              <w:t>security system has a call-back-to-base facility practice in the workplace is also subject to ACMA regulations to undertake cabling work.</w:t>
            </w:r>
          </w:p>
          <w:p w:rsidR="00000000" w:rsidRPr="0017032F" w:rsidP="0017032F">
            <w:pPr>
              <w:pStyle w:val="BodyText"/>
            </w:pPr>
            <w:r w:rsidRPr="0017032F">
              <w:t xml:space="preserve">Note: </w:t>
            </w:r>
          </w:p>
          <w:p w:rsidR="00000000" w:rsidRPr="0017032F" w:rsidP="0017032F">
            <w:pPr>
              <w:pStyle w:val="BodyText"/>
            </w:pPr>
            <w:r w:rsidRPr="0017032F">
              <w:t>Unit ‘</w:t>
            </w:r>
            <w:r w:rsidRPr="0017032F">
              <w:t>UEENEEF102A and UEENEEF104A provide the required skill and knowledge for registration in accordance with ACMA regulations for undertaking cabling work.</w:t>
            </w:r>
          </w:p>
          <w:p w:rsidR="00000000" w:rsidRPr="0017032F" w:rsidP="0017032F">
            <w:pPr>
              <w:pStyle w:val="BodyText"/>
            </w:pPr>
            <w:r w:rsidRPr="0017032F">
              <w:t>Practice in the workplace and during training is also subject to regulations directly related to occupat</w:t>
            </w:r>
            <w:r w:rsidRPr="0017032F">
              <w:t>ional health and safety and where applicable contracts of training such as apprenticeships.</w:t>
            </w:r>
          </w:p>
        </w:tc>
      </w:tr>
    </w:tbl>
    <w:p w:rsidR="00000000" w:rsidRPr="0017032F" w:rsidP="0017032F">
      <w:pPr>
        <w:pStyle w:val="BodyText"/>
      </w:pPr>
    </w:p>
    <w:p w:rsidR="00000000" w:rsidRPr="0017032F" w:rsidP="0017032F">
      <w:pPr>
        <w:pStyle w:val="AllowPageBreak"/>
      </w:pPr>
    </w:p>
    <w:p w:rsidR="00000000" w:rsidRPr="0017032F" w:rsidP="0017032F">
      <w:pPr>
        <w:pStyle w:val="Heading1"/>
      </w:pPr>
      <w:bookmarkStart w:id="5" w:name="O_587743"/>
      <w:bookmarkEnd w:id="5"/>
      <w:r w:rsidRPr="0017032F">
        <w:t>Pre-Requisites</w:t>
      </w:r>
    </w:p>
    <w:tbl>
      <w:tblPr>
        <w:tblW w:w="0" w:type="auto"/>
        <w:tblLayout w:type="fixed"/>
        <w:tblCellMar>
          <w:left w:w="62" w:type="dxa"/>
          <w:right w:w="62" w:type="dxa"/>
        </w:tblCellMar>
        <w:tblLook w:val="0000"/>
      </w:tblPr>
      <w:tblGrid>
        <w:gridCol w:w="2700"/>
        <w:gridCol w:w="1440"/>
        <w:gridCol w:w="4320"/>
      </w:tblGrid>
      <w:tr w:rsidTr="00762C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 xml:space="preserve">4) </w:t>
            </w:r>
          </w:p>
        </w:tc>
      </w:tr>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4.1)</w:t>
            </w:r>
          </w:p>
        </w:tc>
      </w:tr>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Granting competency in this unit shall be made only after competency in the following unit(s) has/have been confirmed.</w:t>
            </w:r>
          </w:p>
        </w:tc>
      </w:tr>
      <w:tr w:rsidTr="00762C3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 xml:space="preserve">Fabricate, dismantle, assemble of utilities industry components                                         </w:t>
            </w:r>
          </w:p>
        </w:tc>
      </w:tr>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UEENEEE105A</w:t>
            </w:r>
          </w:p>
        </w:tc>
        <w:tc>
          <w:tcPr>
            <w:tcW w:w="432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Fi</w:t>
            </w:r>
            <w:r w:rsidRPr="0017032F">
              <w:t xml:space="preserve">x and secure electrotechnology equipment </w:t>
            </w:r>
          </w:p>
        </w:tc>
      </w:tr>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UEENEEE107A</w:t>
            </w:r>
          </w:p>
        </w:tc>
        <w:tc>
          <w:tcPr>
            <w:tcW w:w="432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 xml:space="preserve">Use drawings, diagrams, schedules, standards, codes and specifications                            </w:t>
            </w:r>
          </w:p>
        </w:tc>
      </w:tr>
      <w:tr w:rsidTr="00762C3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 xml:space="preserve">UEENEEH150A </w:t>
            </w:r>
          </w:p>
        </w:tc>
        <w:tc>
          <w:tcPr>
            <w:tcW w:w="432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Assemble and set up basic security systems</w:t>
            </w:r>
          </w:p>
        </w:tc>
      </w:tr>
    </w:tbl>
    <w:p w:rsidR="00000000" w:rsidRPr="0017032F" w:rsidP="0017032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62C3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 xml:space="preserve">4.2) </w:t>
            </w:r>
          </w:p>
        </w:tc>
      </w:tr>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 xml:space="preserve">Participants are best equipped to achieve competency in this unit if they have reading, writing and numeracy skills indicated by the following scales. Description of each scale is given in Volume 2, Part 3 ‘Literacy and </w:t>
            </w:r>
            <w:r w:rsidRPr="0017032F">
              <w:t>Numeracy’</w:t>
            </w:r>
          </w:p>
        </w:tc>
      </w:tr>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Reading</w:t>
            </w:r>
          </w:p>
        </w:tc>
        <w:tc>
          <w:tcPr>
            <w:tcW w:w="81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3</w:t>
            </w:r>
          </w:p>
        </w:tc>
        <w:tc>
          <w:tcPr>
            <w:tcW w:w="99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Writing</w:t>
            </w:r>
          </w:p>
        </w:tc>
        <w:tc>
          <w:tcPr>
            <w:tcW w:w="90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3</w:t>
            </w:r>
          </w:p>
        </w:tc>
        <w:tc>
          <w:tcPr>
            <w:tcW w:w="126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Numeracy</w:t>
            </w:r>
          </w:p>
        </w:tc>
        <w:tc>
          <w:tcPr>
            <w:tcW w:w="72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3</w:t>
            </w:r>
          </w:p>
        </w:tc>
      </w:tr>
    </w:tbl>
    <w:p w:rsidR="00000000" w:rsidRPr="0017032F" w:rsidP="0017032F">
      <w:pPr>
        <w:pStyle w:val="BodyText"/>
      </w:pPr>
    </w:p>
    <w:p w:rsidR="00000000" w:rsidRPr="0017032F" w:rsidP="0017032F">
      <w:pPr>
        <w:pStyle w:val="AllowPageBreak"/>
      </w:pPr>
    </w:p>
    <w:p w:rsidR="00000000" w:rsidRPr="0017032F" w:rsidP="0017032F">
      <w:pPr>
        <w:pStyle w:val="Heading1"/>
      </w:pPr>
      <w:bookmarkStart w:id="6" w:name="O_587742"/>
      <w:bookmarkEnd w:id="6"/>
      <w:r w:rsidRPr="0017032F">
        <w:t>Employability Skills Information</w:t>
      </w:r>
    </w:p>
    <w:tbl>
      <w:tblPr>
        <w:tblW w:w="0" w:type="auto"/>
        <w:tblLayout w:type="fixed"/>
        <w:tblCellMar>
          <w:left w:w="62" w:type="dxa"/>
          <w:right w:w="62" w:type="dxa"/>
        </w:tblCellMar>
        <w:tblLook w:val="0000"/>
      </w:tblPr>
      <w:tblGrid>
        <w:gridCol w:w="2700"/>
        <w:gridCol w:w="5760"/>
      </w:tblGrid>
      <w:tr w:rsidTr="00762C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 xml:space="preserve">5) </w:t>
            </w:r>
          </w:p>
        </w:tc>
      </w:tr>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This unit contains Employability Skills</w:t>
            </w:r>
          </w:p>
          <w:p w:rsidR="00000000" w:rsidRPr="0017032F" w:rsidP="0017032F">
            <w:pPr>
              <w:pStyle w:val="BodyText"/>
            </w:pPr>
            <w:r w:rsidRPr="0017032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7032F">
              <w:t>requirements.</w:t>
            </w:r>
          </w:p>
        </w:tc>
      </w:tr>
    </w:tbl>
    <w:p w:rsidR="00000000" w:rsidRPr="0017032F" w:rsidP="0017032F">
      <w:pPr>
        <w:pStyle w:val="BodyText"/>
      </w:pPr>
    </w:p>
    <w:p w:rsidR="00000000" w:rsidRPr="0017032F" w:rsidP="0017032F">
      <w:pPr>
        <w:pStyle w:val="AllowPageBreak"/>
      </w:pPr>
    </w:p>
    <w:p w:rsidR="00000000" w:rsidRPr="0017032F" w:rsidP="0017032F">
      <w:pPr>
        <w:pStyle w:val="Heading1"/>
      </w:pPr>
      <w:bookmarkStart w:id="7" w:name="O_587741"/>
      <w:bookmarkEnd w:id="7"/>
      <w:r w:rsidRPr="0017032F">
        <w:t>Elements and Performance Criteria Pre-Content</w:t>
      </w:r>
    </w:p>
    <w:tbl>
      <w:tblPr>
        <w:tblW w:w="0" w:type="auto"/>
        <w:tblLayout w:type="fixed"/>
        <w:tblCellMar>
          <w:left w:w="62" w:type="dxa"/>
          <w:right w:w="62" w:type="dxa"/>
        </w:tblCellMar>
        <w:tblLook w:val="0000"/>
      </w:tblPr>
      <w:tblGrid>
        <w:gridCol w:w="2700"/>
        <w:gridCol w:w="5760"/>
      </w:tblGrid>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6)</w:t>
            </w:r>
            <w:r w:rsidRPr="0017032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Performance Criteria describe the requ</w:t>
            </w:r>
            <w:r w:rsidRPr="0017032F">
              <w:t>ired performance needed to demonstrate achievement of the element. Assessment of performance is to be consistent with the Evidence Guide.</w:t>
            </w:r>
          </w:p>
        </w:tc>
      </w:tr>
    </w:tbl>
    <w:p w:rsidR="00000000" w:rsidRPr="0017032F" w:rsidP="0017032F">
      <w:pPr>
        <w:pStyle w:val="BodyText"/>
      </w:pPr>
    </w:p>
    <w:p w:rsidR="00000000" w:rsidRPr="0017032F" w:rsidP="0017032F">
      <w:pPr>
        <w:pStyle w:val="AllowPageBreak"/>
      </w:pPr>
    </w:p>
    <w:p w:rsidR="00000000" w:rsidRPr="0017032F" w:rsidP="0017032F">
      <w:pPr>
        <w:pStyle w:val="Heading1"/>
      </w:pPr>
      <w:bookmarkStart w:id="8" w:name="O_587740"/>
      <w:bookmarkEnd w:id="8"/>
      <w:r w:rsidRPr="0017032F">
        <w:t>Elements and Performance Criteria</w:t>
      </w:r>
    </w:p>
    <w:tbl>
      <w:tblPr>
        <w:tblW w:w="0" w:type="auto"/>
        <w:tblLayout w:type="fixed"/>
        <w:tblCellMar>
          <w:left w:w="62" w:type="dxa"/>
          <w:right w:w="62" w:type="dxa"/>
        </w:tblCellMar>
        <w:tblLook w:val="0000"/>
      </w:tblPr>
      <w:tblGrid>
        <w:gridCol w:w="438"/>
        <w:gridCol w:w="2187"/>
        <w:gridCol w:w="75"/>
        <w:gridCol w:w="800"/>
        <w:gridCol w:w="4722"/>
        <w:gridCol w:w="238"/>
      </w:tblGrid>
      <w:tr w:rsidTr="00762C30">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PERFORMANCE CRITERIA</w:t>
            </w:r>
          </w:p>
        </w:tc>
      </w:tr>
      <w:tr w:rsidTr="00762C30">
        <w:tblPrEx>
          <w:tblW w:w="0" w:type="auto"/>
          <w:tblLayout w:type="fixed"/>
          <w:tblCellMar>
            <w:left w:w="62" w:type="dxa"/>
            <w:right w:w="62" w:type="dxa"/>
          </w:tblCellMar>
          <w:tblLook w:val="0000"/>
        </w:tblPrEx>
        <w:trPr>
          <w:gridAfter w:val="1"/>
          <w:wAfter w:w="238" w:type="dxa"/>
          <w:trHeight w:val="686"/>
        </w:trPr>
        <w:tc>
          <w:tcPr>
            <w:tcW w:w="438"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1</w:t>
            </w:r>
          </w:p>
        </w:tc>
        <w:tc>
          <w:tcPr>
            <w:tcW w:w="2187" w:type="dxa"/>
            <w:vMerge w:val="restart"/>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Prepare to install and set up basic wired and wireless security systems.</w:t>
            </w: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1.1</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OHS procedures for a given work area are identified, obtained and understood through established routines.</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1.2</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Established OHS risk control measures are followed in preparati</w:t>
            </w:r>
            <w:r w:rsidRPr="0017032F">
              <w:t>on for the work.</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1.3</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Safety hazards, which have not previously been identified, are reported and advise on risk control measures, are sought from the work supervisor.</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1.4</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The nature and location of the work is obtained from work supervisor or other appropriate person to establish the scope of work to be undertaken.</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1.5</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 xml:space="preserve">Advice is sought from the work supervisor or other appropriate person to ensure the work is co-ordinated effectively with others. </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1.6</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Sources of materials that may be required for the work are established in accordance with established routines.</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1.</w:t>
            </w:r>
            <w:r w:rsidRPr="0017032F">
              <w:t>7</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Tools, equipment and testing devices needed to carry out the work are obtained and checked for correct operation and safety.</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2</w:t>
            </w:r>
          </w:p>
        </w:tc>
        <w:tc>
          <w:tcPr>
            <w:tcW w:w="2187" w:type="dxa"/>
            <w:vMerge w:val="restart"/>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Install basic wired and wireless security systems.</w:t>
            </w: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2.1</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Established OHS risk control measures for carrying out the work are followed.</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2.2</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Circuits/machines/plant are checked as being isolated where necessary in strict accordance OHS requirements and procedures</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2.3</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Security controllers and devices are located for optimum performance within limitation imposed by customers and regulations. (See note 1)</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2.4</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Accessories are installed straight and square in the required locations and within acceptable tolerances.</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2</w:t>
            </w:r>
            <w:r w:rsidRPr="0017032F">
              <w:t>.5</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Cables and conductors are terminated at accessories in accordance with manufacture’s specifications and regulatory requirements.</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2.6</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Established methods for dealing with unexpected situations are discussed with appropriate person or persons and documented.</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2.7</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Unexpected situations are dealt with safely and with the approval of an authorised person.</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2.8</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 xml:space="preserve">Security installation is </w:t>
            </w:r>
            <w:r w:rsidRPr="0017032F">
              <w:t>carried out efficiently without waste of materials or damage to apparatus, circuits or the surrounding environment and using sustainable energy practices.</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3</w:t>
            </w:r>
          </w:p>
        </w:tc>
        <w:tc>
          <w:tcPr>
            <w:tcW w:w="2187" w:type="dxa"/>
            <w:vMerge w:val="restart"/>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Set up basic wired and wireless security systems and document.</w:t>
            </w: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3.1</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OHS work completion risk contr</w:t>
            </w:r>
            <w:r w:rsidRPr="0017032F">
              <w:t>ol measures and procedures are followed.</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3.2</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Work site is cleaned and made safe in accordance with established procedures.</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5"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3.3</w:t>
            </w:r>
          </w:p>
        </w:tc>
        <w:tc>
          <w:tcPr>
            <w:tcW w:w="4722"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Security system is documented in accordance with regulatory requirement and established routines.</w:t>
            </w:r>
          </w:p>
        </w:tc>
      </w:tr>
      <w:tr w:rsidTr="00762C30">
        <w:tblPrEx>
          <w:tblW w:w="0" w:type="auto"/>
          <w:tblLayout w:type="fixed"/>
          <w:tblCellMar>
            <w:left w:w="62" w:type="dxa"/>
            <w:right w:w="62" w:type="dxa"/>
          </w:tblCellMar>
          <w:tblLook w:val="0000"/>
        </w:tblPrEx>
        <w:trPr>
          <w:gridAfter w:val="1"/>
          <w:wAfter w:w="238" w:type="dxa"/>
        </w:trPr>
        <w:tc>
          <w:tcPr>
            <w:tcW w:w="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7" w:type="dxa"/>
            <w:gridSpan w:val="3"/>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 xml:space="preserve">Note1: </w:t>
            </w:r>
          </w:p>
          <w:p w:rsidR="00000000" w:rsidRPr="0017032F" w:rsidP="0017032F">
            <w:pPr>
              <w:pStyle w:val="BodyText"/>
            </w:pPr>
            <w:r w:rsidRPr="0017032F">
              <w:t>Examples of security devices are, Reed switches, PIRs, Glass break facilities, Panic buttons, Monitored Door Strikes, Momentary Key Switches, Latching Key Switches, CCTVs, Monitors and Access panels.</w:t>
            </w:r>
          </w:p>
        </w:tc>
      </w:tr>
    </w:tbl>
    <w:p w:rsidR="00000000" w:rsidRPr="0017032F" w:rsidP="0017032F">
      <w:pPr>
        <w:pStyle w:val="BodyText"/>
      </w:pPr>
    </w:p>
    <w:p w:rsidR="00000000" w:rsidRPr="0017032F" w:rsidP="0017032F">
      <w:pPr>
        <w:pStyle w:val="AllowPageBreak"/>
      </w:pPr>
    </w:p>
    <w:p w:rsidR="00000000" w:rsidRPr="0017032F" w:rsidP="0017032F">
      <w:pPr>
        <w:pStyle w:val="Heading1"/>
      </w:pPr>
      <w:bookmarkStart w:id="9" w:name="O_587739"/>
      <w:bookmarkEnd w:id="9"/>
      <w:r w:rsidRPr="0017032F">
        <w:t>Required Skills and Knowledge</w:t>
      </w:r>
    </w:p>
    <w:tbl>
      <w:tblPr>
        <w:tblW w:w="0" w:type="auto"/>
        <w:tblLayout w:type="fixed"/>
        <w:tblCellMar>
          <w:left w:w="62" w:type="dxa"/>
          <w:right w:w="62" w:type="dxa"/>
        </w:tblCellMar>
        <w:tblLook w:val="0000"/>
      </w:tblPr>
      <w:tblGrid>
        <w:gridCol w:w="8460"/>
      </w:tblGrid>
      <w:tr w:rsidTr="00762C3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REQUIRED SKILLS AND KNOWLEDGE</w:t>
            </w:r>
          </w:p>
        </w:tc>
      </w:tr>
      <w:tr w:rsidTr="00762C3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8)</w:t>
            </w:r>
            <w:r w:rsidRPr="0017032F">
              <w:t xml:space="preserve"> This describes the essential skills and knowledge and their level, required for this unit.</w:t>
            </w:r>
          </w:p>
          <w:p w:rsidR="00000000" w:rsidRPr="0017032F" w:rsidP="0017032F">
            <w:pPr>
              <w:pStyle w:val="BodyText"/>
            </w:pPr>
            <w:r w:rsidRPr="0017032F">
              <w:t>Evidence shall show that knowledge has been acquired of safe worki</w:t>
            </w:r>
            <w:r w:rsidRPr="0017032F">
              <w:t xml:space="preserve">ng practices and installing large wired and wireless security systems. </w:t>
            </w:r>
          </w:p>
          <w:p w:rsidR="00000000" w:rsidRPr="0017032F" w:rsidP="0017032F">
            <w:pPr>
              <w:pStyle w:val="BodyText"/>
            </w:pPr>
            <w:r w:rsidRPr="0017032F">
              <w:t>All knowledge and skills detailed in this unit should be contextualised to current industry practices and technologies.</w:t>
            </w:r>
          </w:p>
          <w:p w:rsidR="00000000" w:rsidRPr="0017032F" w:rsidP="0017032F">
            <w:pPr>
              <w:pStyle w:val="BodyText"/>
            </w:pPr>
            <w:r w:rsidRPr="0017032F">
              <w:rPr>
                <w:rStyle w:val="SpecialBold"/>
              </w:rPr>
              <w:t>KS01-EH151A</w:t>
            </w:r>
            <w:r w:rsidRPr="0017032F">
              <w:rPr>
                <w:rStyle w:val="SpecialBold"/>
              </w:rPr>
              <w:tab/>
              <w:t xml:space="preserve">              Large security systems</w:t>
            </w:r>
          </w:p>
          <w:p w:rsidR="00000000" w:rsidRPr="0017032F" w:rsidP="0017032F">
            <w:pPr>
              <w:pStyle w:val="BodyText"/>
            </w:pPr>
            <w:r w:rsidRPr="0017032F">
              <w:t xml:space="preserve">Evidence shall </w:t>
            </w:r>
            <w:r w:rsidRPr="0017032F">
              <w:t xml:space="preserve">show an understanding of closed circuit televisions to an extent indicated by the following aspects: </w:t>
            </w:r>
          </w:p>
          <w:p w:rsidR="00000000" w:rsidRPr="0017032F" w:rsidP="0017032F">
            <w:pPr>
              <w:pStyle w:val="BodyText"/>
            </w:pPr>
            <w:r w:rsidRPr="0017032F">
              <w:t>T1</w:t>
            </w:r>
            <w:r w:rsidRPr="0017032F">
              <w:tab/>
              <w:t>Application CCTV systems encompassing:</w:t>
            </w:r>
          </w:p>
          <w:p w:rsidR="00000000" w:rsidRPr="0017032F" w:rsidP="0017032F">
            <w:pPr>
              <w:pStyle w:val="ListBullet"/>
            </w:pPr>
            <w:r w:rsidRPr="0017032F">
              <w:t>Sub-system components (i.e. functional blocks) and their function</w:t>
            </w:r>
          </w:p>
          <w:p w:rsidR="00000000" w:rsidRPr="0017032F" w:rsidP="0017032F">
            <w:pPr>
              <w:pStyle w:val="BodyText"/>
            </w:pPr>
            <w:r w:rsidRPr="0017032F">
              <w:t>T2</w:t>
            </w:r>
            <w:r w:rsidRPr="0017032F">
              <w:tab/>
              <w:t>Television principles encompassing:</w:t>
            </w:r>
          </w:p>
          <w:p w:rsidR="00000000" w:rsidRPr="0017032F" w:rsidP="0017032F">
            <w:pPr>
              <w:pStyle w:val="ListBullet"/>
            </w:pPr>
            <w:r w:rsidRPr="0017032F">
              <w:t>Sub-s</w:t>
            </w:r>
            <w:r w:rsidRPr="0017032F">
              <w:t>ystem components (i.e. functional blocks) and their function</w:t>
            </w:r>
          </w:p>
          <w:p w:rsidR="00000000" w:rsidRPr="0017032F" w:rsidP="0017032F">
            <w:pPr>
              <w:pStyle w:val="ListBullet"/>
            </w:pPr>
            <w:r w:rsidRPr="0017032F">
              <w:t>Video signals</w:t>
            </w:r>
          </w:p>
          <w:p w:rsidR="00000000" w:rsidRPr="0017032F" w:rsidP="0017032F">
            <w:pPr>
              <w:pStyle w:val="BodyText"/>
            </w:pPr>
            <w:r w:rsidRPr="0017032F">
              <w:t>T3</w:t>
            </w:r>
            <w:r w:rsidRPr="0017032F">
              <w:tab/>
              <w:t>CCTV cameras encompassing:</w:t>
            </w:r>
          </w:p>
          <w:p w:rsidR="00000000" w:rsidRPr="0017032F" w:rsidP="0017032F">
            <w:pPr>
              <w:pStyle w:val="ListBullet"/>
            </w:pPr>
            <w:r w:rsidRPr="0017032F">
              <w:t>Types of cameras</w:t>
            </w:r>
          </w:p>
          <w:p w:rsidR="00000000" w:rsidRPr="0017032F" w:rsidP="0017032F">
            <w:pPr>
              <w:pStyle w:val="ListBullet"/>
            </w:pPr>
            <w:r w:rsidRPr="0017032F">
              <w:t>Sub-system components (i.e. functional blocks) and their operating parameters</w:t>
            </w:r>
          </w:p>
          <w:p w:rsidR="00000000" w:rsidRPr="0017032F" w:rsidP="0017032F">
            <w:pPr>
              <w:pStyle w:val="BodyText"/>
            </w:pPr>
            <w:r w:rsidRPr="0017032F">
              <w:t>T4</w:t>
            </w:r>
            <w:r w:rsidRPr="0017032F">
              <w:tab/>
              <w:t>Camera lens encompassing:</w:t>
            </w:r>
          </w:p>
          <w:p w:rsidR="00000000" w:rsidRPr="0017032F" w:rsidP="0017032F">
            <w:pPr>
              <w:pStyle w:val="ListBullet"/>
            </w:pPr>
            <w:r w:rsidRPr="0017032F">
              <w:t>Types of lenses and their</w:t>
            </w:r>
            <w:r w:rsidRPr="0017032F">
              <w:t xml:space="preserve"> characteristics</w:t>
            </w:r>
          </w:p>
          <w:p w:rsidR="00000000" w:rsidRPr="0017032F" w:rsidP="0017032F">
            <w:pPr>
              <w:pStyle w:val="ListBullet"/>
            </w:pPr>
            <w:r w:rsidRPr="0017032F">
              <w:t>Application of various types</w:t>
            </w:r>
          </w:p>
          <w:p w:rsidR="00000000" w:rsidRPr="0017032F" w:rsidP="0017032F">
            <w:pPr>
              <w:pStyle w:val="ListBullet"/>
            </w:pPr>
            <w:r w:rsidRPr="0017032F">
              <w:t>Setting up</w:t>
            </w:r>
          </w:p>
          <w:p w:rsidR="00000000" w:rsidRPr="0017032F" w:rsidP="0017032F">
            <w:pPr>
              <w:pStyle w:val="BodyText"/>
            </w:pPr>
            <w:r w:rsidRPr="0017032F">
              <w:t>T5</w:t>
            </w:r>
            <w:r w:rsidRPr="0017032F">
              <w:tab/>
              <w:t>Monitors and recording devices</w:t>
            </w:r>
          </w:p>
          <w:p w:rsidR="00000000" w:rsidRPr="0017032F" w:rsidP="0017032F">
            <w:pPr>
              <w:pStyle w:val="ListBullet"/>
            </w:pPr>
            <w:r w:rsidRPr="0017032F">
              <w:t>Types and application</w:t>
            </w:r>
          </w:p>
          <w:p w:rsidR="00000000" w:rsidRPr="0017032F" w:rsidP="0017032F">
            <w:pPr>
              <w:pStyle w:val="ListBullet"/>
            </w:pPr>
            <w:r w:rsidRPr="0017032F">
              <w:t>Analogue and digital recording devices and their application</w:t>
            </w:r>
          </w:p>
          <w:p w:rsidR="00000000" w:rsidRPr="0017032F" w:rsidP="0017032F">
            <w:pPr>
              <w:pStyle w:val="BodyText"/>
            </w:pPr>
            <w:r w:rsidRPr="0017032F">
              <w:t>T6</w:t>
            </w:r>
            <w:r w:rsidRPr="0017032F">
              <w:tab/>
              <w:t>Installation and mounting encompassing:</w:t>
            </w:r>
          </w:p>
          <w:p w:rsidR="00000000" w:rsidRPr="0017032F" w:rsidP="0017032F">
            <w:pPr>
              <w:pStyle w:val="ListBullet"/>
            </w:pPr>
            <w:r w:rsidRPr="0017032F">
              <w:t>Consideration in locating and mounting CCTV camera and auxiliary equipment</w:t>
            </w:r>
          </w:p>
          <w:p w:rsidR="00000000" w:rsidRPr="0017032F" w:rsidP="0017032F">
            <w:pPr>
              <w:pStyle w:val="ListContinue"/>
            </w:pPr>
            <w:r w:rsidRPr="0017032F">
              <w:t>Note.</w:t>
            </w:r>
          </w:p>
          <w:p w:rsidR="00000000" w:rsidRPr="0017032F" w:rsidP="0017032F">
            <w:pPr>
              <w:pStyle w:val="ListContinue"/>
            </w:pPr>
            <w:r w:rsidRPr="0017032F">
              <w:t>1. Examples are need for sealed and heated housings, IP rating required, methods for overcoming earth (ground) loops, need for lighting protection.</w:t>
            </w:r>
          </w:p>
          <w:p w:rsidR="00000000" w:rsidRPr="0017032F" w:rsidP="0017032F">
            <w:pPr>
              <w:pStyle w:val="ListContinue"/>
            </w:pPr>
            <w:r w:rsidRPr="0017032F">
              <w:t>2. Examples of auxiliary e</w:t>
            </w:r>
            <w:r w:rsidRPr="0017032F">
              <w:t>quipment are in-line video amplifiers/ equalizers and video distribution amplifiers</w:t>
            </w:r>
          </w:p>
          <w:p w:rsidR="00000000" w:rsidRPr="0017032F" w:rsidP="0017032F">
            <w:pPr>
              <w:pStyle w:val="BodyText"/>
            </w:pPr>
            <w:r w:rsidRPr="0017032F">
              <w:t>T7</w:t>
            </w:r>
            <w:r w:rsidRPr="0017032F">
              <w:tab/>
              <w:t xml:space="preserve">Evidence shall show an understanding of advanced electronic security systems to an extent </w:t>
            </w:r>
            <w:r w:rsidRPr="0017032F">
              <w:tab/>
              <w:t xml:space="preserve">indicated by the following aspects: </w:t>
            </w:r>
          </w:p>
          <w:p w:rsidR="00000000" w:rsidRPr="0017032F" w:rsidP="0017032F">
            <w:pPr>
              <w:pStyle w:val="ListBullet"/>
            </w:pPr>
            <w:r w:rsidRPr="0017032F">
              <w:t>Connection of input and output devices t</w:t>
            </w:r>
            <w:r w:rsidRPr="0017032F">
              <w:t>o detectors and control panels</w:t>
            </w:r>
          </w:p>
          <w:p w:rsidR="00000000" w:rsidRPr="0017032F" w:rsidP="0017032F">
            <w:pPr>
              <w:pStyle w:val="ListBullet"/>
            </w:pPr>
            <w:r w:rsidRPr="0017032F">
              <w:t>Procedures to perform hardware and software upgrades</w:t>
            </w:r>
          </w:p>
          <w:p w:rsidR="00000000" w:rsidRPr="0017032F" w:rsidP="0017032F">
            <w:pPr>
              <w:pStyle w:val="ListBullet"/>
            </w:pPr>
            <w:r w:rsidRPr="0017032F">
              <w:t>Types of code pads and commands required to operate the system</w:t>
            </w:r>
          </w:p>
          <w:p w:rsidR="00000000" w:rsidRPr="0017032F" w:rsidP="0017032F">
            <w:pPr>
              <w:pStyle w:val="BodyText"/>
            </w:pPr>
            <w:r w:rsidRPr="0017032F">
              <w:t>T8</w:t>
            </w:r>
            <w:r w:rsidRPr="0017032F">
              <w:tab/>
              <w:t xml:space="preserve">Security video monitoring and recording </w:t>
            </w:r>
          </w:p>
          <w:p w:rsidR="00000000" w:rsidRPr="0017032F" w:rsidP="0017032F">
            <w:pPr>
              <w:pStyle w:val="BodyText"/>
            </w:pPr>
            <w:r w:rsidRPr="0017032F">
              <w:t>Evidence shall s</w:t>
            </w:r>
            <w:r w:rsidRPr="0017032F">
              <w:t xml:space="preserve">how an understanding of security video monitoring and recording to an extent indicated by the following aspects: </w:t>
            </w:r>
          </w:p>
          <w:p w:rsidR="00000000" w:rsidRPr="0017032F" w:rsidP="0017032F">
            <w:pPr>
              <w:pStyle w:val="ListBullet"/>
            </w:pPr>
            <w:r w:rsidRPr="0017032F">
              <w:t>Principles of television systems</w:t>
            </w:r>
          </w:p>
          <w:p w:rsidR="00000000" w:rsidRPr="0017032F" w:rsidP="0017032F">
            <w:pPr>
              <w:pStyle w:val="ListBullet"/>
            </w:pPr>
            <w:r w:rsidRPr="0017032F">
              <w:t>Multiplexing techniques</w:t>
            </w:r>
          </w:p>
          <w:p w:rsidR="00000000" w:rsidRPr="0017032F" w:rsidP="0017032F">
            <w:pPr>
              <w:pStyle w:val="ListBullet"/>
            </w:pPr>
            <w:r w:rsidRPr="0017032F">
              <w:t>Multiplex display and recording of CCTV</w:t>
            </w:r>
          </w:p>
          <w:p w:rsidR="00000000" w:rsidRPr="0017032F" w:rsidP="0017032F">
            <w:pPr>
              <w:pStyle w:val="ListBullet"/>
            </w:pPr>
            <w:r w:rsidRPr="0017032F">
              <w:t>Digital encoding techniques</w:t>
            </w:r>
          </w:p>
          <w:p w:rsidR="00000000" w:rsidRPr="0017032F" w:rsidP="0017032F">
            <w:pPr>
              <w:pStyle w:val="ListBullet"/>
            </w:pPr>
            <w:r w:rsidRPr="0017032F">
              <w:t>Video distributi</w:t>
            </w:r>
            <w:r w:rsidRPr="0017032F">
              <w:t>on and transmission techniques</w:t>
            </w:r>
          </w:p>
          <w:p w:rsidR="00000000" w:rsidRPr="0017032F" w:rsidP="0017032F">
            <w:pPr>
              <w:pStyle w:val="ListBullet"/>
            </w:pPr>
            <w:r w:rsidRPr="0017032F">
              <w:t>Microprocessor based CCTV systems</w:t>
            </w:r>
          </w:p>
          <w:p w:rsidR="00000000" w:rsidRPr="0017032F" w:rsidP="0017032F">
            <w:pPr>
              <w:pStyle w:val="ListBullet"/>
            </w:pPr>
            <w:r w:rsidRPr="0017032F">
              <w:t>Factors affecting picture quality</w:t>
            </w:r>
          </w:p>
          <w:p w:rsidR="00000000" w:rsidRPr="0017032F" w:rsidP="0017032F">
            <w:pPr>
              <w:pStyle w:val="BodyText"/>
            </w:pPr>
            <w:r w:rsidRPr="0017032F">
              <w:t>T9</w:t>
            </w:r>
            <w:r w:rsidRPr="0017032F">
              <w:tab/>
              <w:t xml:space="preserve">Evidence shall show an understanding of biometric devices to an extent indicated by the </w:t>
            </w:r>
            <w:r w:rsidRPr="0017032F">
              <w:tab/>
              <w:t xml:space="preserve">following aspects: </w:t>
            </w:r>
          </w:p>
          <w:p w:rsidR="00000000" w:rsidRPr="0017032F" w:rsidP="0017032F">
            <w:pPr>
              <w:pStyle w:val="ListBullet"/>
            </w:pPr>
            <w:r w:rsidRPr="0017032F">
              <w:t>Biometrics techniques and processes includin</w:t>
            </w:r>
            <w:r w:rsidRPr="0017032F">
              <w:t>g definitions, terminology, advantages, disadvantages and applications</w:t>
            </w:r>
          </w:p>
          <w:p w:rsidR="00000000" w:rsidRPr="0017032F" w:rsidP="0017032F">
            <w:pPr>
              <w:pStyle w:val="ListContinue"/>
            </w:pPr>
            <w:r w:rsidRPr="0017032F">
              <w:t>Note.</w:t>
            </w:r>
          </w:p>
          <w:p w:rsidR="00000000" w:rsidRPr="0017032F" w:rsidP="0017032F">
            <w:pPr>
              <w:pStyle w:val="ListContinue"/>
            </w:pPr>
            <w:r w:rsidRPr="0017032F">
              <w:t>Includes basic principles of database design, software techniques, classifier combination, feature extraction, feature enhancement, chain code methods, image analysis, biometric transforms, matching techniques, verification and identification, biometric to</w:t>
            </w:r>
            <w:r w:rsidRPr="0017032F">
              <w:t>ols, satistical measures of biometrics</w:t>
            </w:r>
          </w:p>
          <w:p w:rsidR="00000000" w:rsidRPr="0017032F" w:rsidP="0017032F">
            <w:pPr>
              <w:pStyle w:val="BodyText"/>
            </w:pPr>
            <w:r w:rsidRPr="0017032F">
              <w:t>T10</w:t>
            </w:r>
            <w:r w:rsidRPr="0017032F">
              <w:tab/>
              <w:t>Biometric device tools, software and testing techniques</w:t>
            </w:r>
          </w:p>
          <w:p w:rsidR="00000000" w:rsidRPr="0017032F" w:rsidP="0017032F">
            <w:pPr>
              <w:pStyle w:val="ListBullet"/>
            </w:pPr>
            <w:r w:rsidRPr="0017032F">
              <w:t>Physical interaction with biometric devices including operation and installation of biometric devices examples are iris scanners, hand scanners voice recogn</w:t>
            </w:r>
            <w:r w:rsidRPr="0017032F">
              <w:t>ition apparatus, facial recognition devices and like equipment</w:t>
            </w:r>
          </w:p>
          <w:p w:rsidR="00000000" w:rsidRPr="0017032F" w:rsidP="0017032F">
            <w:pPr>
              <w:pStyle w:val="ListBullet"/>
            </w:pPr>
            <w:r w:rsidRPr="0017032F">
              <w:t>Legal aspects of biometrics</w:t>
            </w:r>
          </w:p>
          <w:p w:rsidR="00000000" w:rsidRPr="0017032F" w:rsidP="0017032F">
            <w:pPr>
              <w:pStyle w:val="ListBullet"/>
            </w:pPr>
            <w:r w:rsidRPr="0017032F">
              <w:t>Australian laws impacting on biometrics security and privacy legislation.</w:t>
            </w:r>
          </w:p>
          <w:p w:rsidR="00000000" w:rsidRPr="0017032F" w:rsidP="0017032F">
            <w:pPr>
              <w:pStyle w:val="ListBullet"/>
            </w:pPr>
            <w:r w:rsidRPr="0017032F">
              <w:t>Australian standards</w:t>
            </w:r>
          </w:p>
        </w:tc>
      </w:tr>
    </w:tbl>
    <w:p w:rsidR="00000000" w:rsidRPr="0017032F" w:rsidP="0017032F">
      <w:pPr>
        <w:pStyle w:val="BodyText"/>
      </w:pPr>
    </w:p>
    <w:p w:rsidR="00000000" w:rsidRPr="0017032F" w:rsidP="0017032F">
      <w:pPr>
        <w:pStyle w:val="AllowPageBreak"/>
      </w:pPr>
    </w:p>
    <w:p w:rsidR="00000000" w:rsidRPr="0017032F" w:rsidP="0017032F">
      <w:pPr>
        <w:pStyle w:val="Heading1"/>
      </w:pPr>
      <w:bookmarkStart w:id="10" w:name="O_587738"/>
      <w:bookmarkEnd w:id="10"/>
      <w:r w:rsidRPr="0017032F">
        <w:t>Evidence Guide</w:t>
      </w:r>
    </w:p>
    <w:tbl>
      <w:tblPr>
        <w:tblW w:w="0" w:type="auto"/>
        <w:tblLayout w:type="fixed"/>
        <w:tblCellMar>
          <w:left w:w="62" w:type="dxa"/>
          <w:right w:w="62" w:type="dxa"/>
        </w:tblCellMar>
        <w:tblLook w:val="0000"/>
      </w:tblPr>
      <w:tblGrid>
        <w:gridCol w:w="8460"/>
      </w:tblGrid>
      <w:tr w:rsidTr="00762C3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EVIDENCE GUIDE</w:t>
            </w:r>
          </w:p>
        </w:tc>
      </w:tr>
      <w:tr w:rsidTr="00762C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9)</w:t>
            </w:r>
            <w:r w:rsidRPr="0017032F">
              <w:t xml:space="preserve"> The evidence guide provides advice on assessment and must be read in conjunction with the Performance Criteria, Required Skills and Knowledge, the Range Statement and the Assessment Guidelines for this Training Package. .</w:t>
            </w:r>
          </w:p>
          <w:p w:rsidR="00000000" w:rsidRPr="0017032F" w:rsidP="0017032F">
            <w:pPr>
              <w:pStyle w:val="BodyText"/>
            </w:pPr>
            <w:r w:rsidRPr="0017032F">
              <w:t>The Evidence Guide forms an integ</w:t>
            </w:r>
            <w:r w:rsidRPr="0017032F">
              <w:t>ral part of this unit. It must be used in conjunction with all parts of the unit and performed in accordance with the Assessment Guidelines of this Training Package.</w:t>
            </w:r>
          </w:p>
        </w:tc>
      </w:tr>
    </w:tbl>
    <w:p w:rsidR="00000000" w:rsidRPr="0017032F" w:rsidP="0017032F">
      <w:pPr>
        <w:pStyle w:val="BodyText"/>
      </w:pPr>
    </w:p>
    <w:tbl>
      <w:tblPr>
        <w:tblW w:w="0" w:type="auto"/>
        <w:tblLayout w:type="fixed"/>
        <w:tblCellMar>
          <w:left w:w="62" w:type="dxa"/>
          <w:right w:w="62" w:type="dxa"/>
        </w:tblCellMar>
        <w:tblLook w:val="0000"/>
      </w:tblPr>
      <w:tblGrid>
        <w:gridCol w:w="1890"/>
        <w:gridCol w:w="6570"/>
      </w:tblGrid>
      <w:tr w:rsidTr="00762C3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9.1)</w:t>
            </w:r>
          </w:p>
        </w:tc>
      </w:tr>
      <w:tr w:rsidTr="00762C3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Longitudinal competency development approaches to assessment, such as Profiling, require data to be reliably gathered in a form that can be consistently interpreted over time. This approach is best utilised in Apprenticeship programs and reduces assessment</w:t>
            </w:r>
            <w:r w:rsidRPr="0017032F">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17032F">
              <w:t>cy in a realistically simulated work environment. It is recognised that, in some circumstances, assessment in part or full can occur outside the workplace. However, it must be in accord with industry and regulatory policy.</w:t>
            </w:r>
          </w:p>
          <w:p w:rsidR="00000000" w:rsidRPr="0017032F" w:rsidP="0017032F">
            <w:pPr>
              <w:pStyle w:val="BodyText"/>
            </w:pPr>
            <w:r w:rsidRPr="0017032F">
              <w:t>Methods chosen for a particular a</w:t>
            </w:r>
            <w:r w:rsidRPr="0017032F">
              <w:t>ssessment will be influenced by various factors. These include the extent of the assessment, the most effective locations for the assessment activities to take place, access to physical resources, additional safety measures that may be required and the cri</w:t>
            </w:r>
            <w:r w:rsidRPr="0017032F">
              <w:t>tical nature of the competencies being assessed.</w:t>
            </w:r>
          </w:p>
          <w:p w:rsidR="00000000" w:rsidRPr="0017032F" w:rsidP="0017032F">
            <w:pPr>
              <w:pStyle w:val="BodyText"/>
            </w:pPr>
            <w:r w:rsidRPr="0017032F">
              <w:t>The critical safety nature of working with electricity, electrical equipment, gas or any other hazardous substance/material carries risk in deeming a person competent. Sources of evidence need to be ‘rich’ i</w:t>
            </w:r>
            <w:r w:rsidRPr="0017032F">
              <w:t>n nature to minimise error in judgment.</w:t>
            </w:r>
          </w:p>
          <w:p w:rsidR="00000000" w:rsidRPr="0017032F" w:rsidP="0017032F">
            <w:pPr>
              <w:pStyle w:val="BodyText"/>
            </w:pPr>
            <w:r w:rsidRPr="0017032F">
              <w:t>Activities associated with normal everyday work influence decisions about how/how much the data gathered will contribute to its ‘richness’. Some skills are more critical to safety and operational requirements while t</w:t>
            </w:r>
            <w:r w:rsidRPr="0017032F">
              <w:t>he same skills may be more or less frequently practised. These points are raised for the assessors to consider when choosing an assessment method and developing assessment instruments. Sample assessment instruments are included for Assessors in the Assessm</w:t>
            </w:r>
            <w:r w:rsidRPr="0017032F">
              <w:t>ent Guidelines of this Training Package.</w:t>
            </w:r>
          </w:p>
        </w:tc>
      </w:tr>
    </w:tbl>
    <w:p w:rsidR="00000000" w:rsidRPr="0017032F" w:rsidP="0017032F">
      <w:pPr>
        <w:pStyle w:val="BodyText"/>
      </w:pPr>
    </w:p>
    <w:tbl>
      <w:tblPr>
        <w:tblW w:w="9752" w:type="dxa"/>
        <w:tblLayout w:type="fixed"/>
        <w:tblCellMar>
          <w:left w:w="62" w:type="dxa"/>
          <w:right w:w="62" w:type="dxa"/>
        </w:tblCellMar>
        <w:tblLook w:val="0000"/>
      </w:tblPr>
      <w:tblGrid>
        <w:gridCol w:w="1831"/>
        <w:gridCol w:w="59"/>
        <w:gridCol w:w="5972"/>
        <w:gridCol w:w="598"/>
        <w:gridCol w:w="1292"/>
      </w:tblGrid>
      <w:tr w:rsidTr="00762C30">
        <w:tblPrEx>
          <w:tblW w:w="9752" w:type="dxa"/>
          <w:tblLayout w:type="fixed"/>
          <w:tblCellMar>
            <w:left w:w="62" w:type="dxa"/>
            <w:right w:w="62" w:type="dxa"/>
          </w:tblCellMar>
          <w:tblLook w:val="0000"/>
        </w:tblPrEx>
        <w:trPr>
          <w:gridAfter w:val="1"/>
          <w:wAfter w:w="1292" w:type="dxa"/>
        </w:trPr>
        <w:tc>
          <w:tcPr>
            <w:tcW w:w="1890" w:type="dxa"/>
            <w:gridSpan w:val="2"/>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9.2)</w:t>
            </w:r>
          </w:p>
        </w:tc>
      </w:tr>
      <w:tr w:rsidTr="00762C30">
        <w:tblPrEx>
          <w:tblW w:w="9752" w:type="dxa"/>
          <w:tblLayout w:type="fixed"/>
          <w:tblCellMar>
            <w:left w:w="62" w:type="dxa"/>
            <w:right w:w="62" w:type="dxa"/>
          </w:tblCellMar>
          <w:tblLook w:val="0000"/>
        </w:tblPrEx>
        <w:trPr>
          <w:gridAfter w:val="1"/>
          <w:wAfter w:w="1292"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Before the critical aspects of evidence are considered all prerequisites shall be met.</w:t>
            </w:r>
          </w:p>
          <w:p w:rsidR="00000000" w:rsidRPr="0017032F" w:rsidP="0017032F">
            <w:pPr>
              <w:pStyle w:val="BodyText"/>
            </w:pPr>
            <w:r w:rsidRPr="0017032F">
              <w:t>Evidence for competence in this unit shal</w:t>
            </w:r>
            <w:r w:rsidRPr="0017032F">
              <w:t>l be considered holistically.  Each Element and associated performance criteria shall be demonstrated on at least two occasions in accordance with the ‘Assessment Guidelines – UEE11’.  Evidence shall also comprise:</w:t>
            </w:r>
          </w:p>
          <w:p w:rsidR="00000000" w:rsidRPr="0017032F" w:rsidP="0017032F">
            <w:pPr>
              <w:pStyle w:val="ListBullet"/>
            </w:pPr>
            <w:r w:rsidRPr="0017032F">
              <w:t>A representative body of work performanc</w:t>
            </w:r>
            <w:r w:rsidRPr="0017032F">
              <w:t>e demonstrated within the timeframes typically expected of the discipline, work function and industrial environment. In particular this shall incorporate evidence that shows a candidate is able to:</w:t>
            </w:r>
          </w:p>
          <w:p w:rsidR="00000000" w:rsidRPr="0017032F" w:rsidP="0017032F">
            <w:pPr>
              <w:pStyle w:val="ListBullet2"/>
            </w:pPr>
            <w:r w:rsidRPr="0017032F">
              <w:t>Implement Occupational Health and Safety workplace procedures and practices, including the use of risk control measures as specified in the performance criteria and range statement</w:t>
            </w:r>
          </w:p>
          <w:p w:rsidR="00000000" w:rsidRPr="0017032F" w:rsidP="0017032F">
            <w:pPr>
              <w:pStyle w:val="ListBullet2"/>
            </w:pPr>
            <w:r w:rsidRPr="0017032F">
              <w:t>Apply sustainable energy principles and practices as specified in the perfo</w:t>
            </w:r>
            <w:r w:rsidRPr="0017032F">
              <w:t>rmance criteria and range statement</w:t>
            </w:r>
          </w:p>
          <w:p w:rsidR="00000000" w:rsidRPr="0017032F" w:rsidP="0017032F">
            <w:pPr>
              <w:pStyle w:val="ListBullet2"/>
            </w:pPr>
            <w:r w:rsidRPr="0017032F">
              <w:t>Demonstrate an understanding of the essential knowledge and associated skills as described in this unit.  It may be required by some jurisdictions that RTOs provide a percentile graded result for the purpose of regulator</w:t>
            </w:r>
            <w:r w:rsidRPr="0017032F">
              <w:t>y or licensing requirements.</w:t>
            </w:r>
          </w:p>
          <w:p w:rsidR="00000000" w:rsidRPr="0017032F" w:rsidP="0017032F">
            <w:pPr>
              <w:pStyle w:val="ListBullet2"/>
            </w:pPr>
            <w:r w:rsidRPr="0017032F">
              <w:t>Demonstrate an appropriate level of skills enabling employment</w:t>
            </w:r>
          </w:p>
          <w:p w:rsidR="00000000" w:rsidRPr="0017032F" w:rsidP="0017032F">
            <w:pPr>
              <w:pStyle w:val="ListBullet2"/>
            </w:pPr>
            <w:r w:rsidRPr="0017032F">
              <w:t>Conduct work observing the relevant Anti Discrimination legislation, regulations, polices and workplace procedures</w:t>
            </w:r>
          </w:p>
          <w:p w:rsidR="00000000" w:rsidRPr="0017032F" w:rsidP="0017032F">
            <w:pPr>
              <w:pStyle w:val="ListBullet"/>
            </w:pPr>
            <w:r w:rsidRPr="0017032F">
              <w:t>Demonstrated consistent performance across a rep</w:t>
            </w:r>
            <w:r w:rsidRPr="0017032F">
              <w:t>resentative range of contexts from the prescribed items below:</w:t>
            </w:r>
          </w:p>
          <w:p w:rsidR="00000000" w:rsidP="0017032F">
            <w:pPr>
              <w:pStyle w:val="ListBullet2"/>
              <w:rPr>
                <w:lang w:val="en-NZ"/>
              </w:rPr>
            </w:pPr>
            <w:r w:rsidRPr="0017032F">
              <w:t>Install large wired and wireless security systems as described in 8) and including:</w:t>
            </w:r>
          </w:p>
        </w:tc>
      </w:tr>
      <w:tr w:rsidTr="00762C30">
        <w:tblPrEx>
          <w:tblW w:w="9752" w:type="dxa"/>
          <w:tblLayout w:type="fixed"/>
          <w:tblCellMar>
            <w:left w:w="62" w:type="dxa"/>
            <w:right w:w="62" w:type="dxa"/>
          </w:tblCellMar>
          <w:tblLook w:val="0000"/>
        </w:tblPrEx>
        <w:trPr>
          <w:gridAfter w:val="2"/>
          <w:wAfter w:w="1890" w:type="dxa"/>
        </w:trPr>
        <w:tc>
          <w:tcPr>
            <w:tcW w:w="1831"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A</w:t>
            </w:r>
          </w:p>
        </w:tc>
        <w:tc>
          <w:tcPr>
            <w:tcW w:w="6031"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Reading and interpreting drawings related to cable layouts and apparatus locations.</w:t>
            </w:r>
          </w:p>
        </w:tc>
      </w:tr>
      <w:tr w:rsidTr="00762C30">
        <w:tblPrEx>
          <w:tblW w:w="9752" w:type="dxa"/>
          <w:tblLayout w:type="fixed"/>
          <w:tblCellMar>
            <w:left w:w="62" w:type="dxa"/>
            <w:right w:w="62" w:type="dxa"/>
          </w:tblCellMar>
          <w:tblLook w:val="0000"/>
        </w:tblPrEx>
        <w:trPr>
          <w:gridAfter w:val="2"/>
          <w:wAfter w:w="1890" w:type="dxa"/>
        </w:trPr>
        <w:tc>
          <w:tcPr>
            <w:tcW w:w="1831"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B</w:t>
            </w:r>
          </w:p>
        </w:tc>
        <w:tc>
          <w:tcPr>
            <w:tcW w:w="6031"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Placing and securing devices and accessories accurately.</w:t>
            </w:r>
          </w:p>
        </w:tc>
      </w:tr>
      <w:tr w:rsidTr="00762C30">
        <w:tblPrEx>
          <w:tblW w:w="9752" w:type="dxa"/>
          <w:tblLayout w:type="fixed"/>
          <w:tblCellMar>
            <w:left w:w="62" w:type="dxa"/>
            <w:right w:w="62" w:type="dxa"/>
          </w:tblCellMar>
          <w:tblLook w:val="0000"/>
        </w:tblPrEx>
        <w:trPr>
          <w:gridAfter w:val="2"/>
          <w:wAfter w:w="1890" w:type="dxa"/>
        </w:trPr>
        <w:tc>
          <w:tcPr>
            <w:tcW w:w="1831"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C</w:t>
            </w:r>
          </w:p>
        </w:tc>
        <w:tc>
          <w:tcPr>
            <w:tcW w:w="6031"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Maintaining fire integrity.</w:t>
            </w:r>
          </w:p>
        </w:tc>
      </w:tr>
      <w:tr w:rsidTr="00762C30">
        <w:tblPrEx>
          <w:tblW w:w="9752" w:type="dxa"/>
          <w:tblLayout w:type="fixed"/>
          <w:tblCellMar>
            <w:left w:w="62" w:type="dxa"/>
            <w:right w:w="62" w:type="dxa"/>
          </w:tblCellMar>
          <w:tblLook w:val="0000"/>
        </w:tblPrEx>
        <w:trPr>
          <w:gridAfter w:val="2"/>
          <w:wAfter w:w="1890" w:type="dxa"/>
        </w:trPr>
        <w:tc>
          <w:tcPr>
            <w:tcW w:w="1831"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D</w:t>
            </w:r>
          </w:p>
        </w:tc>
        <w:tc>
          <w:tcPr>
            <w:tcW w:w="6031"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Terminating cable and conductors correctly.</w:t>
            </w:r>
          </w:p>
        </w:tc>
      </w:tr>
      <w:tr w:rsidTr="00762C30">
        <w:tblPrEx>
          <w:tblW w:w="9752" w:type="dxa"/>
          <w:tblLayout w:type="fixed"/>
          <w:tblCellMar>
            <w:left w:w="62" w:type="dxa"/>
            <w:right w:w="62" w:type="dxa"/>
          </w:tblCellMar>
          <w:tblLook w:val="0000"/>
        </w:tblPrEx>
        <w:trPr>
          <w:gridAfter w:val="2"/>
          <w:wAfter w:w="1890" w:type="dxa"/>
        </w:trPr>
        <w:tc>
          <w:tcPr>
            <w:tcW w:w="1831"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E</w:t>
            </w:r>
          </w:p>
        </w:tc>
        <w:tc>
          <w:tcPr>
            <w:tcW w:w="6031"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Documenting installation.</w:t>
            </w:r>
          </w:p>
        </w:tc>
      </w:tr>
      <w:tr w:rsidTr="00762C30">
        <w:tblPrEx>
          <w:tblW w:w="9752" w:type="dxa"/>
          <w:tblLayout w:type="fixed"/>
          <w:tblCellMar>
            <w:left w:w="62" w:type="dxa"/>
            <w:right w:w="62" w:type="dxa"/>
          </w:tblCellMar>
          <w:tblLook w:val="0000"/>
        </w:tblPrEx>
        <w:trPr>
          <w:gridAfter w:val="2"/>
          <w:wAfter w:w="1890" w:type="dxa"/>
        </w:trPr>
        <w:tc>
          <w:tcPr>
            <w:tcW w:w="1831"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F</w:t>
            </w:r>
          </w:p>
        </w:tc>
        <w:tc>
          <w:tcPr>
            <w:tcW w:w="6031"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Dealing with unplanned events by drawing on essential knowledge and skills to provide app</w:t>
            </w:r>
            <w:r w:rsidRPr="0017032F">
              <w:t>ropriate solutions incorporated in a holistic assessment with the above listed items.</w:t>
            </w:r>
          </w:p>
        </w:tc>
      </w:tr>
      <w:tr w:rsidTr="00762C30">
        <w:tblPrEx>
          <w:tblW w:w="9752" w:type="dxa"/>
          <w:tblLayout w:type="fixed"/>
          <w:tblCellMar>
            <w:left w:w="62" w:type="dxa"/>
            <w:right w:w="62" w:type="dxa"/>
          </w:tblCellMar>
          <w:tblLook w:val="0000"/>
        </w:tblPrEx>
        <w:tc>
          <w:tcPr>
            <w:tcW w:w="9752" w:type="dxa"/>
            <w:gridSpan w:val="5"/>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Note:</w:t>
            </w:r>
          </w:p>
          <w:p w:rsidR="00000000" w:rsidRPr="0017032F" w:rsidP="0017032F">
            <w:pPr>
              <w:pStyle w:val="BodyText"/>
            </w:pPr>
            <w:r w:rsidRPr="0017032F">
              <w:t>Successful completion of relevant vendor training may be used to contr</w:t>
            </w:r>
            <w:r w:rsidRPr="0017032F">
              <w:t>ibute to evidence on which competency is deemed. In these cases the alignment of outcomes of vendor training with performance criteria and critical aspects of evidence shall be clearly identified.</w:t>
            </w:r>
          </w:p>
        </w:tc>
      </w:tr>
    </w:tbl>
    <w:p w:rsidR="00000000" w:rsidRPr="0017032F" w:rsidP="0017032F">
      <w:pPr>
        <w:pStyle w:val="BodyText"/>
      </w:pPr>
    </w:p>
    <w:tbl>
      <w:tblPr>
        <w:tblW w:w="0" w:type="auto"/>
        <w:tblLayout w:type="fixed"/>
        <w:tblCellMar>
          <w:left w:w="62" w:type="dxa"/>
          <w:right w:w="62" w:type="dxa"/>
        </w:tblCellMar>
        <w:tblLook w:val="0000"/>
      </w:tblPr>
      <w:tblGrid>
        <w:gridCol w:w="1890"/>
        <w:gridCol w:w="6570"/>
      </w:tblGrid>
      <w:tr w:rsidTr="00762C3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9.3)</w:t>
            </w:r>
          </w:p>
        </w:tc>
      </w:tr>
      <w:tr w:rsidTr="00762C3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This unit should be assessed as it relates to normal work practice using procedures, information and resources typical of a workplace. This should include:</w:t>
            </w:r>
          </w:p>
          <w:p w:rsidR="00000000" w:rsidRPr="0017032F" w:rsidP="0017032F">
            <w:pPr>
              <w:pStyle w:val="ListBullet"/>
            </w:pPr>
            <w:r w:rsidRPr="0017032F">
              <w:t>OHS policy and work procedures and instructions.</w:t>
            </w:r>
          </w:p>
          <w:p w:rsidR="00000000" w:rsidRPr="0017032F" w:rsidP="0017032F">
            <w:pPr>
              <w:pStyle w:val="ListBullet"/>
            </w:pPr>
            <w:r w:rsidRPr="0017032F">
              <w:t>Suitable work environment, facilities, equipment and materials to undertake actual work as prescribed by this unit.</w:t>
            </w:r>
          </w:p>
          <w:p w:rsidR="00000000" w:rsidRPr="0017032F" w:rsidP="0017032F">
            <w:pPr>
              <w:pStyle w:val="BodyText"/>
            </w:pPr>
            <w:r w:rsidRPr="0017032F">
              <w:t>These should be part of the formal learning/assessment environment.</w:t>
            </w:r>
          </w:p>
          <w:p w:rsidR="00000000" w:rsidRPr="0017032F" w:rsidP="0017032F">
            <w:pPr>
              <w:pStyle w:val="BodyText"/>
            </w:pPr>
            <w:r w:rsidRPr="0017032F">
              <w:t>Note:</w:t>
            </w:r>
          </w:p>
          <w:p w:rsidR="00000000" w:rsidRPr="0017032F" w:rsidP="0017032F">
            <w:pPr>
              <w:pStyle w:val="BodyText"/>
            </w:pPr>
            <w:r w:rsidRPr="0017032F">
              <w:t>Where simulation is considered a suitable strategy for assessment,</w:t>
            </w:r>
            <w:r w:rsidRPr="0017032F">
              <w:t xml:space="preserve"> conditions must be authentic and as far as possible reproduce and replicate the workplace and be consistent with the approved industry simulation policy.</w:t>
            </w:r>
          </w:p>
          <w:p w:rsidR="00000000" w:rsidRPr="0017032F" w:rsidP="0017032F">
            <w:pPr>
              <w:pStyle w:val="BodyText"/>
            </w:pPr>
            <w:r w:rsidRPr="0017032F">
              <w:t>The resources used for assessment should reflect current industry practices in relation to installing</w:t>
            </w:r>
            <w:r w:rsidRPr="0017032F">
              <w:t xml:space="preserve"> large wired and wireless security systems.</w:t>
            </w:r>
          </w:p>
        </w:tc>
      </w:tr>
    </w:tbl>
    <w:p w:rsidR="00000000" w:rsidRPr="0017032F" w:rsidP="0017032F">
      <w:pPr>
        <w:pStyle w:val="BodyText"/>
      </w:pPr>
    </w:p>
    <w:tbl>
      <w:tblPr>
        <w:tblW w:w="0" w:type="auto"/>
        <w:tblLayout w:type="fixed"/>
        <w:tblCellMar>
          <w:left w:w="62" w:type="dxa"/>
          <w:right w:w="62" w:type="dxa"/>
        </w:tblCellMar>
        <w:tblLook w:val="0000"/>
      </w:tblPr>
      <w:tblGrid>
        <w:gridCol w:w="1890"/>
        <w:gridCol w:w="6570"/>
      </w:tblGrid>
      <w:tr w:rsidTr="00762C3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9.4)</w:t>
            </w:r>
          </w:p>
        </w:tc>
      </w:tr>
      <w:tr w:rsidTr="00762C3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This unit shall be assessed by methods given in Volume 1, Part 3 ‘Assessment Guidelines’.</w:t>
            </w:r>
          </w:p>
          <w:p w:rsidR="00000000" w:rsidRPr="0017032F" w:rsidP="0017032F">
            <w:pPr>
              <w:pStyle w:val="BodyText"/>
            </w:pPr>
            <w:r w:rsidRPr="0017032F">
              <w:t>Note:</w:t>
            </w:r>
          </w:p>
          <w:p w:rsidR="00000000" w:rsidRPr="0017032F" w:rsidP="0017032F">
            <w:pPr>
              <w:pStyle w:val="BodyText"/>
            </w:pPr>
            <w:r w:rsidRPr="0017032F">
              <w:t>Competent performance with inherent safe working practices is expected in the industry to which this unit applies. This requires that the specified essential knowledge and associated skills are assessed in a structured environment which is primarily intend</w:t>
            </w:r>
            <w:r w:rsidRPr="0017032F">
              <w:t>ed for learning/assessment and incorporates all necessary equipment and facilities for learners to develop and demonstrate the essential knowledge and skills described in this unit.</w:t>
            </w:r>
          </w:p>
        </w:tc>
      </w:tr>
    </w:tbl>
    <w:p w:rsidR="00000000" w:rsidRPr="0017032F" w:rsidP="0017032F">
      <w:pPr>
        <w:pStyle w:val="BodyText"/>
      </w:pPr>
    </w:p>
    <w:tbl>
      <w:tblPr>
        <w:tblW w:w="0" w:type="auto"/>
        <w:tblLayout w:type="fixed"/>
        <w:tblCellMar>
          <w:left w:w="62" w:type="dxa"/>
          <w:right w:w="62" w:type="dxa"/>
        </w:tblCellMar>
        <w:tblLook w:val="0000"/>
      </w:tblPr>
      <w:tblGrid>
        <w:gridCol w:w="1314"/>
        <w:gridCol w:w="576"/>
        <w:gridCol w:w="5642"/>
        <w:gridCol w:w="928"/>
      </w:tblGrid>
      <w:tr w:rsidTr="00762C3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9.5)</w:t>
            </w:r>
          </w:p>
        </w:tc>
      </w:tr>
      <w:tr w:rsidTr="00762C3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For op</w:t>
            </w:r>
            <w:r w:rsidRPr="0017032F">
              <w:t>timisation of training and assessment effort, competency development in this unit may be arranged concurrently with unit:</w:t>
            </w:r>
          </w:p>
        </w:tc>
      </w:tr>
      <w:tr w:rsidTr="00762C30">
        <w:tblPrEx>
          <w:tblW w:w="0" w:type="auto"/>
          <w:tblLayout w:type="fixed"/>
          <w:tblCellMar>
            <w:left w:w="62" w:type="dxa"/>
            <w:right w:w="62" w:type="dxa"/>
          </w:tblCellMar>
          <w:tblLook w:val="0000"/>
        </w:tblPrEx>
        <w:trPr>
          <w:gridAfter w:val="1"/>
          <w:wAfter w:w="928" w:type="dxa"/>
        </w:trPr>
        <w:tc>
          <w:tcPr>
            <w:tcW w:w="1314"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UEENEEE108A</w:t>
            </w:r>
          </w:p>
        </w:tc>
        <w:tc>
          <w:tcPr>
            <w:tcW w:w="6218"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Lay wiring/cabling and terminate accessories for extra-low voltage (ELV) circuits</w:t>
            </w:r>
          </w:p>
        </w:tc>
      </w:tr>
      <w:tr w:rsidTr="00762C30">
        <w:tblPrEx>
          <w:tblW w:w="0" w:type="auto"/>
          <w:tblLayout w:type="fixed"/>
          <w:tblCellMar>
            <w:left w:w="62" w:type="dxa"/>
            <w:right w:w="62" w:type="dxa"/>
          </w:tblCellMar>
          <w:tblLook w:val="0000"/>
        </w:tblPrEx>
        <w:trPr>
          <w:gridAfter w:val="1"/>
          <w:wAfter w:w="928" w:type="dxa"/>
        </w:trPr>
        <w:tc>
          <w:tcPr>
            <w:tcW w:w="1314"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UEENEEF102A</w:t>
            </w:r>
          </w:p>
        </w:tc>
        <w:tc>
          <w:tcPr>
            <w:tcW w:w="6218"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Install and maintain cabling for multiple access to telecommunication services</w:t>
            </w:r>
          </w:p>
        </w:tc>
      </w:tr>
      <w:tr w:rsidTr="00762C30">
        <w:tblPrEx>
          <w:tblW w:w="0" w:type="auto"/>
          <w:tblLayout w:type="fixed"/>
          <w:tblCellMar>
            <w:left w:w="62" w:type="dxa"/>
            <w:right w:w="62" w:type="dxa"/>
          </w:tblCellMar>
          <w:tblLook w:val="0000"/>
        </w:tblPrEx>
        <w:trPr>
          <w:gridAfter w:val="1"/>
          <w:wAfter w:w="928" w:type="dxa"/>
        </w:trPr>
        <w:tc>
          <w:tcPr>
            <w:tcW w:w="1314"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UEENEEH150A</w:t>
            </w:r>
          </w:p>
        </w:tc>
        <w:tc>
          <w:tcPr>
            <w:tcW w:w="6218" w:type="dxa"/>
            <w:gridSpan w:val="2"/>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t>Assemble and set up basic security systems</w:t>
            </w:r>
          </w:p>
        </w:tc>
      </w:tr>
      <w:tr w:rsidTr="00762C30">
        <w:tblPrEx>
          <w:tblW w:w="0" w:type="auto"/>
          <w:tblLayout w:type="fixed"/>
          <w:tblCellMar>
            <w:left w:w="62" w:type="dxa"/>
            <w:right w:w="62" w:type="dxa"/>
          </w:tblCellMar>
          <w:tblLook w:val="0000"/>
        </w:tblPrEx>
        <w:trPr>
          <w:gridAfter w:val="1"/>
          <w:wAfter w:w="928" w:type="dxa"/>
        </w:trPr>
        <w:tc>
          <w:tcPr>
            <w:tcW w:w="7532" w:type="dxa"/>
            <w:gridSpan w:val="3"/>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The critical aspects of occupational health and safety covered</w:t>
            </w:r>
            <w:r w:rsidRPr="0017032F">
              <w:t xml:space="preserve"> in unit UEENEEE101A and other discipline specific occupational health and safety units shall be incorporated in relation to this unit.</w:t>
            </w:r>
          </w:p>
        </w:tc>
      </w:tr>
    </w:tbl>
    <w:p w:rsidR="00000000" w:rsidRPr="0017032F" w:rsidP="0017032F">
      <w:pPr>
        <w:pStyle w:val="BodyText"/>
      </w:pPr>
    </w:p>
    <w:p w:rsidR="00000000" w:rsidRPr="0017032F" w:rsidP="0017032F">
      <w:pPr>
        <w:pStyle w:val="AllowPageBreak"/>
      </w:pPr>
    </w:p>
    <w:p w:rsidR="00000000" w:rsidRPr="0017032F" w:rsidP="0017032F">
      <w:pPr>
        <w:pStyle w:val="Heading1"/>
      </w:pPr>
      <w:bookmarkStart w:id="11" w:name="O_587737"/>
      <w:bookmarkEnd w:id="11"/>
      <w:r w:rsidRPr="0017032F">
        <w:t>Range Statement</w:t>
      </w:r>
    </w:p>
    <w:tbl>
      <w:tblPr>
        <w:tblW w:w="0" w:type="auto"/>
        <w:tblLayout w:type="fixed"/>
        <w:tblCellMar>
          <w:left w:w="62" w:type="dxa"/>
          <w:right w:w="62" w:type="dxa"/>
        </w:tblCellMar>
        <w:tblLook w:val="0000"/>
      </w:tblPr>
      <w:tblGrid>
        <w:gridCol w:w="8460"/>
      </w:tblGrid>
      <w:tr w:rsidTr="00762C3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RANGE STATEMENT</w:t>
            </w:r>
          </w:p>
        </w:tc>
      </w:tr>
      <w:tr w:rsidTr="00762C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10)</w:t>
            </w:r>
            <w:r w:rsidRPr="0017032F">
              <w:t xml:space="preserve"> This relates to the unit as a whole providing the range of contexts and conditions to which the performance criteria apply. It allows for different work environments and situations that will affect performance.</w:t>
            </w:r>
          </w:p>
          <w:p w:rsidR="00000000" w:rsidRPr="0017032F" w:rsidP="0017032F">
            <w:pPr>
              <w:pStyle w:val="BodyText"/>
            </w:pPr>
            <w:r w:rsidRPr="0017032F">
              <w:t>This unit shall be demonstrated by installin</w:t>
            </w:r>
            <w:r w:rsidRPr="0017032F">
              <w:t xml:space="preserve">g for a representative range of large wired and wireless security systems at least two large security systems. </w:t>
            </w:r>
          </w:p>
          <w:p w:rsidR="00000000" w:rsidRPr="0017032F" w:rsidP="0017032F">
            <w:pPr>
              <w:pStyle w:val="BodyText"/>
            </w:pPr>
            <w:r w:rsidRPr="0017032F">
              <w:t>Systems shall have controllers and more than 50 connected devices of five different types.</w:t>
            </w:r>
          </w:p>
          <w:p w:rsidR="00000000" w:rsidRPr="0017032F" w:rsidP="0017032F">
            <w:pPr>
              <w:pStyle w:val="BodyText"/>
            </w:pPr>
            <w:r w:rsidRPr="0017032F">
              <w:t>Generic terms used throughout this Vocational Standar</w:t>
            </w:r>
            <w:r w:rsidRPr="0017032F">
              <w:t>d shall be regarded as part of the Range Statement in which competency is demonstrated. The definition of these and other terms that apply are given in Volume 2, Part 2.1.</w:t>
            </w:r>
          </w:p>
        </w:tc>
      </w:tr>
    </w:tbl>
    <w:p w:rsidR="00000000" w:rsidRPr="0017032F" w:rsidP="0017032F">
      <w:pPr>
        <w:pStyle w:val="BodyText"/>
      </w:pPr>
    </w:p>
    <w:p w:rsidR="00000000" w:rsidRPr="0017032F" w:rsidP="0017032F">
      <w:pPr>
        <w:pStyle w:val="AllowPageBreak"/>
      </w:pPr>
    </w:p>
    <w:p w:rsidR="00000000" w:rsidRPr="0017032F" w:rsidP="0017032F">
      <w:pPr>
        <w:pStyle w:val="Heading1"/>
      </w:pPr>
      <w:bookmarkStart w:id="12" w:name="O_587736"/>
      <w:bookmarkEnd w:id="12"/>
      <w:r w:rsidRPr="0017032F">
        <w:t>Unit Sector(s)</w:t>
      </w:r>
    </w:p>
    <w:p w:rsidR="00000000" w:rsidRPr="0017032F" w:rsidP="0017032F">
      <w:pPr>
        <w:pStyle w:val="BodyText"/>
      </w:pPr>
      <w:r w:rsidRPr="0017032F">
        <w:t>Not applicable.</w:t>
      </w:r>
    </w:p>
    <w:p w:rsidR="00000000" w:rsidRPr="0017032F" w:rsidP="0017032F">
      <w:pPr>
        <w:pStyle w:val="AllowPageBreak"/>
      </w:pPr>
    </w:p>
    <w:p w:rsidR="00000000" w:rsidRPr="0017032F" w:rsidP="0017032F">
      <w:pPr>
        <w:pStyle w:val="Heading1"/>
      </w:pPr>
      <w:bookmarkStart w:id="13" w:name="O_587735"/>
      <w:bookmarkEnd w:id="13"/>
      <w:r w:rsidRPr="0017032F">
        <w:t>Competency Field</w:t>
      </w:r>
    </w:p>
    <w:tbl>
      <w:tblPr>
        <w:tblW w:w="0" w:type="auto"/>
        <w:tblLayout w:type="fixed"/>
        <w:tblCellMar>
          <w:left w:w="62" w:type="dxa"/>
          <w:right w:w="62" w:type="dxa"/>
        </w:tblCellMar>
        <w:tblLook w:val="0000"/>
      </w:tblPr>
      <w:tblGrid>
        <w:gridCol w:w="2700"/>
        <w:gridCol w:w="5760"/>
      </w:tblGrid>
      <w:tr w:rsidTr="00762C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7032F">
            <w:pPr>
              <w:pStyle w:val="BodyText"/>
              <w:rPr>
                <w:lang w:val="en-NZ"/>
              </w:rPr>
            </w:pPr>
            <w:r w:rsidRPr="0017032F">
              <w:rPr>
                <w:rStyle w:val="SpecialBold"/>
              </w:rPr>
              <w:t xml:space="preserve">11) </w:t>
            </w:r>
          </w:p>
        </w:tc>
      </w:tr>
      <w:tr w:rsidTr="00762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032F" w:rsidP="0017032F">
            <w:pPr>
              <w:pStyle w:val="BodyText"/>
            </w:pPr>
            <w:r w:rsidRPr="0017032F">
              <w:t>Electronics</w:t>
            </w:r>
          </w:p>
        </w:tc>
      </w:tr>
    </w:tbl>
    <w:p w:rsidR="00000000" w:rsidRPr="0017032F" w:rsidP="0017032F">
      <w:pPr>
        <w:pStyle w:val="BodyText"/>
      </w:pPr>
    </w:p>
    <w:p w:rsidR="00000000" w:rsidRPr="0017032F" w:rsidP="0017032F"/>
    <w:sectPr w:rsidSect="001703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2F" w:rsidRPr="00762C30" w:rsidP="00762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30" w:rsidP="001703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62C30" w:rsidP="001703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62C30" w:rsidP="001703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2F" w:rsidRPr="00762C30" w:rsidP="00762C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30" w:rsidRPr="002D2AF8" w:rsidP="0017032F">
    <w:pPr>
      <w:pStyle w:val="Header"/>
      <w:framePr w:wrap="around"/>
    </w:pPr>
    <w:r>
      <w:fldChar w:fldCharType="begin"/>
    </w:r>
    <w:r>
      <w:instrText xml:space="preserve"> TITLE   \* MERGEFORMAT </w:instrText>
    </w:r>
    <w:r>
      <w:fldChar w:fldCharType="separate"/>
    </w:r>
    <w:r>
      <w:t>UEENEEH151A Install large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62C30" w:rsidP="001703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32A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863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F02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3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32F"/>
    <w:pPr>
      <w:spacing w:before="360" w:after="60"/>
      <w:outlineLvl w:val="0"/>
    </w:pPr>
    <w:rPr>
      <w:sz w:val="32"/>
    </w:rPr>
  </w:style>
  <w:style w:type="paragraph" w:styleId="Heading2">
    <w:name w:val="heading 2"/>
    <w:basedOn w:val="HeadingBase"/>
    <w:next w:val="BodyText"/>
    <w:link w:val="Heading2Char"/>
    <w:qFormat/>
    <w:rsid w:val="0017032F"/>
    <w:pPr>
      <w:keepLines/>
      <w:spacing w:before="240" w:after="120"/>
      <w:outlineLvl w:val="1"/>
    </w:pPr>
    <w:rPr>
      <w:sz w:val="28"/>
      <w:szCs w:val="40"/>
    </w:rPr>
  </w:style>
  <w:style w:type="paragraph" w:styleId="Heading3">
    <w:name w:val="heading 3"/>
    <w:basedOn w:val="HeadingBase"/>
    <w:next w:val="BodyText"/>
    <w:link w:val="Heading3Char"/>
    <w:qFormat/>
    <w:rsid w:val="0017032F"/>
    <w:pPr>
      <w:spacing w:before="180" w:after="120"/>
      <w:outlineLvl w:val="2"/>
    </w:pPr>
    <w:rPr>
      <w:spacing w:val="-10"/>
      <w:kern w:val="32"/>
    </w:rPr>
  </w:style>
  <w:style w:type="paragraph" w:styleId="Heading4">
    <w:name w:val="heading 4"/>
    <w:basedOn w:val="HeadingBase"/>
    <w:next w:val="BodyText"/>
    <w:link w:val="Heading4Char"/>
    <w:qFormat/>
    <w:rsid w:val="0017032F"/>
    <w:pPr>
      <w:spacing w:before="160" w:after="120"/>
      <w:outlineLvl w:val="3"/>
    </w:pPr>
    <w:rPr>
      <w:sz w:val="22"/>
    </w:rPr>
  </w:style>
  <w:style w:type="paragraph" w:styleId="Heading5">
    <w:name w:val="heading 5"/>
    <w:basedOn w:val="HeadingBase"/>
    <w:next w:val="Normal"/>
    <w:link w:val="Heading5Char"/>
    <w:qFormat/>
    <w:rsid w:val="0017032F"/>
    <w:pPr>
      <w:spacing w:before="80"/>
      <w:outlineLvl w:val="4"/>
    </w:pPr>
    <w:rPr>
      <w:color w:val="918585"/>
      <w:sz w:val="20"/>
    </w:rPr>
  </w:style>
  <w:style w:type="paragraph" w:styleId="Heading6">
    <w:name w:val="heading 6"/>
    <w:basedOn w:val="HeadingBase"/>
    <w:next w:val="Normal"/>
    <w:link w:val="Heading6Char"/>
    <w:qFormat/>
    <w:rsid w:val="0017032F"/>
    <w:pPr>
      <w:spacing w:before="60"/>
      <w:outlineLvl w:val="5"/>
    </w:pPr>
    <w:rPr>
      <w:color w:val="918585"/>
      <w:sz w:val="20"/>
    </w:rPr>
  </w:style>
  <w:style w:type="paragraph" w:styleId="Heading7">
    <w:name w:val="heading 7"/>
    <w:basedOn w:val="Normal"/>
    <w:next w:val="Normal"/>
    <w:link w:val="Heading7Char"/>
    <w:qFormat/>
    <w:rsid w:val="0017032F"/>
    <w:pPr>
      <w:ind w:left="720"/>
      <w:outlineLvl w:val="6"/>
    </w:pPr>
    <w:rPr>
      <w:i/>
    </w:rPr>
  </w:style>
  <w:style w:type="paragraph" w:styleId="Heading8">
    <w:name w:val="heading 8"/>
    <w:basedOn w:val="Normal"/>
    <w:next w:val="Normal"/>
    <w:link w:val="Heading8Char"/>
    <w:qFormat/>
    <w:rsid w:val="0017032F"/>
    <w:pPr>
      <w:ind w:left="720"/>
      <w:outlineLvl w:val="7"/>
    </w:pPr>
    <w:rPr>
      <w:i/>
    </w:rPr>
  </w:style>
  <w:style w:type="paragraph" w:styleId="Heading9">
    <w:name w:val="heading 9"/>
    <w:basedOn w:val="Normal"/>
    <w:next w:val="Normal"/>
    <w:link w:val="Heading9Char"/>
    <w:qFormat/>
    <w:rsid w:val="0017032F"/>
    <w:pPr>
      <w:ind w:left="720"/>
      <w:outlineLvl w:val="8"/>
    </w:pPr>
    <w:rPr>
      <w:i/>
    </w:rPr>
  </w:style>
  <w:style w:type="character" w:default="1" w:styleId="DefaultParagraphFont">
    <w:name w:val="Default Paragraph Font"/>
    <w:uiPriority w:val="1"/>
    <w:unhideWhenUsed/>
    <w:rsid w:val="001703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32F"/>
  </w:style>
  <w:style w:type="character" w:customStyle="1" w:styleId="Heading1Char">
    <w:name w:val="Heading 1 Char"/>
    <w:basedOn w:val="DefaultParagraphFont"/>
    <w:link w:val="Heading1"/>
    <w:rsid w:val="0017032F"/>
    <w:rPr>
      <w:rFonts w:ascii="Times New Roman" w:eastAsia="Times New Roman" w:hAnsi="Times New Roman" w:cs="Times New Roman"/>
      <w:b/>
      <w:sz w:val="32"/>
      <w:szCs w:val="20"/>
      <w:lang w:eastAsia="en-US"/>
    </w:rPr>
  </w:style>
  <w:style w:type="paragraph" w:styleId="BodyText">
    <w:name w:val="Body Text"/>
    <w:basedOn w:val="Normal"/>
    <w:link w:val="BodyTextChar"/>
    <w:rsid w:val="001703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032F"/>
    <w:rPr>
      <w:rFonts w:ascii="Times New Roman" w:eastAsia="Times New Roman" w:hAnsi="Times New Roman" w:cs="Times New Roman"/>
      <w:sz w:val="24"/>
      <w:lang w:eastAsia="en-US"/>
    </w:rPr>
  </w:style>
  <w:style w:type="paragraph" w:styleId="ListBullet">
    <w:name w:val="List Bullet"/>
    <w:basedOn w:val="List"/>
    <w:rsid w:val="0017032F"/>
    <w:pPr>
      <w:numPr>
        <w:numId w:val="13"/>
      </w:numPr>
      <w:tabs>
        <w:tab w:val="clear" w:pos="340"/>
      </w:tabs>
      <w:spacing w:before="40" w:after="40"/>
    </w:pPr>
  </w:style>
  <w:style w:type="character" w:customStyle="1" w:styleId="SpecialBold">
    <w:name w:val="Special Bold"/>
    <w:basedOn w:val="DefaultParagraphFont"/>
    <w:rsid w:val="0017032F"/>
    <w:rPr>
      <w:b/>
      <w:spacing w:val="0"/>
    </w:rPr>
  </w:style>
  <w:style w:type="paragraph" w:styleId="ListBullet2">
    <w:name w:val="List Bullet 2"/>
    <w:basedOn w:val="List2"/>
    <w:rsid w:val="0017032F"/>
    <w:pPr>
      <w:numPr>
        <w:numId w:val="14"/>
      </w:numPr>
      <w:tabs>
        <w:tab w:val="clear" w:pos="680"/>
      </w:tabs>
    </w:pPr>
  </w:style>
  <w:style w:type="paragraph" w:customStyle="1" w:styleId="SuperHeading">
    <w:name w:val="SuperHeading"/>
    <w:basedOn w:val="Normal"/>
    <w:rsid w:val="0017032F"/>
    <w:pPr>
      <w:spacing w:before="240" w:after="120"/>
      <w:outlineLvl w:val="0"/>
    </w:pPr>
    <w:rPr>
      <w:rFonts w:ascii="Times New Roman" w:hAnsi="Times New Roman"/>
      <w:b/>
      <w:sz w:val="32"/>
    </w:rPr>
  </w:style>
  <w:style w:type="paragraph" w:customStyle="1" w:styleId="AllowPageBreak">
    <w:name w:val="AllowPageBreak"/>
    <w:rsid w:val="0017032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17032F"/>
    <w:pPr>
      <w:ind w:firstLine="0"/>
    </w:pPr>
  </w:style>
  <w:style w:type="character" w:customStyle="1" w:styleId="Heading2Char">
    <w:name w:val="Heading 2 Char"/>
    <w:basedOn w:val="DefaultParagraphFont"/>
    <w:link w:val="Heading2"/>
    <w:rsid w:val="001703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3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3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3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3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3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3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32F"/>
    <w:rPr>
      <w:rFonts w:ascii="Courier New" w:eastAsia="Times New Roman" w:hAnsi="Courier New" w:cs="Times New Roman"/>
      <w:i/>
      <w:szCs w:val="20"/>
      <w:lang w:eastAsia="en-US"/>
    </w:rPr>
  </w:style>
  <w:style w:type="paragraph" w:customStyle="1" w:styleId="HeadingBase">
    <w:name w:val="Heading Base"/>
    <w:rsid w:val="001703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32F"/>
    <w:pPr>
      <w:tabs>
        <w:tab w:val="right" w:leader="dot" w:pos="9072"/>
      </w:tabs>
      <w:ind w:left="567"/>
    </w:pPr>
    <w:rPr>
      <w:szCs w:val="22"/>
    </w:rPr>
  </w:style>
  <w:style w:type="paragraph" w:customStyle="1" w:styleId="TOCBase">
    <w:name w:val="TOC Base"/>
    <w:rsid w:val="001703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32F"/>
    <w:pPr>
      <w:tabs>
        <w:tab w:val="right" w:leader="dot" w:pos="9072"/>
      </w:tabs>
      <w:spacing w:before="40" w:after="40"/>
      <w:ind w:left="284"/>
    </w:pPr>
    <w:rPr>
      <w:rFonts w:ascii="Times New Roman" w:hAnsi="Times New Roman"/>
    </w:rPr>
  </w:style>
  <w:style w:type="paragraph" w:styleId="TOC1">
    <w:name w:val="toc 1"/>
    <w:basedOn w:val="TOCBase"/>
    <w:next w:val="Normal"/>
    <w:rsid w:val="001703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3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32F"/>
    <w:rPr>
      <w:rFonts w:ascii="Times New Roman" w:eastAsia="Times New Roman" w:hAnsi="Times New Roman" w:cs="Times New Roman"/>
      <w:sz w:val="16"/>
      <w:lang w:eastAsia="en-US"/>
    </w:rPr>
  </w:style>
  <w:style w:type="paragraph" w:styleId="Title">
    <w:name w:val="Title"/>
    <w:basedOn w:val="HeadingBase"/>
    <w:link w:val="TitleChar"/>
    <w:qFormat/>
    <w:rsid w:val="0017032F"/>
    <w:pPr>
      <w:spacing w:before="5040"/>
      <w:jc w:val="center"/>
    </w:pPr>
    <w:rPr>
      <w:sz w:val="48"/>
      <w:szCs w:val="72"/>
      <w:lang w:val="en-US"/>
    </w:rPr>
  </w:style>
  <w:style w:type="character" w:customStyle="1" w:styleId="TitleChar">
    <w:name w:val="Title Char"/>
    <w:basedOn w:val="DefaultParagraphFont"/>
    <w:link w:val="Title"/>
    <w:rsid w:val="001703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32F"/>
    <w:pPr>
      <w:tabs>
        <w:tab w:val="left" w:pos="3600"/>
        <w:tab w:val="left" w:pos="3958"/>
      </w:tabs>
    </w:pPr>
  </w:style>
  <w:style w:type="paragraph" w:styleId="List">
    <w:name w:val="List"/>
    <w:basedOn w:val="BodyText"/>
    <w:next w:val="BodyText"/>
    <w:rsid w:val="0017032F"/>
    <w:pPr>
      <w:tabs>
        <w:tab w:val="left" w:pos="340"/>
      </w:tabs>
      <w:spacing w:before="60" w:after="60"/>
      <w:ind w:left="340" w:hanging="340"/>
    </w:pPr>
  </w:style>
  <w:style w:type="paragraph" w:customStyle="1" w:styleId="Note">
    <w:name w:val="Note"/>
    <w:basedOn w:val="BodyText"/>
    <w:rsid w:val="001703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32F"/>
    <w:pPr>
      <w:framePr w:wrap="auto" w:hAnchor="text" w:y="6049"/>
    </w:pPr>
    <w:rPr>
      <w:color w:val="000000"/>
      <w:sz w:val="40"/>
    </w:rPr>
  </w:style>
  <w:style w:type="paragraph" w:customStyle="1" w:styleId="TOCTitle">
    <w:name w:val="TOCTitle"/>
    <w:basedOn w:val="Heading1"/>
    <w:rsid w:val="0017032F"/>
    <w:pPr>
      <w:spacing w:after="240"/>
      <w:jc w:val="center"/>
      <w:outlineLvl w:val="9"/>
    </w:pPr>
    <w:rPr>
      <w:caps/>
    </w:rPr>
  </w:style>
  <w:style w:type="paragraph" w:customStyle="1" w:styleId="Version">
    <w:name w:val="Version"/>
    <w:rsid w:val="001703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32F"/>
    <w:pPr>
      <w:keepNext w:val="0"/>
      <w:tabs>
        <w:tab w:val="right" w:pos="4176"/>
      </w:tabs>
      <w:ind w:left="198" w:hanging="198"/>
    </w:pPr>
    <w:rPr>
      <w:rFonts w:ascii="Garamond" w:hAnsi="Garamond"/>
    </w:rPr>
  </w:style>
  <w:style w:type="paragraph" w:styleId="IndexHeading">
    <w:name w:val="index heading"/>
    <w:basedOn w:val="Normal"/>
    <w:next w:val="Index1"/>
    <w:semiHidden/>
    <w:rsid w:val="0017032F"/>
    <w:pPr>
      <w:spacing w:before="120" w:after="120"/>
    </w:pPr>
    <w:rPr>
      <w:rFonts w:ascii="Arial" w:hAnsi="Arial"/>
      <w:b/>
      <w:color w:val="918585"/>
      <w:sz w:val="24"/>
    </w:rPr>
  </w:style>
  <w:style w:type="paragraph" w:styleId="Header">
    <w:name w:val="header"/>
    <w:basedOn w:val="Normal"/>
    <w:link w:val="HeaderChar"/>
    <w:rsid w:val="001703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32F"/>
    <w:rPr>
      <w:rFonts w:ascii="Times New Roman" w:eastAsia="Times New Roman" w:hAnsi="Times New Roman" w:cs="Times New Roman"/>
      <w:sz w:val="16"/>
      <w:szCs w:val="20"/>
      <w:lang w:val="en-GB" w:eastAsia="en-US"/>
    </w:rPr>
  </w:style>
  <w:style w:type="paragraph" w:customStyle="1" w:styleId="Chapter">
    <w:name w:val="Chapter"/>
    <w:basedOn w:val="Normal"/>
    <w:rsid w:val="0017032F"/>
    <w:pPr>
      <w:spacing w:before="240"/>
    </w:pPr>
    <w:rPr>
      <w:rFonts w:ascii="Times New Roman" w:hAnsi="Times New Roman"/>
      <w:smallCaps/>
      <w:spacing w:val="80"/>
      <w:sz w:val="28"/>
    </w:rPr>
  </w:style>
  <w:style w:type="paragraph" w:customStyle="1" w:styleId="InChapter">
    <w:name w:val="InChapter"/>
    <w:basedOn w:val="Heading3"/>
    <w:rsid w:val="0017032F"/>
    <w:pPr>
      <w:spacing w:after="240"/>
      <w:outlineLvl w:val="9"/>
    </w:pPr>
    <w:rPr>
      <w:noProof/>
    </w:rPr>
  </w:style>
  <w:style w:type="paragraph" w:styleId="Index2">
    <w:name w:val="index 2"/>
    <w:basedOn w:val="Normal"/>
    <w:next w:val="Normal"/>
    <w:semiHidden/>
    <w:rsid w:val="0017032F"/>
    <w:pPr>
      <w:tabs>
        <w:tab w:val="right" w:pos="4176"/>
      </w:tabs>
      <w:ind w:left="568" w:hanging="284"/>
    </w:pPr>
    <w:rPr>
      <w:rFonts w:ascii="Garamond" w:hAnsi="Garamond"/>
    </w:rPr>
  </w:style>
  <w:style w:type="paragraph" w:customStyle="1" w:styleId="Byline">
    <w:name w:val="Byline"/>
    <w:rsid w:val="001703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32F"/>
    <w:pPr>
      <w:tabs>
        <w:tab w:val="clear" w:pos="3600"/>
        <w:tab w:val="clear" w:pos="3958"/>
      </w:tabs>
      <w:jc w:val="right"/>
    </w:pPr>
  </w:style>
  <w:style w:type="character" w:styleId="Emphasis">
    <w:name w:val="Emphasis"/>
    <w:basedOn w:val="DefaultParagraphFont"/>
    <w:qFormat/>
    <w:rsid w:val="0017032F"/>
    <w:rPr>
      <w:i/>
    </w:rPr>
  </w:style>
  <w:style w:type="paragraph" w:styleId="Caption">
    <w:name w:val="caption"/>
    <w:basedOn w:val="BodyText"/>
    <w:next w:val="Normal"/>
    <w:qFormat/>
    <w:rsid w:val="0017032F"/>
    <w:pPr>
      <w:framePr w:w="2268" w:hSpace="181" w:vSpace="181" w:wrap="around" w:vAnchor="text" w:hAnchor="page" w:x="1135" w:y="285" w:anchorLock="1"/>
    </w:pPr>
    <w:rPr>
      <w:i/>
    </w:rPr>
  </w:style>
  <w:style w:type="paragraph" w:customStyle="1" w:styleId="MiniTOCTitle">
    <w:name w:val="MiniTOCTitle"/>
    <w:basedOn w:val="Heading4"/>
    <w:rsid w:val="0017032F"/>
    <w:pPr>
      <w:spacing w:before="240"/>
      <w:outlineLvl w:val="9"/>
    </w:pPr>
    <w:rPr>
      <w:noProof/>
      <w:sz w:val="24"/>
    </w:rPr>
  </w:style>
  <w:style w:type="paragraph" w:customStyle="1" w:styleId="MiniTOCItem">
    <w:name w:val="MiniTOCItem"/>
    <w:basedOn w:val="ListBullet"/>
    <w:rsid w:val="0017032F"/>
    <w:pPr>
      <w:numPr>
        <w:numId w:val="0"/>
      </w:numPr>
      <w:tabs>
        <w:tab w:val="right" w:leader="dot" w:pos="6521"/>
      </w:tabs>
      <w:spacing w:before="0" w:after="0"/>
    </w:pPr>
  </w:style>
  <w:style w:type="paragraph" w:customStyle="1" w:styleId="TOFTitle">
    <w:name w:val="TOFTitle"/>
    <w:basedOn w:val="TOCTitle"/>
    <w:rsid w:val="0017032F"/>
  </w:style>
  <w:style w:type="paragraph" w:styleId="TableofFigures">
    <w:name w:val="table of figures"/>
    <w:basedOn w:val="Normal"/>
    <w:next w:val="Normal"/>
    <w:semiHidden/>
    <w:rsid w:val="0017032F"/>
    <w:pPr>
      <w:tabs>
        <w:tab w:val="right" w:leader="dot" w:pos="9072"/>
      </w:tabs>
      <w:ind w:left="970" w:hanging="403"/>
    </w:pPr>
    <w:rPr>
      <w:rFonts w:ascii="Times New Roman" w:hAnsi="Times New Roman"/>
      <w:b/>
    </w:rPr>
  </w:style>
  <w:style w:type="paragraph" w:styleId="ListNumber">
    <w:name w:val="List Number"/>
    <w:basedOn w:val="List"/>
    <w:rsid w:val="0017032F"/>
    <w:pPr>
      <w:numPr>
        <w:numId w:val="11"/>
      </w:numPr>
    </w:pPr>
  </w:style>
  <w:style w:type="character" w:customStyle="1" w:styleId="WingdingSymbols">
    <w:name w:val="Wingding Symbols"/>
    <w:rsid w:val="0017032F"/>
    <w:rPr>
      <w:rFonts w:ascii="Wingdings" w:hAnsi="Wingdings"/>
    </w:rPr>
  </w:style>
  <w:style w:type="paragraph" w:customStyle="1" w:styleId="TableHeading">
    <w:name w:val="Table Heading"/>
    <w:basedOn w:val="HeadingBase"/>
    <w:rsid w:val="0017032F"/>
    <w:pPr>
      <w:keepLines/>
      <w:pBdr>
        <w:bottom w:val="single" w:sz="6" w:space="1" w:color="918585"/>
      </w:pBdr>
      <w:spacing w:before="240"/>
    </w:pPr>
  </w:style>
  <w:style w:type="character" w:customStyle="1" w:styleId="HotSpot">
    <w:name w:val="HotSpot"/>
    <w:rsid w:val="0017032F"/>
    <w:rPr>
      <w:color w:val="0033CC"/>
      <w:u w:val="none"/>
    </w:rPr>
  </w:style>
  <w:style w:type="paragraph" w:customStyle="1" w:styleId="BodyTextRight">
    <w:name w:val="Body Text Right"/>
    <w:basedOn w:val="BodyText"/>
    <w:rsid w:val="0017032F"/>
    <w:pPr>
      <w:spacing w:before="0" w:after="0"/>
      <w:jc w:val="right"/>
    </w:pPr>
  </w:style>
  <w:style w:type="paragraph" w:styleId="Index3">
    <w:name w:val="index 3"/>
    <w:basedOn w:val="ListNumber2"/>
    <w:next w:val="Normal"/>
    <w:semiHidden/>
    <w:rsid w:val="0017032F"/>
    <w:pPr>
      <w:numPr>
        <w:numId w:val="0"/>
      </w:numPr>
      <w:tabs>
        <w:tab w:val="right" w:leader="dot" w:pos="4176"/>
      </w:tabs>
    </w:pPr>
  </w:style>
  <w:style w:type="paragraph" w:styleId="ListNumber2">
    <w:name w:val="List Number 2"/>
    <w:basedOn w:val="List2"/>
    <w:rsid w:val="0017032F"/>
    <w:pPr>
      <w:numPr>
        <w:numId w:val="10"/>
      </w:numPr>
      <w:tabs>
        <w:tab w:val="clear" w:pos="1060"/>
      </w:tabs>
    </w:pPr>
  </w:style>
  <w:style w:type="paragraph" w:customStyle="1" w:styleId="MarginNote">
    <w:name w:val="Margin Note"/>
    <w:basedOn w:val="BodyText"/>
    <w:rsid w:val="001703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3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3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32F"/>
    <w:rPr>
      <w:sz w:val="32"/>
    </w:rPr>
  </w:style>
  <w:style w:type="paragraph" w:customStyle="1" w:styleId="HeadingProcedure">
    <w:name w:val="Heading Procedure"/>
    <w:basedOn w:val="HeadingBase"/>
    <w:next w:val="Normal"/>
    <w:rsid w:val="0017032F"/>
    <w:pPr>
      <w:tabs>
        <w:tab w:val="left" w:pos="0"/>
      </w:tabs>
      <w:spacing w:before="120" w:after="60"/>
    </w:pPr>
    <w:rPr>
      <w:i/>
      <w:color w:val="918585"/>
      <w:sz w:val="22"/>
    </w:rPr>
  </w:style>
  <w:style w:type="paragraph" w:customStyle="1" w:styleId="TableBodyText">
    <w:name w:val="Table Body Text"/>
    <w:basedOn w:val="BodyText"/>
    <w:rsid w:val="0017032F"/>
    <w:pPr>
      <w:spacing w:before="60" w:after="60"/>
    </w:pPr>
  </w:style>
  <w:style w:type="paragraph" w:customStyle="1" w:styleId="ListNote">
    <w:name w:val="List Note"/>
    <w:basedOn w:val="List"/>
    <w:rsid w:val="0017032F"/>
    <w:pPr>
      <w:pBdr>
        <w:top w:val="single" w:sz="6" w:space="2" w:color="918585"/>
        <w:bottom w:val="single" w:sz="6" w:space="2" w:color="918585"/>
      </w:pBdr>
      <w:tabs>
        <w:tab w:val="left" w:pos="1021"/>
      </w:tabs>
      <w:ind w:firstLine="0"/>
    </w:pPr>
  </w:style>
  <w:style w:type="paragraph" w:customStyle="1" w:styleId="Warning">
    <w:name w:val="Warning"/>
    <w:basedOn w:val="BodyText"/>
    <w:rsid w:val="0017032F"/>
    <w:pPr>
      <w:shd w:val="clear" w:color="auto" w:fill="D9D9D9"/>
      <w:tabs>
        <w:tab w:val="left" w:pos="992"/>
      </w:tabs>
      <w:ind w:left="119" w:right="119"/>
    </w:pPr>
    <w:rPr>
      <w:sz w:val="20"/>
    </w:rPr>
  </w:style>
  <w:style w:type="paragraph" w:customStyle="1" w:styleId="MarginIcons">
    <w:name w:val="Margin Icons"/>
    <w:basedOn w:val="BodyText"/>
    <w:rsid w:val="001703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32F"/>
    <w:rPr>
      <w:rFonts w:ascii="Courier New" w:hAnsi="Courier New"/>
    </w:rPr>
  </w:style>
  <w:style w:type="paragraph" w:customStyle="1" w:styleId="NoteBullet">
    <w:name w:val="Note Bullet"/>
    <w:basedOn w:val="Note"/>
    <w:rsid w:val="0017032F"/>
    <w:pPr>
      <w:tabs>
        <w:tab w:val="clear" w:pos="680"/>
      </w:tabs>
      <w:spacing w:before="60" w:after="60"/>
    </w:pPr>
  </w:style>
  <w:style w:type="paragraph" w:customStyle="1" w:styleId="SubHeading2">
    <w:name w:val="SubHeading2"/>
    <w:basedOn w:val="HeadingBase"/>
    <w:rsid w:val="0017032F"/>
    <w:pPr>
      <w:spacing w:before="240" w:after="60"/>
    </w:pPr>
    <w:rPr>
      <w:sz w:val="20"/>
    </w:rPr>
  </w:style>
  <w:style w:type="paragraph" w:customStyle="1" w:styleId="SubHeading1">
    <w:name w:val="SubHeading1"/>
    <w:basedOn w:val="HeadingBase"/>
    <w:rsid w:val="0017032F"/>
    <w:pPr>
      <w:spacing w:before="240" w:after="60"/>
    </w:pPr>
    <w:rPr>
      <w:color w:val="918585"/>
      <w:sz w:val="22"/>
    </w:rPr>
  </w:style>
  <w:style w:type="paragraph" w:customStyle="1" w:styleId="SideHeading">
    <w:name w:val="Side Heading"/>
    <w:basedOn w:val="HeadingBase"/>
    <w:rsid w:val="001703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32F"/>
    <w:pPr>
      <w:numPr>
        <w:numId w:val="12"/>
      </w:numPr>
    </w:pPr>
  </w:style>
  <w:style w:type="paragraph" w:styleId="PlainText">
    <w:name w:val="Plain Text"/>
    <w:basedOn w:val="Normal"/>
    <w:link w:val="PlainTextChar"/>
    <w:rsid w:val="0017032F"/>
    <w:rPr>
      <w:sz w:val="20"/>
    </w:rPr>
  </w:style>
  <w:style w:type="character" w:customStyle="1" w:styleId="PlainTextChar">
    <w:name w:val="Plain Text Char"/>
    <w:basedOn w:val="DefaultParagraphFont"/>
    <w:link w:val="PlainText"/>
    <w:rsid w:val="0017032F"/>
    <w:rPr>
      <w:rFonts w:ascii="Courier New" w:eastAsia="Times New Roman" w:hAnsi="Courier New" w:cs="Times New Roman"/>
      <w:sz w:val="20"/>
      <w:szCs w:val="20"/>
      <w:lang w:eastAsia="en-US"/>
    </w:rPr>
  </w:style>
  <w:style w:type="character" w:customStyle="1" w:styleId="MenuOption">
    <w:name w:val="Menu Option"/>
    <w:basedOn w:val="DefaultParagraphFont"/>
    <w:rsid w:val="0017032F"/>
    <w:rPr>
      <w:b/>
      <w:smallCaps/>
    </w:rPr>
  </w:style>
  <w:style w:type="paragraph" w:customStyle="1" w:styleId="TableListNumber">
    <w:name w:val="Table List Number"/>
    <w:basedOn w:val="ListNumber"/>
    <w:rsid w:val="0017032F"/>
    <w:pPr>
      <w:numPr>
        <w:numId w:val="0"/>
      </w:numPr>
    </w:pPr>
  </w:style>
  <w:style w:type="paragraph" w:styleId="TOC4">
    <w:name w:val="toc 4"/>
    <w:basedOn w:val="TOCBase"/>
    <w:next w:val="Normal"/>
    <w:semiHidden/>
    <w:rsid w:val="0017032F"/>
    <w:pPr>
      <w:tabs>
        <w:tab w:val="right" w:leader="dot" w:pos="9071"/>
      </w:tabs>
      <w:ind w:left="1701"/>
    </w:pPr>
  </w:style>
  <w:style w:type="paragraph" w:customStyle="1" w:styleId="ListAlpha">
    <w:name w:val="List Alpha"/>
    <w:basedOn w:val="List"/>
    <w:rsid w:val="0017032F"/>
    <w:pPr>
      <w:numPr>
        <w:numId w:val="9"/>
      </w:numPr>
    </w:pPr>
  </w:style>
  <w:style w:type="paragraph" w:customStyle="1" w:styleId="ListAlpha2">
    <w:name w:val="List Alpha 2"/>
    <w:basedOn w:val="List2"/>
    <w:rsid w:val="0017032F"/>
    <w:pPr>
      <w:numPr>
        <w:numId w:val="8"/>
      </w:numPr>
    </w:pPr>
  </w:style>
  <w:style w:type="paragraph" w:styleId="List2">
    <w:name w:val="List 2"/>
    <w:basedOn w:val="BodyText"/>
    <w:rsid w:val="0017032F"/>
    <w:pPr>
      <w:tabs>
        <w:tab w:val="left" w:pos="680"/>
      </w:tabs>
      <w:spacing w:before="60" w:after="60"/>
      <w:ind w:left="680" w:hanging="340"/>
    </w:pPr>
  </w:style>
  <w:style w:type="paragraph" w:styleId="List3">
    <w:name w:val="List 3"/>
    <w:basedOn w:val="BodyText"/>
    <w:rsid w:val="0017032F"/>
    <w:pPr>
      <w:tabs>
        <w:tab w:val="left" w:pos="1021"/>
      </w:tabs>
      <w:spacing w:before="60" w:after="60"/>
      <w:ind w:left="1020" w:hanging="340"/>
    </w:pPr>
  </w:style>
  <w:style w:type="paragraph" w:styleId="List4">
    <w:name w:val="List 4"/>
    <w:basedOn w:val="BodyText"/>
    <w:rsid w:val="0017032F"/>
    <w:pPr>
      <w:tabs>
        <w:tab w:val="left" w:pos="1361"/>
      </w:tabs>
      <w:spacing w:before="60" w:after="60"/>
      <w:ind w:left="1361" w:hanging="340"/>
    </w:pPr>
  </w:style>
  <w:style w:type="paragraph" w:styleId="List5">
    <w:name w:val="List 5"/>
    <w:basedOn w:val="BodyText"/>
    <w:rsid w:val="0017032F"/>
    <w:pPr>
      <w:tabs>
        <w:tab w:val="left" w:pos="1701"/>
      </w:tabs>
      <w:spacing w:before="60" w:after="60"/>
      <w:ind w:left="1701" w:hanging="340"/>
    </w:pPr>
  </w:style>
  <w:style w:type="paragraph" w:styleId="ListBullet3">
    <w:name w:val="List Bullet 3"/>
    <w:basedOn w:val="List3"/>
    <w:rsid w:val="0017032F"/>
    <w:pPr>
      <w:numPr>
        <w:numId w:val="15"/>
      </w:numPr>
      <w:tabs>
        <w:tab w:val="clear" w:pos="1021"/>
      </w:tabs>
      <w:ind w:left="1037" w:hanging="357"/>
    </w:pPr>
  </w:style>
  <w:style w:type="paragraph" w:styleId="ListBullet4">
    <w:name w:val="List Bullet 4"/>
    <w:basedOn w:val="List4"/>
    <w:rsid w:val="0017032F"/>
    <w:pPr>
      <w:numPr>
        <w:numId w:val="3"/>
      </w:numPr>
    </w:pPr>
  </w:style>
  <w:style w:type="paragraph" w:styleId="ListBullet5">
    <w:name w:val="List Bullet 5"/>
    <w:basedOn w:val="List5"/>
    <w:rsid w:val="0017032F"/>
    <w:pPr>
      <w:numPr>
        <w:numId w:val="4"/>
      </w:numPr>
    </w:pPr>
  </w:style>
  <w:style w:type="paragraph" w:styleId="ListContinue2">
    <w:name w:val="List Continue 2"/>
    <w:basedOn w:val="List2"/>
    <w:rsid w:val="0017032F"/>
    <w:pPr>
      <w:ind w:firstLine="0"/>
    </w:pPr>
  </w:style>
  <w:style w:type="paragraph" w:styleId="ListContinue3">
    <w:name w:val="List Continue 3"/>
    <w:basedOn w:val="List3"/>
    <w:rsid w:val="0017032F"/>
    <w:pPr>
      <w:ind w:left="1021" w:firstLine="0"/>
    </w:pPr>
  </w:style>
  <w:style w:type="paragraph" w:styleId="ListContinue4">
    <w:name w:val="List Continue 4"/>
    <w:basedOn w:val="List4"/>
    <w:rsid w:val="0017032F"/>
    <w:pPr>
      <w:ind w:firstLine="0"/>
    </w:pPr>
  </w:style>
  <w:style w:type="paragraph" w:styleId="ListContinue5">
    <w:name w:val="List Continue 5"/>
    <w:basedOn w:val="List5"/>
    <w:rsid w:val="0017032F"/>
    <w:pPr>
      <w:ind w:firstLine="0"/>
    </w:pPr>
  </w:style>
  <w:style w:type="paragraph" w:styleId="ListNumber3">
    <w:name w:val="List Number 3"/>
    <w:basedOn w:val="List3"/>
    <w:rsid w:val="0017032F"/>
    <w:pPr>
      <w:numPr>
        <w:numId w:val="5"/>
      </w:numPr>
    </w:pPr>
  </w:style>
  <w:style w:type="paragraph" w:styleId="ListNumber4">
    <w:name w:val="List Number 4"/>
    <w:basedOn w:val="List4"/>
    <w:rsid w:val="0017032F"/>
    <w:pPr>
      <w:numPr>
        <w:numId w:val="6"/>
      </w:numPr>
    </w:pPr>
  </w:style>
  <w:style w:type="paragraph" w:styleId="ListNumber5">
    <w:name w:val="List Number 5"/>
    <w:basedOn w:val="List5"/>
    <w:rsid w:val="0017032F"/>
    <w:pPr>
      <w:numPr>
        <w:numId w:val="7"/>
      </w:numPr>
    </w:pPr>
  </w:style>
  <w:style w:type="paragraph" w:styleId="BlockText">
    <w:name w:val="Block Text"/>
    <w:basedOn w:val="Normal"/>
    <w:rsid w:val="0017032F"/>
    <w:pPr>
      <w:spacing w:after="120"/>
      <w:ind w:left="1440" w:right="1440"/>
    </w:pPr>
  </w:style>
  <w:style w:type="character" w:customStyle="1" w:styleId="Subscript">
    <w:name w:val="Subscript"/>
    <w:basedOn w:val="DefaultParagraphFont"/>
    <w:rsid w:val="0017032F"/>
    <w:rPr>
      <w:sz w:val="16"/>
      <w:vertAlign w:val="subscript"/>
    </w:rPr>
  </w:style>
  <w:style w:type="character" w:customStyle="1" w:styleId="Superscript">
    <w:name w:val="Superscript"/>
    <w:basedOn w:val="DefaultParagraphFont"/>
    <w:rsid w:val="0017032F"/>
    <w:rPr>
      <w:sz w:val="16"/>
      <w:vertAlign w:val="superscript"/>
    </w:rPr>
  </w:style>
  <w:style w:type="character" w:customStyle="1" w:styleId="Symbols">
    <w:name w:val="Symbols"/>
    <w:basedOn w:val="DefaultParagraphFont"/>
    <w:rsid w:val="0017032F"/>
    <w:rPr>
      <w:rFonts w:ascii="Symbol" w:hAnsi="Symbol"/>
    </w:rPr>
  </w:style>
  <w:style w:type="character" w:customStyle="1" w:styleId="MenuOptions">
    <w:name w:val="Menu Options"/>
    <w:basedOn w:val="DefaultParagraphFont"/>
    <w:rsid w:val="0017032F"/>
    <w:rPr>
      <w:rFonts w:ascii="Arial Narrow" w:hAnsi="Arial Narrow"/>
      <w:smallCaps/>
    </w:rPr>
  </w:style>
  <w:style w:type="character" w:customStyle="1" w:styleId="Buttons">
    <w:name w:val="Buttons"/>
    <w:basedOn w:val="DefaultParagraphFont"/>
    <w:rsid w:val="0017032F"/>
    <w:rPr>
      <w:b/>
    </w:rPr>
  </w:style>
  <w:style w:type="character" w:customStyle="1" w:styleId="Underlined">
    <w:name w:val="Underlined"/>
    <w:basedOn w:val="DefaultParagraphFont"/>
    <w:rsid w:val="0017032F"/>
    <w:rPr>
      <w:u w:val="single"/>
    </w:rPr>
  </w:style>
  <w:style w:type="paragraph" w:customStyle="1" w:styleId="TableBodyTextRight">
    <w:name w:val="Table Body Text Right"/>
    <w:basedOn w:val="TableBodyText"/>
    <w:rsid w:val="0017032F"/>
    <w:pPr>
      <w:widowControl w:val="0"/>
      <w:autoSpaceDE w:val="0"/>
      <w:autoSpaceDN w:val="0"/>
      <w:adjustRightInd w:val="0"/>
      <w:jc w:val="right"/>
    </w:pPr>
    <w:rPr>
      <w:rFonts w:cs="Arial"/>
      <w:szCs w:val="18"/>
    </w:rPr>
  </w:style>
  <w:style w:type="paragraph" w:customStyle="1" w:styleId="CopyrightText">
    <w:name w:val="Copyright Text"/>
    <w:basedOn w:val="BodyText"/>
    <w:rsid w:val="0017032F"/>
    <w:rPr>
      <w:sz w:val="18"/>
    </w:rPr>
  </w:style>
  <w:style w:type="paragraph" w:customStyle="1" w:styleId="BodySmallRight">
    <w:name w:val="Body Small Right"/>
    <w:basedOn w:val="BodyTextRight"/>
    <w:rsid w:val="0017032F"/>
    <w:rPr>
      <w:sz w:val="18"/>
      <w:szCs w:val="18"/>
    </w:rPr>
  </w:style>
  <w:style w:type="paragraph" w:customStyle="1" w:styleId="MarginEdition">
    <w:name w:val="Margin Edition"/>
    <w:basedOn w:val="MarginNote"/>
    <w:rsid w:val="0017032F"/>
    <w:pPr>
      <w:spacing w:before="0" w:after="0"/>
    </w:pPr>
    <w:rPr>
      <w:rFonts w:ascii="Times New Roman" w:hAnsi="Times New Roman"/>
      <w:color w:val="999999"/>
    </w:rPr>
  </w:style>
  <w:style w:type="paragraph" w:customStyle="1" w:styleId="Spacer">
    <w:name w:val="Spacer"/>
    <w:basedOn w:val="Normal"/>
    <w:rsid w:val="0017032F"/>
    <w:rPr>
      <w:sz w:val="2"/>
      <w:szCs w:val="2"/>
    </w:rPr>
  </w:style>
  <w:style w:type="character" w:customStyle="1" w:styleId="Small">
    <w:name w:val="Small"/>
    <w:basedOn w:val="DefaultParagraphFont"/>
    <w:rsid w:val="0017032F"/>
    <w:rPr>
      <w:sz w:val="16"/>
    </w:rPr>
  </w:style>
  <w:style w:type="paragraph" w:customStyle="1" w:styleId="WideTable">
    <w:name w:val="Wide Table"/>
    <w:basedOn w:val="Normal"/>
    <w:rsid w:val="0017032F"/>
    <w:pPr>
      <w:ind w:left="-1418"/>
    </w:pPr>
    <w:rPr>
      <w:sz w:val="2"/>
      <w:szCs w:val="2"/>
    </w:rPr>
  </w:style>
  <w:style w:type="character" w:styleId="PageNumber">
    <w:name w:val="page number"/>
    <w:basedOn w:val="DefaultParagraphFont"/>
    <w:rsid w:val="0017032F"/>
  </w:style>
  <w:style w:type="paragraph" w:styleId="Quote">
    <w:name w:val="Quote"/>
    <w:basedOn w:val="Heading1"/>
    <w:link w:val="QuoteChar"/>
    <w:qFormat/>
    <w:rsid w:val="0017032F"/>
    <w:rPr>
      <w:b w:val="0"/>
      <w:sz w:val="72"/>
      <w:szCs w:val="72"/>
      <w:lang w:val="en-NZ"/>
    </w:rPr>
  </w:style>
  <w:style w:type="character" w:customStyle="1" w:styleId="QuoteChar">
    <w:name w:val="Quote Char"/>
    <w:basedOn w:val="DefaultParagraphFont"/>
    <w:link w:val="Quote"/>
    <w:rsid w:val="001703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32F"/>
    <w:pPr>
      <w:pageBreakBefore/>
    </w:pPr>
  </w:style>
  <w:style w:type="paragraph" w:customStyle="1" w:styleId="Border">
    <w:name w:val="Border"/>
    <w:basedOn w:val="Normal"/>
    <w:qFormat/>
    <w:rsid w:val="001703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32F"/>
    <w:rPr>
      <w:b/>
      <w:bCs/>
      <w:i/>
      <w:iCs/>
      <w:color w:val="auto"/>
    </w:rPr>
  </w:style>
  <w:style w:type="paragraph" w:styleId="IntenseQuote">
    <w:name w:val="Intense Quote"/>
    <w:basedOn w:val="Normal"/>
    <w:next w:val="Normal"/>
    <w:link w:val="IntenseQuoteChar"/>
    <w:uiPriority w:val="30"/>
    <w:qFormat/>
    <w:rsid w:val="001703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3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32F"/>
    <w:rPr>
      <w:smallCaps/>
      <w:color w:val="auto"/>
      <w:u w:val="single"/>
    </w:rPr>
  </w:style>
  <w:style w:type="character" w:styleId="IntenseReference">
    <w:name w:val="Intense Reference"/>
    <w:basedOn w:val="DefaultParagraphFont"/>
    <w:uiPriority w:val="32"/>
    <w:qFormat/>
    <w:rsid w:val="0017032F"/>
    <w:rPr>
      <w:b/>
      <w:bCs/>
      <w:smallCaps/>
      <w:color w:val="auto"/>
      <w:spacing w:val="5"/>
      <w:u w:val="single"/>
    </w:rPr>
  </w:style>
  <w:style w:type="paragraph" w:customStyle="1" w:styleId="2ColumnHeading">
    <w:name w:val="2Column Heading"/>
    <w:basedOn w:val="BodyText"/>
    <w:qFormat/>
    <w:rsid w:val="0017032F"/>
    <w:pPr>
      <w:spacing w:after="60"/>
      <w:ind w:left="-2268"/>
    </w:pPr>
    <w:rPr>
      <w:b/>
    </w:rPr>
  </w:style>
  <w:style w:type="paragraph" w:customStyle="1" w:styleId="Heading1TOC">
    <w:name w:val="Heading1 TOC"/>
    <w:basedOn w:val="Normal"/>
    <w:qFormat/>
    <w:rsid w:val="0017032F"/>
    <w:pPr>
      <w:spacing w:before="240" w:after="120"/>
    </w:pPr>
    <w:rPr>
      <w:rFonts w:ascii="Times New Roman" w:hAnsi="Times New Roman"/>
      <w:b/>
      <w:sz w:val="32"/>
    </w:rPr>
  </w:style>
  <w:style w:type="paragraph" w:customStyle="1" w:styleId="Heading2TOC">
    <w:name w:val="Heading2 TOC"/>
    <w:basedOn w:val="Normal"/>
    <w:qFormat/>
    <w:rsid w:val="0017032F"/>
    <w:pPr>
      <w:spacing w:before="240" w:after="60"/>
    </w:pPr>
    <w:rPr>
      <w:rFonts w:ascii="Times New Roman" w:hAnsi="Times New Roman"/>
      <w:b/>
      <w:sz w:val="28"/>
    </w:rPr>
  </w:style>
  <w:style w:type="character" w:customStyle="1" w:styleId="Underline">
    <w:name w:val="Underline"/>
    <w:basedOn w:val="DefaultParagraphFont"/>
    <w:qFormat/>
    <w:rsid w:val="0017032F"/>
    <w:rPr>
      <w:u w:val="single"/>
    </w:rPr>
  </w:style>
  <w:style w:type="character" w:customStyle="1" w:styleId="BoldandItalics">
    <w:name w:val="Bold and Italics"/>
    <w:qFormat/>
    <w:rsid w:val="0017032F"/>
    <w:rPr>
      <w:b/>
      <w:i/>
      <w:u w:val="none"/>
    </w:rPr>
  </w:style>
  <w:style w:type="paragraph" w:styleId="BalloonText">
    <w:name w:val="Balloon Text"/>
    <w:basedOn w:val="Normal"/>
    <w:link w:val="BalloonTextChar"/>
    <w:rsid w:val="0017032F"/>
    <w:rPr>
      <w:rFonts w:ascii="Tahoma" w:hAnsi="Tahoma" w:cs="Tahoma"/>
      <w:sz w:val="16"/>
      <w:szCs w:val="16"/>
    </w:rPr>
  </w:style>
  <w:style w:type="character" w:customStyle="1" w:styleId="BalloonTextChar">
    <w:name w:val="Balloon Text Char"/>
    <w:basedOn w:val="DefaultParagraphFont"/>
    <w:link w:val="BalloonText"/>
    <w:rsid w:val="001703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3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03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32F"/>
    <w:rPr>
      <w:b/>
      <w:color w:val="660033"/>
      <w:spacing w:val="0"/>
    </w:rPr>
  </w:style>
  <w:style w:type="paragraph" w:customStyle="1" w:styleId="Nameditemlist">
    <w:name w:val="Named item list"/>
    <w:basedOn w:val="BodyText"/>
    <w:qFormat/>
    <w:rsid w:val="001703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2299</Words>
  <Characters>14020</Characters>
  <Application>Microsoft Office Word</Application>
  <DocSecurity>0</DocSecurity>
  <Lines>511</Lines>
  <Paragraphs>221</Paragraphs>
  <ScaleCrop>false</ScaleCrop>
  <Company>Author-it Software Corporation Ltd.</Company>
  <LinksUpToDate>false</LinksUpToDate>
  <CharactersWithSpaces>16241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UEENEEH151A Install large security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2013-08-14T01:09:00Z</dcterms:created>
  <dcterms:modified xsi:type="dcterms:W3CDTF">2013-08-14T01:09:00Z</dcterms:modified>
</cp:coreProperties>
</file>