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CB4" w:rsidP="000C4CB4">
      <w:pPr>
        <w:pStyle w:val="Title"/>
      </w:pPr>
      <w:r>
        <w:fldChar w:fldCharType="begin"/>
      </w:r>
      <w:r>
        <w:instrText xml:space="preserve"> TITLE   \* MERGEFORMAT </w:instrText>
      </w:r>
      <w:r>
        <w:fldChar w:fldCharType="separate"/>
      </w:r>
      <w:r>
        <w:t>UEENEEH149A Develop engineering solutions to audio electronic problems</w:t>
      </w:r>
      <w:r>
        <w:fldChar w:fldCharType="end"/>
      </w:r>
    </w:p>
    <w:p w:rsidR="000C4CB4" w:rsidP="000C4CB4">
      <w:pPr>
        <w:pStyle w:val="Version"/>
        <w:sectPr w:rsidSect="004454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54D1" w:rsidP="004454D1">
      <w:pPr>
        <w:pStyle w:val="SuperHeading"/>
      </w:pPr>
      <w:r w:rsidRPr="004454D1">
        <w:t>UEENEEH149A Develop engineering solutions to audio electronic problems</w:t>
      </w:r>
    </w:p>
    <w:p w:rsidR="00000000" w:rsidRPr="004454D1" w:rsidP="004454D1">
      <w:pPr>
        <w:pStyle w:val="Heading1"/>
      </w:pPr>
      <w:bookmarkStart w:id="1" w:name="O_591192"/>
      <w:bookmarkEnd w:id="1"/>
      <w:r w:rsidRPr="004454D1">
        <w:t>Modification History</w:t>
      </w:r>
    </w:p>
    <w:p w:rsidR="00000000" w:rsidRPr="004454D1" w:rsidP="004454D1">
      <w:pPr>
        <w:pStyle w:val="BodyText"/>
      </w:pPr>
      <w:r w:rsidRPr="004454D1">
        <w:t>Not applicable.</w:t>
      </w:r>
    </w:p>
    <w:p w:rsidR="00000000" w:rsidRPr="004454D1" w:rsidP="004454D1">
      <w:pPr>
        <w:pStyle w:val="AllowPageBreak"/>
      </w:pPr>
    </w:p>
    <w:p w:rsidR="00000000" w:rsidRPr="004454D1" w:rsidP="004454D1">
      <w:pPr>
        <w:pStyle w:val="Heading1"/>
      </w:pPr>
      <w:bookmarkStart w:id="2" w:name="O_591191"/>
      <w:bookmarkEnd w:id="2"/>
      <w:r w:rsidRPr="004454D1">
        <w:t>Unit Descriptor</w:t>
      </w:r>
    </w:p>
    <w:tbl>
      <w:tblPr>
        <w:tblW w:w="0" w:type="auto"/>
        <w:tblLayout w:type="fixed"/>
        <w:tblCellMar>
          <w:left w:w="62" w:type="dxa"/>
          <w:right w:w="62" w:type="dxa"/>
        </w:tblCellMar>
        <w:tblLook w:val="0000"/>
      </w:tblPr>
      <w:tblGrid>
        <w:gridCol w:w="2700"/>
        <w:gridCol w:w="5760"/>
      </w:tblGrid>
      <w:tr w:rsidTr="000C4C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rPr>
                <w:rStyle w:val="SpecialBold"/>
              </w:rPr>
              <w:t>1)</w:t>
            </w:r>
            <w:r w:rsidRPr="004454D1">
              <w:t xml:space="preserve"> </w:t>
            </w:r>
            <w:r w:rsidRPr="004454D1">
              <w:rPr>
                <w:rStyle w:val="SpecialBold"/>
              </w:rPr>
              <w:t>Scope:</w:t>
            </w:r>
          </w:p>
        </w:tc>
      </w:tr>
      <w:tr w:rsidTr="000C4C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454D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rPr>
                <w:rStyle w:val="SpecialBold"/>
              </w:rPr>
              <w:t>1.1) Descriptor</w:t>
            </w:r>
          </w:p>
        </w:tc>
      </w:tr>
      <w:tr w:rsidTr="000C4C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t>This unit covers developing engineering solutions to resolve problems with audio electronics. It encompasses working safely, applying extensive knowledge of audio electronics circuits and device operation and application, gathering and analysing data, appl</w:t>
            </w:r>
            <w:r w:rsidRPr="004454D1">
              <w:t>ying problem solving techniques, developing and documenting solutions and alternatives</w:t>
            </w:r>
          </w:p>
          <w:p w:rsidR="00000000" w:rsidRPr="004454D1" w:rsidP="004454D1">
            <w:pPr>
              <w:pStyle w:val="BodyText"/>
            </w:pPr>
            <w:r w:rsidRPr="004454D1">
              <w:t>Note.</w:t>
            </w:r>
          </w:p>
          <w:p w:rsidR="00000000" w:rsidRPr="004454D1" w:rsidP="004454D1">
            <w:pPr>
              <w:pStyle w:val="BodyText"/>
            </w:pPr>
            <w:r w:rsidRPr="004454D1">
              <w:t>Typical audio electronic problems are those encountered in meeting performance requirements and compliance standards, revising audio electronic operating parameter</w:t>
            </w:r>
            <w:r w:rsidRPr="004454D1">
              <w:t>s and dealing with audio electronic malfunctions.</w:t>
            </w:r>
          </w:p>
        </w:tc>
      </w:tr>
    </w:tbl>
    <w:p w:rsidR="00000000" w:rsidRPr="004454D1" w:rsidP="004454D1">
      <w:pPr>
        <w:pStyle w:val="BodyText"/>
      </w:pPr>
    </w:p>
    <w:p w:rsidR="00000000" w:rsidRPr="004454D1" w:rsidP="004454D1">
      <w:pPr>
        <w:pStyle w:val="AllowPageBreak"/>
      </w:pPr>
    </w:p>
    <w:p w:rsidR="00000000" w:rsidRPr="004454D1" w:rsidP="004454D1">
      <w:pPr>
        <w:pStyle w:val="Heading1"/>
      </w:pPr>
      <w:bookmarkStart w:id="3" w:name="O_591190"/>
      <w:bookmarkEnd w:id="3"/>
      <w:r w:rsidRPr="004454D1">
        <w:t>Application of the Unit</w:t>
      </w:r>
    </w:p>
    <w:tbl>
      <w:tblPr>
        <w:tblW w:w="0" w:type="auto"/>
        <w:tblLayout w:type="fixed"/>
        <w:tblCellMar>
          <w:left w:w="62" w:type="dxa"/>
          <w:right w:w="62" w:type="dxa"/>
        </w:tblCellMar>
        <w:tblLook w:val="0000"/>
      </w:tblPr>
      <w:tblGrid>
        <w:gridCol w:w="2672"/>
        <w:gridCol w:w="5699"/>
      </w:tblGrid>
      <w:tr w:rsidTr="000C4CB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rPr>
                <w:rStyle w:val="SpecialBold"/>
              </w:rPr>
              <w:t>2)</w:t>
            </w:r>
          </w:p>
        </w:tc>
      </w:tr>
      <w:tr w:rsidTr="000C4CB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t>This unit is intended to apply to any recognised development program that leads to the acquisition of a formal award at AQF level 5 or higher.</w:t>
            </w:r>
          </w:p>
        </w:tc>
      </w:tr>
    </w:tbl>
    <w:p w:rsidR="00000000" w:rsidRPr="004454D1" w:rsidP="004454D1">
      <w:pPr>
        <w:pStyle w:val="BodyText"/>
      </w:pPr>
    </w:p>
    <w:p w:rsidR="00000000" w:rsidRPr="004454D1" w:rsidP="004454D1">
      <w:pPr>
        <w:pStyle w:val="AllowPageBreak"/>
      </w:pPr>
    </w:p>
    <w:p w:rsidR="00000000" w:rsidRPr="004454D1" w:rsidP="004454D1">
      <w:pPr>
        <w:pStyle w:val="Heading1"/>
      </w:pPr>
      <w:bookmarkStart w:id="4" w:name="O_591189"/>
      <w:bookmarkEnd w:id="4"/>
      <w:r w:rsidRPr="004454D1">
        <w:t>Licensing/Regulatory Information</w:t>
      </w:r>
    </w:p>
    <w:tbl>
      <w:tblPr>
        <w:tblW w:w="0" w:type="auto"/>
        <w:tblLayout w:type="fixed"/>
        <w:tblCellMar>
          <w:left w:w="62" w:type="dxa"/>
          <w:right w:w="62" w:type="dxa"/>
        </w:tblCellMar>
        <w:tblLook w:val="0000"/>
      </w:tblPr>
      <w:tblGrid>
        <w:gridCol w:w="2700"/>
        <w:gridCol w:w="5760"/>
      </w:tblGrid>
      <w:tr w:rsidTr="000C4C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rPr>
                <w:rStyle w:val="SpecialBold"/>
              </w:rPr>
              <w:t xml:space="preserve">3) </w:t>
            </w:r>
          </w:p>
        </w:tc>
      </w:tr>
      <w:tr w:rsidTr="000C4C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t xml:space="preserve">The skills and knowledge described in this unit require a license to practice in the workplace for work involving </w:t>
            </w:r>
            <w:r w:rsidRPr="004454D1">
              <w:t>direct access to plant and equipment connected to installation wiring at voltage above 50 V a.c. or 120 V d.c. However other conditions may ap</w:t>
            </w:r>
            <w:r w:rsidRPr="004454D1">
              <w:t xml:space="preserve">ply in some jurisdictions subject to regulations related to electrical work. Practice in the workplace and during training is also subject to regulations directly related to occupational health and safety and where applicable contracts of training such as </w:t>
            </w:r>
            <w:r w:rsidRPr="004454D1">
              <w:t>apprenticeships.</w:t>
            </w:r>
          </w:p>
          <w:p w:rsidR="00000000" w:rsidRPr="004454D1" w:rsidP="004454D1">
            <w:pPr>
              <w:pStyle w:val="BodyText"/>
            </w:pPr>
            <w:r w:rsidRPr="004454D1">
              <w:t xml:space="preserve">Note: </w:t>
            </w:r>
          </w:p>
          <w:p w:rsidR="00000000" w:rsidRPr="004454D1" w:rsidP="004454D1">
            <w:pPr>
              <w:pStyle w:val="BodyText"/>
            </w:pPr>
            <w:r w:rsidRPr="004454D1">
              <w:t>1. Compliance with permits may be required in various jurisdictions and typically relates to the operation of plant, machinery and equipment such as elevating work platforms, powder operated fixing tools, power operated tools, vehic</w:t>
            </w:r>
            <w:r w:rsidRPr="004454D1">
              <w:t>les, road signage and traffic control, lifting equipment and the like. Permits may also be required for some work environments such as confined spaces, working aloft, near live electrical apparatus and site rehabilitation.</w:t>
            </w:r>
          </w:p>
          <w:p w:rsidR="00000000" w:rsidRPr="004454D1" w:rsidP="004454D1">
            <w:pPr>
              <w:pStyle w:val="BodyText"/>
            </w:pPr>
            <w:r w:rsidRPr="004454D1">
              <w:t xml:space="preserve">2. Compliance may be required in </w:t>
            </w:r>
            <w:r w:rsidRPr="004454D1">
              <w:t>various jurisdictions relating to currency in First Aid, confined space, lifting and risk safety measures.</w:t>
            </w:r>
          </w:p>
        </w:tc>
      </w:tr>
    </w:tbl>
    <w:p w:rsidR="00000000" w:rsidRPr="004454D1" w:rsidP="004454D1">
      <w:pPr>
        <w:pStyle w:val="BodyText"/>
      </w:pPr>
    </w:p>
    <w:p w:rsidR="00000000" w:rsidRPr="004454D1" w:rsidP="004454D1">
      <w:pPr>
        <w:pStyle w:val="AllowPageBreak"/>
      </w:pPr>
    </w:p>
    <w:p w:rsidR="00000000" w:rsidRPr="004454D1" w:rsidP="004454D1">
      <w:pPr>
        <w:pStyle w:val="Heading1"/>
      </w:pPr>
      <w:bookmarkStart w:id="5" w:name="O_591188"/>
      <w:bookmarkEnd w:id="5"/>
      <w:r w:rsidRPr="004454D1">
        <w:t>Pre-Requisites</w:t>
      </w:r>
    </w:p>
    <w:tbl>
      <w:tblPr>
        <w:tblW w:w="0" w:type="auto"/>
        <w:tblLayout w:type="fixed"/>
        <w:tblCellMar>
          <w:left w:w="62" w:type="dxa"/>
          <w:right w:w="62" w:type="dxa"/>
        </w:tblCellMar>
        <w:tblLook w:val="0000"/>
      </w:tblPr>
      <w:tblGrid>
        <w:gridCol w:w="2700"/>
        <w:gridCol w:w="1440"/>
        <w:gridCol w:w="4320"/>
      </w:tblGrid>
      <w:tr w:rsidTr="000C4C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rPr>
                <w:rStyle w:val="SpecialBold"/>
              </w:rPr>
              <w:t xml:space="preserve">4) </w:t>
            </w:r>
          </w:p>
        </w:tc>
      </w:tr>
      <w:tr w:rsidTr="000C4C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rPr>
                <w:rStyle w:val="SpecialBold"/>
              </w:rPr>
              <w:t>4.1)</w:t>
            </w:r>
          </w:p>
        </w:tc>
      </w:tr>
      <w:tr w:rsidTr="000C4C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Granting competency in this unit shall be made only after compet</w:t>
            </w:r>
            <w:r w:rsidRPr="004454D1">
              <w:t>ency in the following unit(s) has/have been confirmed.</w:t>
            </w:r>
          </w:p>
        </w:tc>
      </w:tr>
      <w:tr w:rsidTr="000C4CB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UEENEEH139A</w:t>
            </w:r>
          </w:p>
        </w:tc>
        <w:tc>
          <w:tcPr>
            <w:tcW w:w="432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t xml:space="preserve">Troubleshoot basic amplifier circuits </w:t>
            </w:r>
          </w:p>
        </w:tc>
      </w:tr>
    </w:tbl>
    <w:p w:rsidR="00000000" w:rsidRPr="004454D1" w:rsidP="004454D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C4CB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rPr>
                <w:rStyle w:val="SpecialBold"/>
              </w:rPr>
              <w:t xml:space="preserve">4.2) </w:t>
            </w:r>
          </w:p>
        </w:tc>
      </w:tr>
      <w:tr w:rsidTr="000C4C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 xml:space="preserve">Participants are best equipped to achieve competency in this unit if they have reading, writing and numeracy skills indicated by the following scales. Description of each scale is given in Volume 2, Part 3 ‘Literacy and </w:t>
            </w:r>
            <w:r w:rsidRPr="004454D1">
              <w:t>Numeracy’</w:t>
            </w:r>
          </w:p>
        </w:tc>
      </w:tr>
      <w:tr w:rsidTr="000C4C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Reading</w:t>
            </w:r>
          </w:p>
        </w:tc>
        <w:tc>
          <w:tcPr>
            <w:tcW w:w="810"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5</w:t>
            </w:r>
          </w:p>
        </w:tc>
        <w:tc>
          <w:tcPr>
            <w:tcW w:w="990"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Writing</w:t>
            </w:r>
          </w:p>
        </w:tc>
        <w:tc>
          <w:tcPr>
            <w:tcW w:w="900"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5</w:t>
            </w:r>
          </w:p>
        </w:tc>
        <w:tc>
          <w:tcPr>
            <w:tcW w:w="1260"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Numeracy</w:t>
            </w:r>
          </w:p>
        </w:tc>
        <w:tc>
          <w:tcPr>
            <w:tcW w:w="72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t>5</w:t>
            </w:r>
          </w:p>
        </w:tc>
      </w:tr>
    </w:tbl>
    <w:p w:rsidR="00000000" w:rsidRPr="004454D1" w:rsidP="004454D1">
      <w:pPr>
        <w:pStyle w:val="BodyText"/>
      </w:pPr>
    </w:p>
    <w:p w:rsidR="00000000" w:rsidRPr="004454D1" w:rsidP="004454D1">
      <w:pPr>
        <w:pStyle w:val="AllowPageBreak"/>
      </w:pPr>
    </w:p>
    <w:p w:rsidR="00000000" w:rsidRPr="004454D1" w:rsidP="004454D1">
      <w:pPr>
        <w:pStyle w:val="Heading1"/>
      </w:pPr>
      <w:bookmarkStart w:id="6" w:name="O_591187"/>
      <w:bookmarkEnd w:id="6"/>
      <w:r w:rsidRPr="004454D1">
        <w:t>Employability Skills Information</w:t>
      </w:r>
    </w:p>
    <w:tbl>
      <w:tblPr>
        <w:tblW w:w="0" w:type="auto"/>
        <w:tblLayout w:type="fixed"/>
        <w:tblCellMar>
          <w:left w:w="62" w:type="dxa"/>
          <w:right w:w="62" w:type="dxa"/>
        </w:tblCellMar>
        <w:tblLook w:val="0000"/>
      </w:tblPr>
      <w:tblGrid>
        <w:gridCol w:w="2700"/>
        <w:gridCol w:w="5760"/>
      </w:tblGrid>
      <w:tr w:rsidTr="000C4C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rPr>
                <w:rStyle w:val="SpecialBold"/>
              </w:rPr>
              <w:t xml:space="preserve">5) </w:t>
            </w:r>
          </w:p>
        </w:tc>
      </w:tr>
      <w:tr w:rsidTr="000C4C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t>This unit contains Employability Skills</w:t>
            </w:r>
          </w:p>
          <w:p w:rsidR="00000000" w:rsidRPr="004454D1" w:rsidP="004454D1">
            <w:pPr>
              <w:pStyle w:val="BodyText"/>
            </w:pPr>
            <w:r w:rsidRPr="004454D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454D1">
              <w:t>requirements.</w:t>
            </w:r>
          </w:p>
        </w:tc>
      </w:tr>
    </w:tbl>
    <w:p w:rsidR="00000000" w:rsidRPr="004454D1" w:rsidP="004454D1">
      <w:pPr>
        <w:pStyle w:val="BodyText"/>
      </w:pPr>
    </w:p>
    <w:p w:rsidR="00000000" w:rsidRPr="004454D1" w:rsidP="004454D1">
      <w:pPr>
        <w:pStyle w:val="AllowPageBreak"/>
      </w:pPr>
    </w:p>
    <w:p w:rsidR="00000000" w:rsidRPr="004454D1" w:rsidP="004454D1">
      <w:pPr>
        <w:pStyle w:val="Heading1"/>
      </w:pPr>
      <w:bookmarkStart w:id="7" w:name="O_591186"/>
      <w:bookmarkEnd w:id="7"/>
      <w:r w:rsidRPr="004454D1">
        <w:t>Elements and Performance Criteria Pre-Content</w:t>
      </w:r>
    </w:p>
    <w:tbl>
      <w:tblPr>
        <w:tblW w:w="0" w:type="auto"/>
        <w:tblLayout w:type="fixed"/>
        <w:tblCellMar>
          <w:left w:w="62" w:type="dxa"/>
          <w:right w:w="62" w:type="dxa"/>
        </w:tblCellMar>
        <w:tblLook w:val="0000"/>
      </w:tblPr>
      <w:tblGrid>
        <w:gridCol w:w="2700"/>
        <w:gridCol w:w="5760"/>
      </w:tblGrid>
      <w:tr w:rsidTr="000C4C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rPr>
                <w:rStyle w:val="SpecialBold"/>
              </w:rPr>
              <w:t>6)</w:t>
            </w:r>
            <w:r w:rsidRPr="004454D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t>Performance Criteria describe the required performance needed to demonstrate achievement of the element</w:t>
            </w:r>
            <w:r w:rsidRPr="004454D1">
              <w:t>. Assessment of performance is to be consistent with the Evidence Guide.</w:t>
            </w:r>
          </w:p>
        </w:tc>
      </w:tr>
    </w:tbl>
    <w:p w:rsidR="00000000" w:rsidRPr="004454D1" w:rsidP="004454D1">
      <w:pPr>
        <w:pStyle w:val="BodyText"/>
      </w:pPr>
    </w:p>
    <w:p w:rsidR="00000000" w:rsidRPr="004454D1" w:rsidP="004454D1">
      <w:pPr>
        <w:pStyle w:val="AllowPageBreak"/>
      </w:pPr>
    </w:p>
    <w:p w:rsidR="00000000" w:rsidRPr="004454D1" w:rsidP="004454D1">
      <w:pPr>
        <w:pStyle w:val="Heading1"/>
      </w:pPr>
      <w:bookmarkStart w:id="8" w:name="O_591185"/>
      <w:bookmarkEnd w:id="8"/>
      <w:r w:rsidRPr="004454D1">
        <w:t>Elements and Performance Criteria</w:t>
      </w:r>
    </w:p>
    <w:tbl>
      <w:tblPr>
        <w:tblW w:w="0" w:type="auto"/>
        <w:tblLayout w:type="fixed"/>
        <w:tblCellMar>
          <w:left w:w="62" w:type="dxa"/>
          <w:right w:w="62" w:type="dxa"/>
        </w:tblCellMar>
        <w:tblLook w:val="0000"/>
      </w:tblPr>
      <w:tblGrid>
        <w:gridCol w:w="437"/>
        <w:gridCol w:w="2183"/>
        <w:gridCol w:w="80"/>
        <w:gridCol w:w="794"/>
        <w:gridCol w:w="4713"/>
        <w:gridCol w:w="253"/>
      </w:tblGrid>
      <w:tr w:rsidTr="000C4CB4">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rPr>
                <w:rStyle w:val="SpecialBold"/>
              </w:rPr>
              <w:t>PERFORMANCE CRITERIA</w:t>
            </w:r>
          </w:p>
        </w:tc>
      </w:tr>
      <w:tr w:rsidTr="000C4CB4">
        <w:tblPrEx>
          <w:tblW w:w="0" w:type="auto"/>
          <w:tblLayout w:type="fixed"/>
          <w:tblCellMar>
            <w:left w:w="62" w:type="dxa"/>
            <w:right w:w="62" w:type="dxa"/>
          </w:tblCellMar>
          <w:tblLook w:val="0000"/>
        </w:tblPrEx>
        <w:trPr>
          <w:gridAfter w:val="1"/>
          <w:wAfter w:w="253" w:type="dxa"/>
          <w:trHeight w:val="686"/>
        </w:trPr>
        <w:tc>
          <w:tcPr>
            <w:tcW w:w="437"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1</w:t>
            </w:r>
          </w:p>
        </w:tc>
        <w:tc>
          <w:tcPr>
            <w:tcW w:w="2183" w:type="dxa"/>
            <w:vMerge w:val="restart"/>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Prepare to develop engineering solution for audio electronic problems.</w:t>
            </w:r>
          </w:p>
        </w:tc>
        <w:tc>
          <w:tcPr>
            <w:tcW w:w="874"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1.1</w:t>
            </w:r>
          </w:p>
        </w:tc>
        <w:tc>
          <w:tcPr>
            <w:tcW w:w="4713"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 xml:space="preserve">OHS processes and procedures for a given work area are identified, obtained and understood.  </w:t>
            </w:r>
          </w:p>
        </w:tc>
      </w:tr>
      <w:tr w:rsidTr="000C4CB4">
        <w:tblPrEx>
          <w:tblW w:w="0" w:type="auto"/>
          <w:tblLayout w:type="fixed"/>
          <w:tblCellMar>
            <w:left w:w="62" w:type="dxa"/>
            <w:right w:w="62" w:type="dxa"/>
          </w:tblCellMar>
          <w:tblLook w:val="0000"/>
        </w:tblPrEx>
        <w:trPr>
          <w:gridAfter w:val="1"/>
          <w:wAfter w:w="253" w:type="dxa"/>
        </w:trPr>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1.2</w:t>
            </w:r>
          </w:p>
        </w:tc>
        <w:tc>
          <w:tcPr>
            <w:tcW w:w="4713"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Established OHS risk control measures and procedures are followed in preparation for the work.</w:t>
            </w:r>
          </w:p>
        </w:tc>
      </w:tr>
      <w:tr w:rsidTr="000C4CB4">
        <w:tblPrEx>
          <w:tblW w:w="0" w:type="auto"/>
          <w:tblLayout w:type="fixed"/>
          <w:tblCellMar>
            <w:left w:w="62" w:type="dxa"/>
            <w:right w:w="62" w:type="dxa"/>
          </w:tblCellMar>
          <w:tblLook w:val="0000"/>
        </w:tblPrEx>
        <w:trPr>
          <w:gridAfter w:val="1"/>
          <w:wAfter w:w="253" w:type="dxa"/>
        </w:trPr>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1.3</w:t>
            </w:r>
          </w:p>
        </w:tc>
        <w:tc>
          <w:tcPr>
            <w:tcW w:w="4713"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The extent of the audio electronic problem is determined from performance specifications and situation reports and in consultations with relevant persons.</w:t>
            </w:r>
          </w:p>
        </w:tc>
      </w:tr>
      <w:tr w:rsidTr="000C4CB4">
        <w:tblPrEx>
          <w:tblW w:w="0" w:type="auto"/>
          <w:tblLayout w:type="fixed"/>
          <w:tblCellMar>
            <w:left w:w="62" w:type="dxa"/>
            <w:right w:w="62" w:type="dxa"/>
          </w:tblCellMar>
          <w:tblLook w:val="0000"/>
        </w:tblPrEx>
        <w:trPr>
          <w:gridAfter w:val="1"/>
          <w:wAfter w:w="253" w:type="dxa"/>
        </w:trPr>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1.4</w:t>
            </w:r>
          </w:p>
        </w:tc>
        <w:tc>
          <w:tcPr>
            <w:tcW w:w="4713"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 xml:space="preserve">Activities are planned to meet scheduled </w:t>
            </w:r>
            <w:r w:rsidRPr="004454D1">
              <w:t>timelines in consultation with others involved in the work.</w:t>
            </w:r>
          </w:p>
        </w:tc>
      </w:tr>
      <w:tr w:rsidTr="000C4CB4">
        <w:tblPrEx>
          <w:tblW w:w="0" w:type="auto"/>
          <w:tblLayout w:type="fixed"/>
          <w:tblCellMar>
            <w:left w:w="62" w:type="dxa"/>
            <w:right w:w="62" w:type="dxa"/>
          </w:tblCellMar>
          <w:tblLook w:val="0000"/>
        </w:tblPrEx>
        <w:trPr>
          <w:gridAfter w:val="1"/>
          <w:wAfter w:w="253" w:type="dxa"/>
        </w:trPr>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1.5</w:t>
            </w:r>
          </w:p>
        </w:tc>
        <w:tc>
          <w:tcPr>
            <w:tcW w:w="4713"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Effective strategies are formed to ensure solution development and implementation is carried out efficiently.</w:t>
            </w:r>
          </w:p>
        </w:tc>
      </w:tr>
      <w:tr w:rsidTr="000C4CB4">
        <w:tblPrEx>
          <w:tblW w:w="0" w:type="auto"/>
          <w:tblLayout w:type="fixed"/>
          <w:tblCellMar>
            <w:left w:w="62" w:type="dxa"/>
            <w:right w:w="62" w:type="dxa"/>
          </w:tblCellMar>
          <w:tblLook w:val="0000"/>
        </w:tblPrEx>
        <w:trPr>
          <w:gridAfter w:val="1"/>
          <w:wAfter w:w="253" w:type="dxa"/>
        </w:trPr>
        <w:tc>
          <w:tcPr>
            <w:tcW w:w="437"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2</w:t>
            </w:r>
          </w:p>
        </w:tc>
        <w:tc>
          <w:tcPr>
            <w:tcW w:w="2183" w:type="dxa"/>
            <w:vMerge w:val="restart"/>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Develop engineering solution for a</w:t>
            </w:r>
            <w:r w:rsidRPr="004454D1">
              <w:t>udio electronic problems.</w:t>
            </w:r>
          </w:p>
        </w:tc>
        <w:tc>
          <w:tcPr>
            <w:tcW w:w="874"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2.1</w:t>
            </w:r>
          </w:p>
        </w:tc>
        <w:tc>
          <w:tcPr>
            <w:tcW w:w="4713"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OHS risk control measures and procedures for carrying out the work are followed.</w:t>
            </w:r>
          </w:p>
        </w:tc>
      </w:tr>
      <w:tr w:rsidTr="000C4CB4">
        <w:tblPrEx>
          <w:tblW w:w="0" w:type="auto"/>
          <w:tblLayout w:type="fixed"/>
          <w:tblCellMar>
            <w:left w:w="62" w:type="dxa"/>
            <w:right w:w="62" w:type="dxa"/>
          </w:tblCellMar>
          <w:tblLook w:val="0000"/>
        </w:tblPrEx>
        <w:trPr>
          <w:gridAfter w:val="1"/>
          <w:wAfter w:w="253" w:type="dxa"/>
        </w:trPr>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2.2</w:t>
            </w:r>
          </w:p>
        </w:tc>
        <w:tc>
          <w:tcPr>
            <w:tcW w:w="4713"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Knowledge of audio electronics circuit, device/component operation, characteristics and applications are applied to developing solutions to audio electronic problems.</w:t>
            </w:r>
          </w:p>
        </w:tc>
      </w:tr>
      <w:tr w:rsidTr="000C4CB4">
        <w:tblPrEx>
          <w:tblW w:w="0" w:type="auto"/>
          <w:tblLayout w:type="fixed"/>
          <w:tblCellMar>
            <w:left w:w="62" w:type="dxa"/>
            <w:right w:w="62" w:type="dxa"/>
          </w:tblCellMar>
          <w:tblLook w:val="0000"/>
        </w:tblPrEx>
        <w:trPr>
          <w:gridAfter w:val="1"/>
          <w:wAfter w:w="253" w:type="dxa"/>
        </w:trPr>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2.3</w:t>
            </w:r>
          </w:p>
        </w:tc>
        <w:tc>
          <w:tcPr>
            <w:tcW w:w="4713"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Parameters, specifications and performance requirements in relation to each audio</w:t>
            </w:r>
            <w:r w:rsidRPr="004454D1">
              <w:t xml:space="preserve"> electronic problem are obtained in accordance with established procedures. </w:t>
            </w:r>
          </w:p>
        </w:tc>
      </w:tr>
      <w:tr w:rsidTr="000C4CB4">
        <w:tblPrEx>
          <w:tblW w:w="0" w:type="auto"/>
          <w:tblLayout w:type="fixed"/>
          <w:tblCellMar>
            <w:left w:w="62" w:type="dxa"/>
            <w:right w:w="62" w:type="dxa"/>
          </w:tblCellMar>
          <w:tblLook w:val="0000"/>
        </w:tblPrEx>
        <w:trPr>
          <w:gridAfter w:val="1"/>
          <w:wAfter w:w="253" w:type="dxa"/>
        </w:trPr>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2.4</w:t>
            </w:r>
          </w:p>
        </w:tc>
        <w:tc>
          <w:tcPr>
            <w:tcW w:w="4713"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Approaches to resolving audio electronic problems are analysed to provide most effective solutions.</w:t>
            </w:r>
          </w:p>
        </w:tc>
      </w:tr>
      <w:tr w:rsidTr="000C4CB4">
        <w:tblPrEx>
          <w:tblW w:w="0" w:type="auto"/>
          <w:tblLayout w:type="fixed"/>
          <w:tblCellMar>
            <w:left w:w="62" w:type="dxa"/>
            <w:right w:w="62" w:type="dxa"/>
          </w:tblCellMar>
          <w:tblLook w:val="0000"/>
        </w:tblPrEx>
        <w:trPr>
          <w:gridAfter w:val="1"/>
          <w:wAfter w:w="253" w:type="dxa"/>
        </w:trPr>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2.5</w:t>
            </w:r>
          </w:p>
        </w:tc>
        <w:tc>
          <w:tcPr>
            <w:tcW w:w="4713"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Unplanned events are dealt with safely and effectively consistent with regulatory requirements and enterprise policy.</w:t>
            </w:r>
          </w:p>
        </w:tc>
      </w:tr>
      <w:tr w:rsidTr="000C4CB4">
        <w:tblPrEx>
          <w:tblW w:w="0" w:type="auto"/>
          <w:tblLayout w:type="fixed"/>
          <w:tblCellMar>
            <w:left w:w="62" w:type="dxa"/>
            <w:right w:w="62" w:type="dxa"/>
          </w:tblCellMar>
          <w:tblLook w:val="0000"/>
        </w:tblPrEx>
        <w:trPr>
          <w:gridAfter w:val="1"/>
          <w:wAfter w:w="253" w:type="dxa"/>
        </w:trPr>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2.6</w:t>
            </w:r>
          </w:p>
        </w:tc>
        <w:tc>
          <w:tcPr>
            <w:tcW w:w="4713"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Quality of work is monitored against personal performance agreement and/or established organizational or professional standards.</w:t>
            </w:r>
          </w:p>
        </w:tc>
      </w:tr>
      <w:tr w:rsidTr="000C4CB4">
        <w:tblPrEx>
          <w:tblW w:w="0" w:type="auto"/>
          <w:tblLayout w:type="fixed"/>
          <w:tblCellMar>
            <w:left w:w="62" w:type="dxa"/>
            <w:right w:w="62" w:type="dxa"/>
          </w:tblCellMar>
          <w:tblLook w:val="0000"/>
        </w:tblPrEx>
        <w:trPr>
          <w:gridAfter w:val="1"/>
          <w:wAfter w:w="253" w:type="dxa"/>
        </w:trPr>
        <w:tc>
          <w:tcPr>
            <w:tcW w:w="437"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3</w:t>
            </w:r>
          </w:p>
        </w:tc>
        <w:tc>
          <w:tcPr>
            <w:tcW w:w="2183"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Test, document and implement engineering solution for audio electronic problems.</w:t>
            </w:r>
          </w:p>
        </w:tc>
        <w:tc>
          <w:tcPr>
            <w:tcW w:w="874"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3.1</w:t>
            </w:r>
          </w:p>
        </w:tc>
        <w:tc>
          <w:tcPr>
            <w:tcW w:w="4713"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Solutions to audio electronic problems are tested to determine their effectiveness and modified where necessary.</w:t>
            </w:r>
          </w:p>
        </w:tc>
      </w:tr>
      <w:tr w:rsidTr="000C4CB4">
        <w:tblPrEx>
          <w:tblW w:w="0" w:type="auto"/>
          <w:tblLayout w:type="fixed"/>
          <w:tblCellMar>
            <w:left w:w="62" w:type="dxa"/>
            <w:right w:w="62" w:type="dxa"/>
          </w:tblCellMar>
          <w:tblLook w:val="0000"/>
        </w:tblPrEx>
        <w:trPr>
          <w:gridAfter w:val="1"/>
          <w:wAfter w:w="253" w:type="dxa"/>
        </w:trPr>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3.2</w:t>
            </w:r>
          </w:p>
        </w:tc>
        <w:tc>
          <w:tcPr>
            <w:tcW w:w="4713"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Adopted solutions are documented including instruction for their implementation that incorporates risk control measure to be followed.</w:t>
            </w:r>
          </w:p>
        </w:tc>
      </w:tr>
      <w:tr w:rsidTr="000C4CB4">
        <w:tblPrEx>
          <w:tblW w:w="0" w:type="auto"/>
          <w:tblLayout w:type="fixed"/>
          <w:tblCellMar>
            <w:left w:w="62" w:type="dxa"/>
            <w:right w:w="62" w:type="dxa"/>
          </w:tblCellMar>
          <w:tblLook w:val="0000"/>
        </w:tblPrEx>
        <w:trPr>
          <w:gridAfter w:val="1"/>
          <w:wAfter w:w="253" w:type="dxa"/>
        </w:trPr>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3.3</w:t>
            </w:r>
          </w:p>
        </w:tc>
        <w:tc>
          <w:tcPr>
            <w:tcW w:w="4713"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 xml:space="preserve">Appropriately competent and qualified person(s) required to implement solutions to audio electronic problems are </w:t>
            </w:r>
            <w:r w:rsidRPr="004454D1">
              <w:t xml:space="preserve">coordinated in accordance with regulatory requirements and </w:t>
            </w:r>
            <w:r w:rsidRPr="004454D1">
              <w:t>enterprise policy. (See Note)</w:t>
            </w:r>
          </w:p>
        </w:tc>
      </w:tr>
      <w:tr w:rsidTr="000C4CB4">
        <w:tblPrEx>
          <w:tblW w:w="0" w:type="auto"/>
          <w:tblLayout w:type="fixed"/>
          <w:tblCellMar>
            <w:left w:w="62" w:type="dxa"/>
            <w:right w:w="62" w:type="dxa"/>
          </w:tblCellMar>
          <w:tblLook w:val="0000"/>
        </w:tblPrEx>
        <w:trPr>
          <w:gridAfter w:val="1"/>
          <w:wAfter w:w="253" w:type="dxa"/>
        </w:trPr>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3.4</w:t>
            </w:r>
          </w:p>
        </w:tc>
        <w:tc>
          <w:tcPr>
            <w:tcW w:w="4713"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 xml:space="preserve">Justification for solutions used to solve audio electronic problems is documented for inclusion in work/project development records in accordance </w:t>
            </w:r>
            <w:r w:rsidRPr="004454D1">
              <w:t>with professional standards.</w:t>
            </w:r>
          </w:p>
        </w:tc>
      </w:tr>
      <w:tr w:rsidTr="000C4CB4">
        <w:tblPrEx>
          <w:tblW w:w="0" w:type="auto"/>
          <w:tblLayout w:type="fixed"/>
          <w:tblCellMar>
            <w:left w:w="62" w:type="dxa"/>
            <w:right w:w="62" w:type="dxa"/>
          </w:tblCellMar>
          <w:tblLook w:val="0000"/>
        </w:tblPrEx>
        <w:trPr>
          <w:gridAfter w:val="1"/>
          <w:wAfter w:w="253" w:type="dxa"/>
        </w:trPr>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7" w:type="dxa"/>
            <w:gridSpan w:val="3"/>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t>Note:</w:t>
            </w:r>
            <w:r w:rsidRPr="004454D1">
              <w:br/>
              <w:t>A license to practice in the workplace is required for work involving direct access to plant and equipment connected to installation wiring at voltages above 50 V a.c. or 120 V d.c.</w:t>
            </w:r>
          </w:p>
        </w:tc>
      </w:tr>
    </w:tbl>
    <w:p w:rsidR="000C4CB4" w:rsidP="004454D1">
      <w:pPr>
        <w:pStyle w:val="BodyText"/>
      </w:pPr>
    </w:p>
    <w:p w:rsidR="000C4CB4" w:rsidP="004454D1">
      <w:pPr>
        <w:pStyle w:val="BodyText"/>
      </w:pPr>
    </w:p>
    <w:p w:rsidR="00000000" w:rsidRPr="004454D1" w:rsidP="004454D1">
      <w:pPr>
        <w:pStyle w:val="Heading1"/>
      </w:pPr>
      <w:bookmarkStart w:id="9" w:name="O_591184"/>
      <w:bookmarkEnd w:id="9"/>
      <w:r w:rsidRPr="004454D1">
        <w:t>Required Skill</w:t>
      </w:r>
      <w:r w:rsidRPr="004454D1">
        <w:t>s and Knowledge</w:t>
      </w:r>
    </w:p>
    <w:tbl>
      <w:tblPr>
        <w:tblW w:w="0" w:type="auto"/>
        <w:tblLayout w:type="fixed"/>
        <w:tblCellMar>
          <w:left w:w="62" w:type="dxa"/>
          <w:right w:w="62" w:type="dxa"/>
        </w:tblCellMar>
        <w:tblLook w:val="0000"/>
      </w:tblPr>
      <w:tblGrid>
        <w:gridCol w:w="8460"/>
      </w:tblGrid>
      <w:tr w:rsidTr="000C4C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rPr>
                <w:rStyle w:val="SpecialBold"/>
              </w:rPr>
              <w:t>REQUIRED SKILLS AND KNOWLEDGE</w:t>
            </w:r>
          </w:p>
        </w:tc>
      </w:tr>
      <w:tr w:rsidTr="000C4CB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rPr>
                <w:rStyle w:val="SpecialBold"/>
              </w:rPr>
              <w:t>8)</w:t>
            </w:r>
            <w:r w:rsidRPr="004454D1">
              <w:t xml:space="preserve"> This describes the essential skills and knowledge and their level, required for this unit.</w:t>
            </w:r>
          </w:p>
          <w:p w:rsidR="00000000" w:rsidRPr="004454D1" w:rsidP="004454D1">
            <w:pPr>
              <w:pStyle w:val="BodyText"/>
            </w:pPr>
            <w:r w:rsidRPr="004454D1">
              <w:t>Evidence shall show that knowledge has been acquired of safe working practices and developing solutions to audio electronic problems.</w:t>
            </w:r>
          </w:p>
          <w:p w:rsidR="00000000" w:rsidRPr="004454D1" w:rsidP="004454D1">
            <w:pPr>
              <w:pStyle w:val="BodyText"/>
            </w:pPr>
            <w:r w:rsidRPr="004454D1">
              <w:t>All knowledge and skills detailed in this unit should be contextualised to current industry practices and technologies.</w:t>
            </w:r>
          </w:p>
          <w:p w:rsidR="00000000" w:rsidRPr="004454D1" w:rsidP="004454D1">
            <w:pPr>
              <w:pStyle w:val="BodyText"/>
            </w:pPr>
            <w:r w:rsidRPr="004454D1">
              <w:rPr>
                <w:rStyle w:val="SpecialBold"/>
              </w:rPr>
              <w:t>KS</w:t>
            </w:r>
            <w:r w:rsidRPr="004454D1">
              <w:rPr>
                <w:rStyle w:val="SpecialBold"/>
              </w:rPr>
              <w:t>01-EH149A</w:t>
            </w:r>
            <w:r w:rsidRPr="004454D1">
              <w:rPr>
                <w:rStyle w:val="SpecialBold"/>
              </w:rPr>
              <w:tab/>
              <w:t xml:space="preserve">              Audio electronics engineering solutions</w:t>
            </w:r>
          </w:p>
          <w:p w:rsidR="00000000" w:rsidRPr="004454D1" w:rsidP="004454D1">
            <w:pPr>
              <w:pStyle w:val="BodyText"/>
            </w:pPr>
            <w:r w:rsidRPr="004454D1">
              <w:t>Evidence shall show an understanding of audio electronics engineering solutions, applying safe working practices and relevant Standards, Codes and Regulations to an extent indicated by the fol</w:t>
            </w:r>
            <w:r w:rsidRPr="004454D1">
              <w:t>lowing aspects:</w:t>
            </w:r>
          </w:p>
          <w:p w:rsidR="00000000" w:rsidRPr="004454D1" w:rsidP="004454D1">
            <w:pPr>
              <w:pStyle w:val="BodyText"/>
            </w:pPr>
            <w:r w:rsidRPr="004454D1">
              <w:t>T1.</w:t>
            </w:r>
            <w:r w:rsidRPr="004454D1">
              <w:tab/>
              <w:t>Acoustics, spatial treatment and sound reproduction</w:t>
            </w:r>
          </w:p>
          <w:p w:rsidR="00000000" w:rsidRPr="004454D1" w:rsidP="004454D1">
            <w:pPr>
              <w:pStyle w:val="ListBullet"/>
            </w:pPr>
            <w:r w:rsidRPr="004454D1">
              <w:t>Effects of room dimensions, spatial shape and surface textures on acoustics</w:t>
            </w:r>
          </w:p>
          <w:p w:rsidR="00000000" w:rsidRPr="004454D1" w:rsidP="004454D1">
            <w:pPr>
              <w:pStyle w:val="ListBullet"/>
            </w:pPr>
            <w:r w:rsidRPr="004454D1">
              <w:t>Ideal acoustic for specific purposes - speech, solo or small group music, rock music orchestral music, chor</w:t>
            </w:r>
            <w:r w:rsidRPr="004454D1">
              <w:t>al music, cinema and the like.</w:t>
            </w:r>
          </w:p>
          <w:p w:rsidR="00000000" w:rsidRPr="004454D1" w:rsidP="004454D1">
            <w:pPr>
              <w:pStyle w:val="ListBullet"/>
            </w:pPr>
            <w:r w:rsidRPr="004454D1">
              <w:t>Measuring room response</w:t>
            </w:r>
          </w:p>
          <w:p w:rsidR="00000000" w:rsidRPr="004454D1" w:rsidP="004454D1">
            <w:pPr>
              <w:pStyle w:val="ListBullet"/>
            </w:pPr>
            <w:r w:rsidRPr="004454D1">
              <w:t>Speaker placement and room response</w:t>
            </w:r>
          </w:p>
          <w:p w:rsidR="00000000" w:rsidRPr="004454D1" w:rsidP="004454D1">
            <w:pPr>
              <w:pStyle w:val="ListBullet"/>
            </w:pPr>
            <w:r w:rsidRPr="004454D1">
              <w:t>Room treatment methods to improve acoustic response</w:t>
            </w:r>
          </w:p>
          <w:p w:rsidR="00000000" w:rsidRPr="004454D1" w:rsidP="004454D1">
            <w:pPr>
              <w:pStyle w:val="ListBullet"/>
            </w:pPr>
            <w:r w:rsidRPr="004454D1">
              <w:t>Active methods to improve acoustic response</w:t>
            </w:r>
          </w:p>
          <w:p w:rsidR="00000000" w:rsidRPr="004454D1" w:rsidP="004454D1">
            <w:pPr>
              <w:pStyle w:val="BodyText"/>
            </w:pPr>
            <w:r w:rsidRPr="004454D1">
              <w:t>T2.</w:t>
            </w:r>
            <w:r w:rsidRPr="004454D1">
              <w:tab/>
              <w:t>Audio reproduction, electronic components</w:t>
            </w:r>
          </w:p>
          <w:p w:rsidR="00000000" w:rsidRPr="004454D1" w:rsidP="004454D1">
            <w:pPr>
              <w:pStyle w:val="ListBullet"/>
            </w:pPr>
            <w:r w:rsidRPr="004454D1">
              <w:t>Preamplifiers amplifier encompassing:</w:t>
            </w:r>
          </w:p>
          <w:p w:rsidR="00000000" w:rsidRPr="004454D1" w:rsidP="004454D1">
            <w:pPr>
              <w:pStyle w:val="ListBullet2"/>
            </w:pPr>
            <w:r w:rsidRPr="004454D1">
              <w:t>Function in the reproduction chain</w:t>
            </w:r>
          </w:p>
          <w:p w:rsidR="00000000" w:rsidRPr="004454D1" w:rsidP="004454D1">
            <w:pPr>
              <w:pStyle w:val="ListBullet2"/>
            </w:pPr>
            <w:r w:rsidRPr="004454D1">
              <w:t>Typical circuit arrangements</w:t>
            </w:r>
          </w:p>
          <w:p w:rsidR="00000000" w:rsidRPr="004454D1" w:rsidP="004454D1">
            <w:pPr>
              <w:pStyle w:val="ListBullet"/>
            </w:pPr>
            <w:r w:rsidRPr="004454D1">
              <w:t>Power and integrated amplifiers encompassing:</w:t>
            </w:r>
          </w:p>
          <w:p w:rsidR="00000000" w:rsidRPr="004454D1" w:rsidP="004454D1">
            <w:pPr>
              <w:pStyle w:val="ListBullet2"/>
            </w:pPr>
            <w:r w:rsidRPr="004454D1">
              <w:t>Function in the reproduction chain</w:t>
            </w:r>
          </w:p>
          <w:p w:rsidR="00000000" w:rsidRPr="004454D1" w:rsidP="004454D1">
            <w:pPr>
              <w:pStyle w:val="ListBullet2"/>
            </w:pPr>
            <w:r w:rsidRPr="004454D1">
              <w:t>Typical circuit arrangements</w:t>
            </w:r>
          </w:p>
          <w:p w:rsidR="00000000" w:rsidRPr="004454D1" w:rsidP="004454D1">
            <w:pPr>
              <w:pStyle w:val="ListBullet"/>
            </w:pPr>
            <w:r w:rsidRPr="004454D1">
              <w:t>Graphic equalizers encompassing:</w:t>
            </w:r>
          </w:p>
          <w:p w:rsidR="00000000" w:rsidRPr="004454D1" w:rsidP="004454D1">
            <w:pPr>
              <w:pStyle w:val="ListBullet2"/>
            </w:pPr>
            <w:r w:rsidRPr="004454D1">
              <w:t>Functi</w:t>
            </w:r>
            <w:r w:rsidRPr="004454D1">
              <w:t>on in the reproduction chain</w:t>
            </w:r>
          </w:p>
          <w:p w:rsidR="00000000" w:rsidRPr="004454D1" w:rsidP="004454D1">
            <w:pPr>
              <w:pStyle w:val="ListBullet2"/>
            </w:pPr>
            <w:r w:rsidRPr="004454D1">
              <w:t>Typical circuit arrangements</w:t>
            </w:r>
          </w:p>
          <w:p w:rsidR="00000000" w:rsidRPr="004454D1" w:rsidP="004454D1">
            <w:pPr>
              <w:pStyle w:val="ListBullet"/>
            </w:pPr>
            <w:r w:rsidRPr="004454D1">
              <w:t>Component interconnections</w:t>
            </w:r>
          </w:p>
          <w:p w:rsidR="00000000" w:rsidRPr="004454D1" w:rsidP="004454D1">
            <w:pPr>
              <w:pStyle w:val="BodyText"/>
            </w:pPr>
            <w:r w:rsidRPr="004454D1">
              <w:t>T3.</w:t>
            </w:r>
            <w:r w:rsidRPr="004454D1">
              <w:tab/>
              <w:t>Advanced electronic testing and measuring devices and techniques</w:t>
            </w:r>
          </w:p>
          <w:p w:rsidR="00000000" w:rsidRPr="004454D1" w:rsidP="004454D1">
            <w:pPr>
              <w:pStyle w:val="ListBullet"/>
            </w:pPr>
            <w:r w:rsidRPr="004454D1">
              <w:t xml:space="preserve">Test/measuring devices and their application - frequency counters, and synthesisers, </w:t>
            </w:r>
            <w:r w:rsidRPr="004454D1">
              <w:t>spectrum analysers, noise and distortion meters and RF communications service monitor.</w:t>
            </w:r>
          </w:p>
          <w:p w:rsidR="00000000" w:rsidRPr="004454D1" w:rsidP="004454D1">
            <w:pPr>
              <w:pStyle w:val="ListBullet"/>
            </w:pPr>
            <w:r w:rsidRPr="004454D1">
              <w:t>Connection of test/measuring devices into a circuit encompassing:</w:t>
            </w:r>
          </w:p>
          <w:p w:rsidR="00000000" w:rsidRPr="004454D1" w:rsidP="004454D1">
            <w:pPr>
              <w:pStyle w:val="ListBullet2"/>
            </w:pPr>
            <w:r w:rsidRPr="004454D1">
              <w:t>safety procedures</w:t>
            </w:r>
          </w:p>
          <w:p w:rsidR="00000000" w:rsidRPr="004454D1" w:rsidP="004454D1">
            <w:pPr>
              <w:pStyle w:val="ListBullet2"/>
            </w:pPr>
            <w:r w:rsidRPr="004454D1">
              <w:t>loading and matching</w:t>
            </w:r>
          </w:p>
          <w:p w:rsidR="00000000" w:rsidRPr="004454D1" w:rsidP="004454D1">
            <w:pPr>
              <w:pStyle w:val="ListBullet2"/>
            </w:pPr>
            <w:r w:rsidRPr="004454D1">
              <w:t>storage and delay</w:t>
            </w:r>
          </w:p>
          <w:p w:rsidR="00000000" w:rsidRPr="004454D1" w:rsidP="004454D1">
            <w:pPr>
              <w:pStyle w:val="ListBullet2"/>
            </w:pPr>
            <w:r w:rsidRPr="004454D1">
              <w:t>circuit arrangement of test/measuring devices</w:t>
            </w:r>
          </w:p>
          <w:p w:rsidR="00000000" w:rsidRPr="004454D1" w:rsidP="004454D1">
            <w:pPr>
              <w:pStyle w:val="ListBullet"/>
            </w:pPr>
            <w:r w:rsidRPr="004454D1">
              <w:t>Taking and interpreting readings</w:t>
            </w:r>
          </w:p>
          <w:p w:rsidR="00000000" w:rsidRPr="004454D1" w:rsidP="004454D1">
            <w:pPr>
              <w:pStyle w:val="ListBullet"/>
            </w:pPr>
            <w:r w:rsidRPr="004454D1">
              <w:t>Notion of decibels including dBm, dBr, dBu, dBo</w:t>
            </w:r>
          </w:p>
          <w:p w:rsidR="00000000" w:rsidRPr="004454D1" w:rsidP="004454D1">
            <w:pPr>
              <w:pStyle w:val="BodyText"/>
            </w:pPr>
            <w:r w:rsidRPr="004454D1">
              <w:t>T4.</w:t>
            </w:r>
            <w:r w:rsidRPr="004454D1">
              <w:tab/>
              <w:t>Audio system advance diagnostic techniques</w:t>
            </w:r>
          </w:p>
          <w:p w:rsidR="00000000" w:rsidRPr="004454D1" w:rsidP="004454D1">
            <w:pPr>
              <w:pStyle w:val="ListBullet"/>
            </w:pPr>
            <w:r w:rsidRPr="004454D1">
              <w:t>Perception and measurement of sound</w:t>
            </w:r>
          </w:p>
          <w:p w:rsidR="00000000" w:rsidRPr="004454D1" w:rsidP="004454D1">
            <w:pPr>
              <w:pStyle w:val="ListBullet"/>
            </w:pPr>
            <w:r w:rsidRPr="004454D1">
              <w:t xml:space="preserve">Acoustics and equalisation </w:t>
            </w:r>
          </w:p>
          <w:p w:rsidR="00000000" w:rsidRPr="004454D1" w:rsidP="004454D1">
            <w:pPr>
              <w:pStyle w:val="ListBullet"/>
            </w:pPr>
            <w:r w:rsidRPr="004454D1">
              <w:t>Sound recording and reproduction technologies</w:t>
            </w:r>
          </w:p>
          <w:p w:rsidR="00000000" w:rsidRPr="004454D1" w:rsidP="004454D1">
            <w:pPr>
              <w:pStyle w:val="BodyText"/>
            </w:pPr>
            <w:r w:rsidRPr="004454D1">
              <w:t>Audio component testing, measurements and adjustments - frequency response for given loads, small signal test, distortion measurement, noise measurement, frequency versus distortion, intermodulation spectrum, spectral-decay plots, acoustic cross-over, anec</w:t>
            </w:r>
            <w:r w:rsidRPr="004454D1">
              <w:t>hoic response, lateral and vertical response and the like.</w:t>
            </w:r>
          </w:p>
        </w:tc>
      </w:tr>
    </w:tbl>
    <w:p w:rsidR="00000000" w:rsidRPr="004454D1" w:rsidP="004454D1">
      <w:pPr>
        <w:pStyle w:val="BodyText"/>
      </w:pPr>
    </w:p>
    <w:p w:rsidR="00000000" w:rsidRPr="004454D1" w:rsidP="004454D1">
      <w:pPr>
        <w:pStyle w:val="AllowPageBreak"/>
      </w:pPr>
    </w:p>
    <w:p w:rsidR="00000000" w:rsidRPr="004454D1" w:rsidP="004454D1">
      <w:pPr>
        <w:pStyle w:val="Heading1"/>
      </w:pPr>
      <w:bookmarkStart w:id="10" w:name="O_591183"/>
      <w:bookmarkEnd w:id="10"/>
      <w:r w:rsidRPr="004454D1">
        <w:t>Evidence Guide</w:t>
      </w:r>
    </w:p>
    <w:tbl>
      <w:tblPr>
        <w:tblW w:w="0" w:type="auto"/>
        <w:tblLayout w:type="fixed"/>
        <w:tblCellMar>
          <w:left w:w="62" w:type="dxa"/>
          <w:right w:w="62" w:type="dxa"/>
        </w:tblCellMar>
        <w:tblLook w:val="0000"/>
      </w:tblPr>
      <w:tblGrid>
        <w:gridCol w:w="8460"/>
      </w:tblGrid>
      <w:tr w:rsidTr="000C4C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rPr>
                <w:rStyle w:val="SpecialBold"/>
              </w:rPr>
              <w:t>EVIDENCE GUIDE</w:t>
            </w:r>
          </w:p>
        </w:tc>
      </w:tr>
      <w:tr w:rsidTr="000C4C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rPr>
                <w:rStyle w:val="SpecialBold"/>
              </w:rPr>
              <w:t>9)</w:t>
            </w:r>
            <w:r w:rsidRPr="004454D1">
              <w:t xml:space="preserve"> The evidence guide provides advice on assessment and must be read in conjunction with the Performance Criteria, Required Skills and Knowledge, t</w:t>
            </w:r>
            <w:r w:rsidRPr="004454D1">
              <w:t>he Range Statement and the Assessment Guidelines for this Training Package. .</w:t>
            </w:r>
          </w:p>
          <w:p w:rsidR="00000000" w:rsidRPr="004454D1" w:rsidP="004454D1">
            <w:pPr>
              <w:pStyle w:val="BodyText"/>
            </w:pPr>
            <w:r w:rsidRPr="004454D1">
              <w:t>The Evidence Guide forms an integral part of this unit.</w:t>
            </w:r>
            <w:r w:rsidRPr="004454D1">
              <w:t xml:space="preserve"> It must be used in conjunction with all parts of the unit and performed in accordance with the Assessment Guidelines of this Training Package.</w:t>
            </w:r>
          </w:p>
        </w:tc>
      </w:tr>
    </w:tbl>
    <w:p w:rsidR="00000000" w:rsidRPr="004454D1" w:rsidP="004454D1">
      <w:pPr>
        <w:pStyle w:val="BodyText"/>
      </w:pPr>
    </w:p>
    <w:tbl>
      <w:tblPr>
        <w:tblW w:w="0" w:type="auto"/>
        <w:tblLayout w:type="fixed"/>
        <w:tblCellMar>
          <w:left w:w="62" w:type="dxa"/>
          <w:right w:w="62" w:type="dxa"/>
        </w:tblCellMar>
        <w:tblLook w:val="0000"/>
      </w:tblPr>
      <w:tblGrid>
        <w:gridCol w:w="1890"/>
        <w:gridCol w:w="6570"/>
      </w:tblGrid>
      <w:tr w:rsidTr="000C4C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rPr>
                <w:rStyle w:val="SpecialBold"/>
              </w:rPr>
              <w:t>9.1)</w:t>
            </w:r>
          </w:p>
        </w:tc>
      </w:tr>
      <w:tr w:rsidTr="000C4C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t>Longitudinal competency development approaches to assessment, such as Profiling,</w:t>
            </w:r>
            <w:r w:rsidRPr="004454D1">
              <w:t xml:space="preserve"> require data to be reliably gathered in a form that can be consistently interpreted over time. This approach is best utilised in Apprenticeship programs and reduces assessment intervention. It is the Industry-preferred model for apprenticeships. However, </w:t>
            </w:r>
            <w:r w:rsidRPr="004454D1">
              <w:t>where summative (or final) assessment is used it must include the application of the competency in the normal work environment or, at a minimum, the application of the competency in a realistically simulated work environment. It is recognised that, in some</w:t>
            </w:r>
            <w:r w:rsidRPr="004454D1">
              <w:t xml:space="preserve"> circumstances, assessment in part or full can occur outside the workplace. However, it must be in accord with industry and regulatory policy.</w:t>
            </w:r>
          </w:p>
          <w:p w:rsidR="00000000" w:rsidRPr="004454D1" w:rsidP="004454D1">
            <w:pPr>
              <w:pStyle w:val="BodyText"/>
            </w:pPr>
            <w:r w:rsidRPr="004454D1">
              <w:t>Methods chosen for a particular assessment will be influenced by various factors. These include the extent of the</w:t>
            </w:r>
            <w:r w:rsidRPr="004454D1">
              <w:t xml:space="preserve"> assessment, the most effective locations for the assessment activities to take place, access to physical resources, additional safety measures that may be required and the critical nature of the competencies being assessed.</w:t>
            </w:r>
          </w:p>
          <w:p w:rsidR="00000000" w:rsidRPr="004454D1" w:rsidP="004454D1">
            <w:pPr>
              <w:pStyle w:val="BodyText"/>
            </w:pPr>
            <w:r w:rsidRPr="004454D1">
              <w:t>The critical safety nature of w</w:t>
            </w:r>
            <w:r w:rsidRPr="004454D1">
              <w:t>orking with electricity, electrical equipment, gas or any other hazardous substance/material carries risk in deeming a person competent. Sources of evidence need to be ‘rich’ in nature to minimise error in judgment.</w:t>
            </w:r>
          </w:p>
          <w:p w:rsidR="00000000" w:rsidRPr="004454D1" w:rsidP="004454D1">
            <w:pPr>
              <w:pStyle w:val="BodyText"/>
            </w:pPr>
            <w:r w:rsidRPr="004454D1">
              <w:t>Activities associated with normal everyd</w:t>
            </w:r>
            <w:r w:rsidRPr="004454D1">
              <w:t>ay work influence decisions about how/how much the data gathered will contribute to its ‘richness’. Some skills are more critical to safety and operational requirements while the same skills may be more or less frequently practised. These points are raised</w:t>
            </w:r>
            <w:r w:rsidRPr="004454D1">
              <w:t xml:space="preserve"> for the assessors to consider when choosing an assessment method and developing assessment instruments. Sample assessment instruments are included for Assessors in the Assessment Guidelines of this Training Package.</w:t>
            </w:r>
          </w:p>
        </w:tc>
      </w:tr>
    </w:tbl>
    <w:p w:rsidR="00000000" w:rsidRPr="004454D1" w:rsidP="004454D1">
      <w:pPr>
        <w:pStyle w:val="BodyText"/>
      </w:pPr>
    </w:p>
    <w:tbl>
      <w:tblPr>
        <w:tblW w:w="9887" w:type="dxa"/>
        <w:tblLayout w:type="fixed"/>
        <w:tblCellMar>
          <w:left w:w="62" w:type="dxa"/>
          <w:right w:w="62" w:type="dxa"/>
        </w:tblCellMar>
        <w:tblLook w:val="0000"/>
      </w:tblPr>
      <w:tblGrid>
        <w:gridCol w:w="1862"/>
        <w:gridCol w:w="28"/>
        <w:gridCol w:w="6107"/>
        <w:gridCol w:w="463"/>
        <w:gridCol w:w="1427"/>
      </w:tblGrid>
      <w:tr w:rsidTr="000C4CB4">
        <w:tblPrEx>
          <w:tblW w:w="9887" w:type="dxa"/>
          <w:tblLayout w:type="fixed"/>
          <w:tblCellMar>
            <w:left w:w="62" w:type="dxa"/>
            <w:right w:w="62" w:type="dxa"/>
          </w:tblCellMar>
          <w:tblLook w:val="0000"/>
        </w:tblPrEx>
        <w:trPr>
          <w:gridAfter w:val="1"/>
          <w:wAfter w:w="1427" w:type="dxa"/>
        </w:trPr>
        <w:tc>
          <w:tcPr>
            <w:tcW w:w="1890" w:type="dxa"/>
            <w:gridSpan w:val="2"/>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rPr>
                <w:rStyle w:val="SpecialBold"/>
              </w:rPr>
              <w:t>Critical aspects of evidence required</w:t>
            </w:r>
            <w:r w:rsidRPr="004454D1">
              <w:rPr>
                <w:rStyle w:val="SpecialBold"/>
              </w:rPr>
              <w:t xml:space="preserve">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rPr>
                <w:rStyle w:val="SpecialBold"/>
              </w:rPr>
              <w:t>9.2)</w:t>
            </w:r>
          </w:p>
        </w:tc>
      </w:tr>
      <w:tr w:rsidTr="000C4CB4">
        <w:tblPrEx>
          <w:tblW w:w="9887" w:type="dxa"/>
          <w:tblLayout w:type="fixed"/>
          <w:tblCellMar>
            <w:left w:w="62" w:type="dxa"/>
            <w:right w:w="62" w:type="dxa"/>
          </w:tblCellMar>
          <w:tblLook w:val="0000"/>
        </w:tblPrEx>
        <w:trPr>
          <w:gridAfter w:val="1"/>
          <w:wAfter w:w="1427"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t>Before the critical aspects of evidence are considered all prerequisites shall be met.</w:t>
            </w:r>
          </w:p>
          <w:p w:rsidR="00000000" w:rsidRPr="004454D1" w:rsidP="004454D1">
            <w:pPr>
              <w:pStyle w:val="BodyText"/>
            </w:pPr>
            <w:r w:rsidRPr="004454D1">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4454D1" w:rsidP="004454D1">
            <w:pPr>
              <w:pStyle w:val="ListBullet"/>
            </w:pPr>
            <w:r w:rsidRPr="004454D1">
              <w:t>A representative body of work performance demonstrated within the timeframes typically expected of the discipline, work function and industrial environment. In particular this shall incorporate evidence that shows a candidate is able to:</w:t>
            </w:r>
          </w:p>
          <w:p w:rsidR="00000000" w:rsidRPr="004454D1" w:rsidP="004454D1">
            <w:pPr>
              <w:pStyle w:val="ListBullet2"/>
            </w:pPr>
            <w:r w:rsidRPr="004454D1">
              <w:t>Implement Occupa</w:t>
            </w:r>
            <w:r w:rsidRPr="004454D1">
              <w:t>tional Health and Safety workplace procedures and practices, including the use of risk control measures as specified in the performance criteria and range statement</w:t>
            </w:r>
          </w:p>
          <w:p w:rsidR="00000000" w:rsidRPr="004454D1" w:rsidP="004454D1">
            <w:pPr>
              <w:pStyle w:val="ListBullet2"/>
            </w:pPr>
            <w:r w:rsidRPr="004454D1">
              <w:t xml:space="preserve">Apply sustainable energy principles and practices as specified in the performance criteria </w:t>
            </w:r>
            <w:r w:rsidRPr="004454D1">
              <w:t>and range statement</w:t>
            </w:r>
          </w:p>
          <w:p w:rsidR="00000000" w:rsidRPr="004454D1" w:rsidP="004454D1">
            <w:pPr>
              <w:pStyle w:val="ListBullet2"/>
            </w:pPr>
            <w:r w:rsidRPr="004454D1">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4454D1" w:rsidP="004454D1">
            <w:pPr>
              <w:pStyle w:val="ListBullet2"/>
            </w:pPr>
            <w:r w:rsidRPr="004454D1">
              <w:t>Demonst</w:t>
            </w:r>
            <w:r w:rsidRPr="004454D1">
              <w:t>rate an appropriate level of skills enabling employment</w:t>
            </w:r>
          </w:p>
          <w:p w:rsidR="00000000" w:rsidRPr="004454D1" w:rsidP="004454D1">
            <w:pPr>
              <w:pStyle w:val="ListBullet2"/>
            </w:pPr>
            <w:r w:rsidRPr="004454D1">
              <w:t>Conduct work observing the relevant Anti Discrimination legislation, regulations, polices and workplace procedures</w:t>
            </w:r>
          </w:p>
          <w:p w:rsidR="00000000" w:rsidRPr="004454D1" w:rsidP="004454D1">
            <w:pPr>
              <w:pStyle w:val="ListBullet"/>
            </w:pPr>
            <w:r w:rsidRPr="004454D1">
              <w:t>Demonstrated consistent performance across a representative range of contexts from t</w:t>
            </w:r>
            <w:r w:rsidRPr="004454D1">
              <w:t>he prescribed items below:</w:t>
            </w:r>
          </w:p>
          <w:p w:rsidR="00000000" w:rsidP="004454D1">
            <w:pPr>
              <w:pStyle w:val="ListBullet2"/>
              <w:rPr>
                <w:lang w:val="en-NZ"/>
              </w:rPr>
            </w:pPr>
            <w:r w:rsidRPr="004454D1">
              <w:t>Develop solutions to audio electronic problems as described in 8) and including:</w:t>
            </w:r>
          </w:p>
        </w:tc>
      </w:tr>
      <w:tr w:rsidTr="000C4CB4">
        <w:tblPrEx>
          <w:tblW w:w="9887" w:type="dxa"/>
          <w:tblLayout w:type="fixed"/>
          <w:tblCellMar>
            <w:left w:w="62" w:type="dxa"/>
            <w:right w:w="62" w:type="dxa"/>
          </w:tblCellMar>
          <w:tblLook w:val="0000"/>
        </w:tblPrEx>
        <w:trPr>
          <w:gridAfter w:val="2"/>
          <w:wAfter w:w="1890" w:type="dxa"/>
        </w:trPr>
        <w:tc>
          <w:tcPr>
            <w:tcW w:w="1862"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A</w:t>
            </w:r>
          </w:p>
        </w:tc>
        <w:tc>
          <w:tcPr>
            <w:tcW w:w="6135"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Understanding the extent of the audio electronic problem.</w:t>
            </w:r>
          </w:p>
        </w:tc>
      </w:tr>
      <w:tr w:rsidTr="000C4CB4">
        <w:tblPrEx>
          <w:tblW w:w="9887" w:type="dxa"/>
          <w:tblLayout w:type="fixed"/>
          <w:tblCellMar>
            <w:left w:w="62" w:type="dxa"/>
            <w:right w:w="62" w:type="dxa"/>
          </w:tblCellMar>
          <w:tblLook w:val="0000"/>
        </w:tblPrEx>
        <w:trPr>
          <w:gridAfter w:val="2"/>
          <w:wAfter w:w="1890" w:type="dxa"/>
        </w:trPr>
        <w:tc>
          <w:tcPr>
            <w:tcW w:w="1862"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B</w:t>
            </w:r>
          </w:p>
        </w:tc>
        <w:tc>
          <w:tcPr>
            <w:tcW w:w="6135"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Forming effective strategies for solution development and implementation.</w:t>
            </w:r>
          </w:p>
        </w:tc>
      </w:tr>
      <w:tr w:rsidTr="000C4CB4">
        <w:tblPrEx>
          <w:tblW w:w="9887" w:type="dxa"/>
          <w:tblLayout w:type="fixed"/>
          <w:tblCellMar>
            <w:left w:w="62" w:type="dxa"/>
            <w:right w:w="62" w:type="dxa"/>
          </w:tblCellMar>
          <w:tblLook w:val="0000"/>
        </w:tblPrEx>
        <w:trPr>
          <w:gridAfter w:val="2"/>
          <w:wAfter w:w="1890" w:type="dxa"/>
        </w:trPr>
        <w:tc>
          <w:tcPr>
            <w:tcW w:w="1862"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C</w:t>
            </w:r>
          </w:p>
        </w:tc>
        <w:tc>
          <w:tcPr>
            <w:tcW w:w="6135"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Obtaining audio electronic parameters, specifications and performance requirements appropriate to each problem.</w:t>
            </w:r>
          </w:p>
        </w:tc>
      </w:tr>
      <w:tr w:rsidTr="000C4CB4">
        <w:tblPrEx>
          <w:tblW w:w="9887" w:type="dxa"/>
          <w:tblLayout w:type="fixed"/>
          <w:tblCellMar>
            <w:left w:w="62" w:type="dxa"/>
            <w:right w:w="62" w:type="dxa"/>
          </w:tblCellMar>
          <w:tblLook w:val="0000"/>
        </w:tblPrEx>
        <w:trPr>
          <w:gridAfter w:val="2"/>
          <w:wAfter w:w="1890" w:type="dxa"/>
        </w:trPr>
        <w:tc>
          <w:tcPr>
            <w:tcW w:w="1862"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D</w:t>
            </w:r>
          </w:p>
        </w:tc>
        <w:tc>
          <w:tcPr>
            <w:tcW w:w="6135"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Testing and solutions to audio electronic problems.</w:t>
            </w:r>
          </w:p>
        </w:tc>
      </w:tr>
      <w:tr w:rsidTr="000C4CB4">
        <w:tblPrEx>
          <w:tblW w:w="9887" w:type="dxa"/>
          <w:tblLayout w:type="fixed"/>
          <w:tblCellMar>
            <w:left w:w="62" w:type="dxa"/>
            <w:right w:w="62" w:type="dxa"/>
          </w:tblCellMar>
          <w:tblLook w:val="0000"/>
        </w:tblPrEx>
        <w:trPr>
          <w:gridAfter w:val="2"/>
          <w:wAfter w:w="1890" w:type="dxa"/>
        </w:trPr>
        <w:tc>
          <w:tcPr>
            <w:tcW w:w="1862"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E</w:t>
            </w:r>
          </w:p>
        </w:tc>
        <w:tc>
          <w:tcPr>
            <w:tcW w:w="6135"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 xml:space="preserve">Documenting instruction for implementation of solutions that incorporate risk control </w:t>
            </w:r>
            <w:r w:rsidRPr="004454D1">
              <w:t>measure to be followed.</w:t>
            </w:r>
          </w:p>
        </w:tc>
      </w:tr>
      <w:tr w:rsidTr="000C4CB4">
        <w:tblPrEx>
          <w:tblW w:w="9887" w:type="dxa"/>
          <w:tblLayout w:type="fixed"/>
          <w:tblCellMar>
            <w:left w:w="62" w:type="dxa"/>
            <w:right w:w="62" w:type="dxa"/>
          </w:tblCellMar>
          <w:tblLook w:val="0000"/>
        </w:tblPrEx>
        <w:trPr>
          <w:gridAfter w:val="2"/>
          <w:wAfter w:w="1890" w:type="dxa"/>
        </w:trPr>
        <w:tc>
          <w:tcPr>
            <w:tcW w:w="1862"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F</w:t>
            </w:r>
          </w:p>
        </w:tc>
        <w:tc>
          <w:tcPr>
            <w:tcW w:w="6135"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Documenting justification of solutions implemented in accordance with professional standards.</w:t>
            </w:r>
          </w:p>
        </w:tc>
      </w:tr>
      <w:tr w:rsidTr="000C4CB4">
        <w:tblPrEx>
          <w:tblW w:w="9887" w:type="dxa"/>
          <w:tblLayout w:type="fixed"/>
          <w:tblCellMar>
            <w:left w:w="62" w:type="dxa"/>
            <w:right w:w="62" w:type="dxa"/>
          </w:tblCellMar>
          <w:tblLook w:val="0000"/>
        </w:tblPrEx>
        <w:trPr>
          <w:gridAfter w:val="2"/>
          <w:wAfter w:w="1890" w:type="dxa"/>
        </w:trPr>
        <w:tc>
          <w:tcPr>
            <w:tcW w:w="1862"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G</w:t>
            </w:r>
          </w:p>
        </w:tc>
        <w:tc>
          <w:tcPr>
            <w:tcW w:w="6135" w:type="dxa"/>
            <w:gridSpan w:val="2"/>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t>Dealing with unplanned events by drawing on essential knowledge and skills to provide appropriate solutions incorporated in a holistic assessment with the above listed items.</w:t>
            </w:r>
          </w:p>
        </w:tc>
      </w:tr>
      <w:tr w:rsidTr="000C4CB4">
        <w:tblPrEx>
          <w:tblW w:w="9887" w:type="dxa"/>
          <w:tblLayout w:type="fixed"/>
          <w:tblCellMar>
            <w:left w:w="62" w:type="dxa"/>
            <w:right w:w="62" w:type="dxa"/>
          </w:tblCellMar>
          <w:tblLook w:val="0000"/>
        </w:tblPrEx>
        <w:tc>
          <w:tcPr>
            <w:tcW w:w="9887" w:type="dxa"/>
            <w:gridSpan w:val="5"/>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t xml:space="preserve">Note: </w:t>
            </w:r>
          </w:p>
          <w:p w:rsidR="00000000" w:rsidRPr="004454D1" w:rsidP="004454D1">
            <w:pPr>
              <w:pStyle w:val="BodyText"/>
            </w:pPr>
            <w:r w:rsidRPr="004454D1">
              <w:t>Successful completion of relevant vendor training may be used to contribu</w:t>
            </w:r>
            <w:r w:rsidRPr="004454D1">
              <w:t>te to evidence on which competency is deemed. In these cases the alignment of outcomes of vendor training with performance criteria and critical aspects of evidence shall be clearly identified.</w:t>
            </w:r>
          </w:p>
        </w:tc>
      </w:tr>
    </w:tbl>
    <w:p w:rsidR="00000000" w:rsidRPr="004454D1" w:rsidP="004454D1">
      <w:pPr>
        <w:pStyle w:val="BodyText"/>
      </w:pPr>
    </w:p>
    <w:tbl>
      <w:tblPr>
        <w:tblW w:w="0" w:type="auto"/>
        <w:tblLayout w:type="fixed"/>
        <w:tblCellMar>
          <w:left w:w="62" w:type="dxa"/>
          <w:right w:w="62" w:type="dxa"/>
        </w:tblCellMar>
        <w:tblLook w:val="0000"/>
      </w:tblPr>
      <w:tblGrid>
        <w:gridCol w:w="1890"/>
        <w:gridCol w:w="6570"/>
      </w:tblGrid>
      <w:tr w:rsidTr="000C4CB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rPr>
                <w:rStyle w:val="SpecialBold"/>
              </w:rPr>
              <w:t>9.3)</w:t>
            </w:r>
          </w:p>
        </w:tc>
      </w:tr>
      <w:tr w:rsidTr="000C4CB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t>This unit should be assessed as it relates to normal work practice using procedures, information and resources typical of a workplace. This should include:</w:t>
            </w:r>
          </w:p>
          <w:p w:rsidR="00000000" w:rsidRPr="004454D1" w:rsidP="004454D1">
            <w:pPr>
              <w:pStyle w:val="ListBullet"/>
            </w:pPr>
            <w:r w:rsidRPr="004454D1">
              <w:t>OHS policy and work procedures and instructions.</w:t>
            </w:r>
          </w:p>
          <w:p w:rsidR="00000000" w:rsidRPr="004454D1" w:rsidP="004454D1">
            <w:pPr>
              <w:pStyle w:val="ListBullet"/>
            </w:pPr>
            <w:r w:rsidRPr="004454D1">
              <w:t>Suitable work environment, facilities, equipment a</w:t>
            </w:r>
            <w:r w:rsidRPr="004454D1">
              <w:t>nd materials to undertake actual work as prescribed by this unit.</w:t>
            </w:r>
          </w:p>
          <w:p w:rsidR="00000000" w:rsidRPr="004454D1" w:rsidP="004454D1">
            <w:pPr>
              <w:pStyle w:val="BodyText"/>
            </w:pPr>
            <w:r w:rsidRPr="004454D1">
              <w:t>These should be part of the formal learning/assessment environment.</w:t>
            </w:r>
          </w:p>
          <w:p w:rsidR="00000000" w:rsidRPr="004454D1" w:rsidP="004454D1">
            <w:pPr>
              <w:pStyle w:val="BodyText"/>
            </w:pPr>
            <w:r w:rsidRPr="004454D1">
              <w:t>Note:</w:t>
            </w:r>
          </w:p>
          <w:p w:rsidR="00000000" w:rsidRPr="004454D1" w:rsidP="004454D1">
            <w:pPr>
              <w:pStyle w:val="BodyText"/>
            </w:pPr>
            <w:r w:rsidRPr="004454D1">
              <w:t>Where simulation is considered a suitable strategy for assessment, conditions must be authentic and as far as possib</w:t>
            </w:r>
            <w:r w:rsidRPr="004454D1">
              <w:t>le reproduce and replicate the workplace and be consistent with the approved industry simulation policy.</w:t>
            </w:r>
          </w:p>
          <w:p w:rsidR="00000000" w:rsidRPr="004454D1" w:rsidP="004454D1">
            <w:pPr>
              <w:pStyle w:val="BodyText"/>
            </w:pPr>
            <w:r w:rsidRPr="004454D1">
              <w:t>The resources used for assessment should reflect current industry practices in relation to developing solutions to audio electronic problems.</w:t>
            </w:r>
          </w:p>
        </w:tc>
      </w:tr>
    </w:tbl>
    <w:p w:rsidR="00000000" w:rsidRPr="004454D1" w:rsidP="004454D1">
      <w:pPr>
        <w:pStyle w:val="BodyText"/>
      </w:pPr>
    </w:p>
    <w:tbl>
      <w:tblPr>
        <w:tblW w:w="0" w:type="auto"/>
        <w:tblLayout w:type="fixed"/>
        <w:tblCellMar>
          <w:left w:w="62" w:type="dxa"/>
          <w:right w:w="62" w:type="dxa"/>
        </w:tblCellMar>
        <w:tblLook w:val="0000"/>
      </w:tblPr>
      <w:tblGrid>
        <w:gridCol w:w="1890"/>
        <w:gridCol w:w="6570"/>
      </w:tblGrid>
      <w:tr w:rsidTr="000C4C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rPr>
                <w:rStyle w:val="SpecialBold"/>
              </w:rPr>
              <w:t>9.4)</w:t>
            </w:r>
          </w:p>
        </w:tc>
      </w:tr>
      <w:tr w:rsidTr="000C4C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t>This unit shall be assessed by methods given in Volume 1, Part 3 ‘Assessment Guidelines’.</w:t>
            </w:r>
          </w:p>
          <w:p w:rsidR="00000000" w:rsidRPr="004454D1" w:rsidP="004454D1">
            <w:pPr>
              <w:pStyle w:val="BodyText"/>
            </w:pPr>
            <w:r w:rsidRPr="004454D1">
              <w:t xml:space="preserve">Note: </w:t>
            </w:r>
          </w:p>
          <w:p w:rsidR="00000000" w:rsidRPr="004454D1" w:rsidP="004454D1">
            <w:pPr>
              <w:pStyle w:val="BodyText"/>
            </w:pPr>
            <w:r w:rsidRPr="004454D1">
              <w:t>Competent performance with inherent safe working practices is expected in the industry to which this unit applies. This requires th</w:t>
            </w:r>
            <w:r w:rsidRPr="004454D1">
              <w:t>at the specified essential knowledge and associated skills are assessed in a structured environment which is primarily intended for learning/assessment and incorporates all necessary equipment and facilities for learners to develop and demonstrate the esse</w:t>
            </w:r>
            <w:r w:rsidRPr="004454D1">
              <w:t>ntial knowledge and skills described in this unit.</w:t>
            </w:r>
          </w:p>
        </w:tc>
      </w:tr>
    </w:tbl>
    <w:p w:rsidR="00000000" w:rsidRPr="004454D1" w:rsidP="004454D1">
      <w:pPr>
        <w:pStyle w:val="BodyText"/>
      </w:pPr>
    </w:p>
    <w:tbl>
      <w:tblPr>
        <w:tblW w:w="0" w:type="auto"/>
        <w:tblLayout w:type="fixed"/>
        <w:tblCellMar>
          <w:left w:w="62" w:type="dxa"/>
          <w:right w:w="62" w:type="dxa"/>
        </w:tblCellMar>
        <w:tblLook w:val="0000"/>
      </w:tblPr>
      <w:tblGrid>
        <w:gridCol w:w="1890"/>
        <w:gridCol w:w="6570"/>
      </w:tblGrid>
      <w:tr w:rsidTr="000C4C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rPr>
                <w:rStyle w:val="SpecialBold"/>
              </w:rPr>
              <w:t>9.5)</w:t>
            </w:r>
          </w:p>
        </w:tc>
      </w:tr>
      <w:tr w:rsidTr="000C4C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t>There are no concurrent assessment recommendations for this unit.</w:t>
            </w:r>
          </w:p>
          <w:p w:rsidR="00000000" w:rsidRPr="004454D1" w:rsidP="004454D1">
            <w:pPr>
              <w:pStyle w:val="BodyText"/>
            </w:pPr>
            <w:r w:rsidRPr="004454D1">
              <w:t>The critical aspects of occupational health and safety covered in unit UEE</w:t>
            </w:r>
            <w:r w:rsidRPr="004454D1">
              <w:t>NEEE101A and other discipline specific occupational health and safety units shall be incorporated in relation to this unit.</w:t>
            </w:r>
          </w:p>
        </w:tc>
      </w:tr>
    </w:tbl>
    <w:p w:rsidR="00000000" w:rsidRPr="004454D1" w:rsidP="004454D1">
      <w:pPr>
        <w:pStyle w:val="BodyText"/>
      </w:pPr>
    </w:p>
    <w:p w:rsidR="00000000" w:rsidRPr="004454D1" w:rsidP="004454D1">
      <w:pPr>
        <w:pStyle w:val="AllowPageBreak"/>
      </w:pPr>
    </w:p>
    <w:p w:rsidR="00000000" w:rsidRPr="004454D1" w:rsidP="004454D1">
      <w:pPr>
        <w:pStyle w:val="Heading1"/>
      </w:pPr>
      <w:bookmarkStart w:id="11" w:name="O_591182"/>
      <w:bookmarkEnd w:id="11"/>
      <w:r w:rsidRPr="004454D1">
        <w:t>Range Statement</w:t>
      </w:r>
    </w:p>
    <w:tbl>
      <w:tblPr>
        <w:tblW w:w="0" w:type="auto"/>
        <w:tblLayout w:type="fixed"/>
        <w:tblCellMar>
          <w:left w:w="62" w:type="dxa"/>
          <w:right w:w="62" w:type="dxa"/>
        </w:tblCellMar>
        <w:tblLook w:val="0000"/>
      </w:tblPr>
      <w:tblGrid>
        <w:gridCol w:w="8460"/>
      </w:tblGrid>
      <w:tr w:rsidTr="000C4C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rPr>
                <w:rStyle w:val="SpecialBold"/>
              </w:rPr>
              <w:t>RANGE STATEMENT</w:t>
            </w:r>
          </w:p>
        </w:tc>
      </w:tr>
      <w:tr w:rsidTr="000C4C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rPr>
                <w:rStyle w:val="SpecialBold"/>
              </w:rPr>
              <w:t>10)</w:t>
            </w:r>
            <w:r w:rsidRPr="004454D1">
              <w:t xml:space="preserve"> This relates to the unit as a whole providing the range of contexts and conditions to which the performance criteria apply. It allows for different work environments and situations that will affect performance.</w:t>
            </w:r>
          </w:p>
          <w:p w:rsidR="00000000" w:rsidRPr="004454D1" w:rsidP="004454D1">
            <w:pPr>
              <w:pStyle w:val="BodyText"/>
            </w:pPr>
            <w:r w:rsidRPr="004454D1">
              <w:t xml:space="preserve">This unit shall be demonstrated in relation </w:t>
            </w:r>
            <w:r w:rsidRPr="004454D1">
              <w:t>to developing engineering solutions for at least four representative range audio electronic problems.</w:t>
            </w:r>
          </w:p>
          <w:p w:rsidR="00000000" w:rsidRPr="004454D1" w:rsidP="004454D1">
            <w:pPr>
              <w:pStyle w:val="BodyText"/>
            </w:pPr>
            <w:r w:rsidRPr="004454D1">
              <w:t>Note.</w:t>
            </w:r>
          </w:p>
          <w:p w:rsidR="00000000" w:rsidRPr="004454D1" w:rsidP="004454D1">
            <w:pPr>
              <w:pStyle w:val="BodyText"/>
            </w:pPr>
            <w:r w:rsidRPr="004454D1">
              <w:t>Typical audio electronic problems are those encountered in meeting performance requirements and compliance standards, revising an audio electronic o</w:t>
            </w:r>
            <w:r w:rsidRPr="004454D1">
              <w:t>perating parameters and dealing with audio electronic malfunctions.</w:t>
            </w:r>
          </w:p>
          <w:p w:rsidR="00000000" w:rsidRPr="004454D1" w:rsidP="004454D1">
            <w:pPr>
              <w:pStyle w:val="BodyText"/>
            </w:pPr>
            <w:r w:rsidRPr="004454D1">
              <w:t>Generic terms used throughout this Vocational Standard shall be regarded as part of the Range Statement in which competency is demonstrated. The definition of these and other terms that ap</w:t>
            </w:r>
            <w:r w:rsidRPr="004454D1">
              <w:t>ply are given in Volume 2, Part 2.1.</w:t>
            </w:r>
          </w:p>
        </w:tc>
      </w:tr>
    </w:tbl>
    <w:p w:rsidR="00000000" w:rsidRPr="004454D1" w:rsidP="004454D1">
      <w:pPr>
        <w:pStyle w:val="BodyText"/>
      </w:pPr>
    </w:p>
    <w:p w:rsidR="00000000" w:rsidRPr="004454D1" w:rsidP="004454D1">
      <w:pPr>
        <w:pStyle w:val="AllowPageBreak"/>
      </w:pPr>
    </w:p>
    <w:p w:rsidR="00000000" w:rsidRPr="004454D1" w:rsidP="004454D1">
      <w:pPr>
        <w:pStyle w:val="Heading1"/>
      </w:pPr>
      <w:bookmarkStart w:id="12" w:name="O_591181"/>
      <w:bookmarkEnd w:id="12"/>
      <w:r w:rsidRPr="004454D1">
        <w:t>Unit Sector(s)</w:t>
      </w:r>
    </w:p>
    <w:p w:rsidR="00000000" w:rsidRPr="004454D1" w:rsidP="004454D1">
      <w:pPr>
        <w:pStyle w:val="BodyText"/>
      </w:pPr>
      <w:r w:rsidRPr="004454D1">
        <w:t>Not applicable.</w:t>
      </w:r>
    </w:p>
    <w:p w:rsidR="00000000" w:rsidRPr="004454D1" w:rsidP="004454D1">
      <w:pPr>
        <w:pStyle w:val="AllowPageBreak"/>
      </w:pPr>
    </w:p>
    <w:p w:rsidR="00000000" w:rsidRPr="004454D1" w:rsidP="004454D1">
      <w:pPr>
        <w:pStyle w:val="Heading1"/>
      </w:pPr>
      <w:bookmarkStart w:id="13" w:name="O_591180"/>
      <w:bookmarkEnd w:id="13"/>
      <w:r w:rsidRPr="004454D1">
        <w:t>Competency Field</w:t>
      </w:r>
    </w:p>
    <w:tbl>
      <w:tblPr>
        <w:tblW w:w="0" w:type="auto"/>
        <w:tblLayout w:type="fixed"/>
        <w:tblCellMar>
          <w:left w:w="62" w:type="dxa"/>
          <w:right w:w="62" w:type="dxa"/>
        </w:tblCellMar>
        <w:tblLook w:val="0000"/>
      </w:tblPr>
      <w:tblGrid>
        <w:gridCol w:w="2700"/>
        <w:gridCol w:w="5760"/>
      </w:tblGrid>
      <w:tr w:rsidTr="000C4C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454D1">
            <w:pPr>
              <w:pStyle w:val="BodyText"/>
              <w:rPr>
                <w:lang w:val="en-NZ"/>
              </w:rPr>
            </w:pPr>
            <w:r w:rsidRPr="004454D1">
              <w:rPr>
                <w:rStyle w:val="SpecialBold"/>
              </w:rPr>
              <w:t xml:space="preserve">11) </w:t>
            </w:r>
          </w:p>
        </w:tc>
      </w:tr>
      <w:tr w:rsidTr="000C4C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54D1" w:rsidP="004454D1">
            <w:pPr>
              <w:pStyle w:val="BodyText"/>
            </w:pPr>
            <w:r w:rsidRPr="004454D1">
              <w:t>Electronics</w:t>
            </w:r>
          </w:p>
        </w:tc>
      </w:tr>
    </w:tbl>
    <w:p w:rsidR="00000000" w:rsidRPr="004454D1" w:rsidP="004454D1">
      <w:pPr>
        <w:pStyle w:val="BodyText"/>
      </w:pPr>
    </w:p>
    <w:p w:rsidR="00000000" w:rsidRPr="004454D1" w:rsidP="004454D1"/>
    <w:sectPr w:rsidSect="004454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4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4D1" w:rsidRPr="000C4CB4" w:rsidP="000C4C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4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CB4" w:rsidP="004454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C4CB4" w:rsidP="004454D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C4CB4" w:rsidP="004454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4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4D1" w:rsidRPr="000C4CB4" w:rsidP="000C4C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4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CB4" w:rsidRPr="002D2AF8" w:rsidP="004454D1">
    <w:pPr>
      <w:pStyle w:val="Header"/>
      <w:framePr w:wrap="around"/>
    </w:pPr>
    <w:r>
      <w:fldChar w:fldCharType="begin"/>
    </w:r>
    <w:r>
      <w:instrText xml:space="preserve"> TITLE   \* MERGEFORMAT </w:instrText>
    </w:r>
    <w:r>
      <w:fldChar w:fldCharType="separate"/>
    </w:r>
    <w:r>
      <w:t>UEENEEH149A Develop engineering solutions to audio electronic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C4CB4" w:rsidP="004454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CEFB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AA7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CA51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4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54D1"/>
    <w:pPr>
      <w:spacing w:before="360" w:after="60"/>
      <w:outlineLvl w:val="0"/>
    </w:pPr>
    <w:rPr>
      <w:sz w:val="32"/>
    </w:rPr>
  </w:style>
  <w:style w:type="paragraph" w:styleId="Heading2">
    <w:name w:val="heading 2"/>
    <w:basedOn w:val="HeadingBase"/>
    <w:next w:val="BodyText"/>
    <w:link w:val="Heading2Char"/>
    <w:qFormat/>
    <w:rsid w:val="004454D1"/>
    <w:pPr>
      <w:keepLines/>
      <w:spacing w:before="240" w:after="120"/>
      <w:outlineLvl w:val="1"/>
    </w:pPr>
    <w:rPr>
      <w:sz w:val="28"/>
      <w:szCs w:val="40"/>
    </w:rPr>
  </w:style>
  <w:style w:type="paragraph" w:styleId="Heading3">
    <w:name w:val="heading 3"/>
    <w:basedOn w:val="HeadingBase"/>
    <w:next w:val="BodyText"/>
    <w:link w:val="Heading3Char"/>
    <w:qFormat/>
    <w:rsid w:val="004454D1"/>
    <w:pPr>
      <w:spacing w:before="180" w:after="120"/>
      <w:outlineLvl w:val="2"/>
    </w:pPr>
    <w:rPr>
      <w:spacing w:val="-10"/>
      <w:kern w:val="32"/>
    </w:rPr>
  </w:style>
  <w:style w:type="paragraph" w:styleId="Heading4">
    <w:name w:val="heading 4"/>
    <w:basedOn w:val="HeadingBase"/>
    <w:next w:val="BodyText"/>
    <w:link w:val="Heading4Char"/>
    <w:qFormat/>
    <w:rsid w:val="004454D1"/>
    <w:pPr>
      <w:spacing w:before="160" w:after="120"/>
      <w:outlineLvl w:val="3"/>
    </w:pPr>
    <w:rPr>
      <w:sz w:val="22"/>
    </w:rPr>
  </w:style>
  <w:style w:type="paragraph" w:styleId="Heading5">
    <w:name w:val="heading 5"/>
    <w:basedOn w:val="HeadingBase"/>
    <w:next w:val="Normal"/>
    <w:link w:val="Heading5Char"/>
    <w:qFormat/>
    <w:rsid w:val="004454D1"/>
    <w:pPr>
      <w:spacing w:before="80"/>
      <w:outlineLvl w:val="4"/>
    </w:pPr>
    <w:rPr>
      <w:color w:val="918585"/>
      <w:sz w:val="20"/>
    </w:rPr>
  </w:style>
  <w:style w:type="paragraph" w:styleId="Heading6">
    <w:name w:val="heading 6"/>
    <w:basedOn w:val="HeadingBase"/>
    <w:next w:val="Normal"/>
    <w:link w:val="Heading6Char"/>
    <w:qFormat/>
    <w:rsid w:val="004454D1"/>
    <w:pPr>
      <w:spacing w:before="60"/>
      <w:outlineLvl w:val="5"/>
    </w:pPr>
    <w:rPr>
      <w:color w:val="918585"/>
      <w:sz w:val="20"/>
    </w:rPr>
  </w:style>
  <w:style w:type="paragraph" w:styleId="Heading7">
    <w:name w:val="heading 7"/>
    <w:basedOn w:val="Normal"/>
    <w:next w:val="Normal"/>
    <w:link w:val="Heading7Char"/>
    <w:qFormat/>
    <w:rsid w:val="004454D1"/>
    <w:pPr>
      <w:ind w:left="720"/>
      <w:outlineLvl w:val="6"/>
    </w:pPr>
    <w:rPr>
      <w:i/>
    </w:rPr>
  </w:style>
  <w:style w:type="paragraph" w:styleId="Heading8">
    <w:name w:val="heading 8"/>
    <w:basedOn w:val="Normal"/>
    <w:next w:val="Normal"/>
    <w:link w:val="Heading8Char"/>
    <w:qFormat/>
    <w:rsid w:val="004454D1"/>
    <w:pPr>
      <w:ind w:left="720"/>
      <w:outlineLvl w:val="7"/>
    </w:pPr>
    <w:rPr>
      <w:i/>
    </w:rPr>
  </w:style>
  <w:style w:type="paragraph" w:styleId="Heading9">
    <w:name w:val="heading 9"/>
    <w:basedOn w:val="Normal"/>
    <w:next w:val="Normal"/>
    <w:link w:val="Heading9Char"/>
    <w:qFormat/>
    <w:rsid w:val="004454D1"/>
    <w:pPr>
      <w:ind w:left="720"/>
      <w:outlineLvl w:val="8"/>
    </w:pPr>
    <w:rPr>
      <w:i/>
    </w:rPr>
  </w:style>
  <w:style w:type="character" w:default="1" w:styleId="DefaultParagraphFont">
    <w:name w:val="Default Paragraph Font"/>
    <w:uiPriority w:val="1"/>
    <w:unhideWhenUsed/>
    <w:rsid w:val="004454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4D1"/>
  </w:style>
  <w:style w:type="character" w:customStyle="1" w:styleId="Heading1Char">
    <w:name w:val="Heading 1 Char"/>
    <w:basedOn w:val="DefaultParagraphFont"/>
    <w:link w:val="Heading1"/>
    <w:rsid w:val="004454D1"/>
    <w:rPr>
      <w:rFonts w:ascii="Times New Roman" w:eastAsia="Times New Roman" w:hAnsi="Times New Roman" w:cs="Times New Roman"/>
      <w:b/>
      <w:sz w:val="32"/>
      <w:szCs w:val="20"/>
      <w:lang w:eastAsia="en-US"/>
    </w:rPr>
  </w:style>
  <w:style w:type="paragraph" w:styleId="BodyText">
    <w:name w:val="Body Text"/>
    <w:basedOn w:val="Normal"/>
    <w:link w:val="BodyTextChar"/>
    <w:rsid w:val="004454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54D1"/>
    <w:rPr>
      <w:rFonts w:ascii="Times New Roman" w:eastAsia="Times New Roman" w:hAnsi="Times New Roman" w:cs="Times New Roman"/>
      <w:sz w:val="24"/>
      <w:lang w:eastAsia="en-US"/>
    </w:rPr>
  </w:style>
  <w:style w:type="paragraph" w:styleId="ListBullet">
    <w:name w:val="List Bullet"/>
    <w:basedOn w:val="List"/>
    <w:rsid w:val="004454D1"/>
    <w:pPr>
      <w:numPr>
        <w:numId w:val="13"/>
      </w:numPr>
      <w:tabs>
        <w:tab w:val="clear" w:pos="340"/>
      </w:tabs>
      <w:spacing w:before="40" w:after="40"/>
    </w:pPr>
  </w:style>
  <w:style w:type="character" w:customStyle="1" w:styleId="SpecialBold">
    <w:name w:val="Special Bold"/>
    <w:basedOn w:val="DefaultParagraphFont"/>
    <w:rsid w:val="004454D1"/>
    <w:rPr>
      <w:b/>
      <w:spacing w:val="0"/>
    </w:rPr>
  </w:style>
  <w:style w:type="paragraph" w:styleId="ListBullet2">
    <w:name w:val="List Bullet 2"/>
    <w:basedOn w:val="List2"/>
    <w:rsid w:val="004454D1"/>
    <w:pPr>
      <w:numPr>
        <w:numId w:val="14"/>
      </w:numPr>
      <w:tabs>
        <w:tab w:val="clear" w:pos="680"/>
      </w:tabs>
    </w:pPr>
  </w:style>
  <w:style w:type="paragraph" w:customStyle="1" w:styleId="SuperHeading">
    <w:name w:val="SuperHeading"/>
    <w:basedOn w:val="Normal"/>
    <w:rsid w:val="004454D1"/>
    <w:pPr>
      <w:spacing w:before="240" w:after="120"/>
      <w:outlineLvl w:val="0"/>
    </w:pPr>
    <w:rPr>
      <w:rFonts w:ascii="Times New Roman" w:hAnsi="Times New Roman"/>
      <w:b/>
      <w:sz w:val="32"/>
    </w:rPr>
  </w:style>
  <w:style w:type="paragraph" w:customStyle="1" w:styleId="AllowPageBreak">
    <w:name w:val="AllowPageBreak"/>
    <w:rsid w:val="004454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54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4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4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4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4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4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54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54D1"/>
    <w:rPr>
      <w:rFonts w:ascii="Courier New" w:eastAsia="Times New Roman" w:hAnsi="Courier New" w:cs="Times New Roman"/>
      <w:i/>
      <w:szCs w:val="20"/>
      <w:lang w:eastAsia="en-US"/>
    </w:rPr>
  </w:style>
  <w:style w:type="paragraph" w:customStyle="1" w:styleId="HeadingBase">
    <w:name w:val="Heading Base"/>
    <w:rsid w:val="004454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4D1"/>
    <w:pPr>
      <w:tabs>
        <w:tab w:val="right" w:leader="dot" w:pos="9072"/>
      </w:tabs>
      <w:ind w:left="567"/>
    </w:pPr>
    <w:rPr>
      <w:szCs w:val="22"/>
    </w:rPr>
  </w:style>
  <w:style w:type="paragraph" w:customStyle="1" w:styleId="TOCBase">
    <w:name w:val="TOC Base"/>
    <w:rsid w:val="004454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4D1"/>
    <w:pPr>
      <w:tabs>
        <w:tab w:val="right" w:leader="dot" w:pos="9072"/>
      </w:tabs>
      <w:spacing w:before="40" w:after="40"/>
      <w:ind w:left="284"/>
    </w:pPr>
    <w:rPr>
      <w:rFonts w:ascii="Times New Roman" w:hAnsi="Times New Roman"/>
    </w:rPr>
  </w:style>
  <w:style w:type="paragraph" w:styleId="TOC1">
    <w:name w:val="toc 1"/>
    <w:basedOn w:val="TOCBase"/>
    <w:next w:val="Normal"/>
    <w:rsid w:val="004454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54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4D1"/>
    <w:rPr>
      <w:rFonts w:ascii="Times New Roman" w:eastAsia="Times New Roman" w:hAnsi="Times New Roman" w:cs="Times New Roman"/>
      <w:sz w:val="16"/>
      <w:lang w:eastAsia="en-US"/>
    </w:rPr>
  </w:style>
  <w:style w:type="paragraph" w:styleId="Title">
    <w:name w:val="Title"/>
    <w:basedOn w:val="HeadingBase"/>
    <w:link w:val="TitleChar"/>
    <w:qFormat/>
    <w:rsid w:val="004454D1"/>
    <w:pPr>
      <w:spacing w:before="5040"/>
      <w:jc w:val="center"/>
    </w:pPr>
    <w:rPr>
      <w:sz w:val="48"/>
      <w:szCs w:val="72"/>
      <w:lang w:val="en-US"/>
    </w:rPr>
  </w:style>
  <w:style w:type="character" w:customStyle="1" w:styleId="TitleChar">
    <w:name w:val="Title Char"/>
    <w:basedOn w:val="DefaultParagraphFont"/>
    <w:link w:val="Title"/>
    <w:rsid w:val="004454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4D1"/>
    <w:pPr>
      <w:tabs>
        <w:tab w:val="left" w:pos="3600"/>
        <w:tab w:val="left" w:pos="3958"/>
      </w:tabs>
    </w:pPr>
  </w:style>
  <w:style w:type="paragraph" w:styleId="List">
    <w:name w:val="List"/>
    <w:basedOn w:val="BodyText"/>
    <w:next w:val="BodyText"/>
    <w:rsid w:val="004454D1"/>
    <w:pPr>
      <w:tabs>
        <w:tab w:val="left" w:pos="340"/>
      </w:tabs>
      <w:spacing w:before="60" w:after="60"/>
      <w:ind w:left="340" w:hanging="340"/>
    </w:pPr>
  </w:style>
  <w:style w:type="paragraph" w:customStyle="1" w:styleId="Note">
    <w:name w:val="Note"/>
    <w:basedOn w:val="BodyText"/>
    <w:rsid w:val="004454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54D1"/>
    <w:pPr>
      <w:framePr w:wrap="auto" w:hAnchor="text" w:y="6049"/>
    </w:pPr>
    <w:rPr>
      <w:color w:val="000000"/>
      <w:sz w:val="40"/>
    </w:rPr>
  </w:style>
  <w:style w:type="paragraph" w:customStyle="1" w:styleId="TOCTitle">
    <w:name w:val="TOCTitle"/>
    <w:basedOn w:val="Heading1"/>
    <w:rsid w:val="004454D1"/>
    <w:pPr>
      <w:spacing w:after="240"/>
      <w:jc w:val="center"/>
      <w:outlineLvl w:val="9"/>
    </w:pPr>
    <w:rPr>
      <w:caps/>
    </w:rPr>
  </w:style>
  <w:style w:type="paragraph" w:customStyle="1" w:styleId="Version">
    <w:name w:val="Version"/>
    <w:rsid w:val="004454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54D1"/>
    <w:pPr>
      <w:keepNext w:val="0"/>
      <w:tabs>
        <w:tab w:val="right" w:pos="4176"/>
      </w:tabs>
      <w:ind w:left="198" w:hanging="198"/>
    </w:pPr>
    <w:rPr>
      <w:rFonts w:ascii="Garamond" w:hAnsi="Garamond"/>
    </w:rPr>
  </w:style>
  <w:style w:type="paragraph" w:styleId="IndexHeading">
    <w:name w:val="index heading"/>
    <w:basedOn w:val="Normal"/>
    <w:next w:val="Index1"/>
    <w:semiHidden/>
    <w:rsid w:val="004454D1"/>
    <w:pPr>
      <w:spacing w:before="120" w:after="120"/>
    </w:pPr>
    <w:rPr>
      <w:rFonts w:ascii="Arial" w:hAnsi="Arial"/>
      <w:b/>
      <w:color w:val="918585"/>
      <w:sz w:val="24"/>
    </w:rPr>
  </w:style>
  <w:style w:type="paragraph" w:styleId="Header">
    <w:name w:val="header"/>
    <w:basedOn w:val="Normal"/>
    <w:link w:val="HeaderChar"/>
    <w:rsid w:val="004454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4D1"/>
    <w:rPr>
      <w:rFonts w:ascii="Times New Roman" w:eastAsia="Times New Roman" w:hAnsi="Times New Roman" w:cs="Times New Roman"/>
      <w:sz w:val="16"/>
      <w:szCs w:val="20"/>
      <w:lang w:val="en-GB" w:eastAsia="en-US"/>
    </w:rPr>
  </w:style>
  <w:style w:type="paragraph" w:customStyle="1" w:styleId="Chapter">
    <w:name w:val="Chapter"/>
    <w:basedOn w:val="Normal"/>
    <w:rsid w:val="004454D1"/>
    <w:pPr>
      <w:spacing w:before="240"/>
    </w:pPr>
    <w:rPr>
      <w:rFonts w:ascii="Times New Roman" w:hAnsi="Times New Roman"/>
      <w:smallCaps/>
      <w:spacing w:val="80"/>
      <w:sz w:val="28"/>
    </w:rPr>
  </w:style>
  <w:style w:type="paragraph" w:customStyle="1" w:styleId="InChapter">
    <w:name w:val="InChapter"/>
    <w:basedOn w:val="Heading3"/>
    <w:rsid w:val="004454D1"/>
    <w:pPr>
      <w:spacing w:after="240"/>
      <w:outlineLvl w:val="9"/>
    </w:pPr>
    <w:rPr>
      <w:noProof/>
    </w:rPr>
  </w:style>
  <w:style w:type="paragraph" w:styleId="Index2">
    <w:name w:val="index 2"/>
    <w:basedOn w:val="Normal"/>
    <w:next w:val="Normal"/>
    <w:semiHidden/>
    <w:rsid w:val="004454D1"/>
    <w:pPr>
      <w:tabs>
        <w:tab w:val="right" w:pos="4176"/>
      </w:tabs>
      <w:ind w:left="568" w:hanging="284"/>
    </w:pPr>
    <w:rPr>
      <w:rFonts w:ascii="Garamond" w:hAnsi="Garamond"/>
    </w:rPr>
  </w:style>
  <w:style w:type="paragraph" w:customStyle="1" w:styleId="Byline">
    <w:name w:val="Byline"/>
    <w:rsid w:val="004454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4D1"/>
    <w:pPr>
      <w:tabs>
        <w:tab w:val="clear" w:pos="3600"/>
        <w:tab w:val="clear" w:pos="3958"/>
      </w:tabs>
      <w:jc w:val="right"/>
    </w:pPr>
  </w:style>
  <w:style w:type="character" w:styleId="Emphasis">
    <w:name w:val="Emphasis"/>
    <w:basedOn w:val="DefaultParagraphFont"/>
    <w:qFormat/>
    <w:rsid w:val="004454D1"/>
    <w:rPr>
      <w:i/>
    </w:rPr>
  </w:style>
  <w:style w:type="paragraph" w:styleId="Caption">
    <w:name w:val="caption"/>
    <w:basedOn w:val="BodyText"/>
    <w:next w:val="Normal"/>
    <w:qFormat/>
    <w:rsid w:val="004454D1"/>
    <w:pPr>
      <w:framePr w:w="2268" w:hSpace="181" w:vSpace="181" w:wrap="around" w:vAnchor="text" w:hAnchor="page" w:x="1135" w:y="285" w:anchorLock="1"/>
    </w:pPr>
    <w:rPr>
      <w:i/>
    </w:rPr>
  </w:style>
  <w:style w:type="paragraph" w:customStyle="1" w:styleId="MiniTOCTitle">
    <w:name w:val="MiniTOCTitle"/>
    <w:basedOn w:val="Heading4"/>
    <w:rsid w:val="004454D1"/>
    <w:pPr>
      <w:spacing w:before="240"/>
      <w:outlineLvl w:val="9"/>
    </w:pPr>
    <w:rPr>
      <w:noProof/>
      <w:sz w:val="24"/>
    </w:rPr>
  </w:style>
  <w:style w:type="paragraph" w:customStyle="1" w:styleId="MiniTOCItem">
    <w:name w:val="MiniTOCItem"/>
    <w:basedOn w:val="ListBullet"/>
    <w:rsid w:val="004454D1"/>
    <w:pPr>
      <w:numPr>
        <w:numId w:val="0"/>
      </w:numPr>
      <w:tabs>
        <w:tab w:val="right" w:leader="dot" w:pos="6521"/>
      </w:tabs>
      <w:spacing w:before="0" w:after="0"/>
    </w:pPr>
  </w:style>
  <w:style w:type="paragraph" w:customStyle="1" w:styleId="TOFTitle">
    <w:name w:val="TOFTitle"/>
    <w:basedOn w:val="TOCTitle"/>
    <w:rsid w:val="004454D1"/>
  </w:style>
  <w:style w:type="paragraph" w:styleId="TableofFigures">
    <w:name w:val="table of figures"/>
    <w:basedOn w:val="Normal"/>
    <w:next w:val="Normal"/>
    <w:semiHidden/>
    <w:rsid w:val="004454D1"/>
    <w:pPr>
      <w:tabs>
        <w:tab w:val="right" w:leader="dot" w:pos="9072"/>
      </w:tabs>
      <w:ind w:left="970" w:hanging="403"/>
    </w:pPr>
    <w:rPr>
      <w:rFonts w:ascii="Times New Roman" w:hAnsi="Times New Roman"/>
      <w:b/>
    </w:rPr>
  </w:style>
  <w:style w:type="paragraph" w:styleId="ListNumber">
    <w:name w:val="List Number"/>
    <w:basedOn w:val="List"/>
    <w:rsid w:val="004454D1"/>
    <w:pPr>
      <w:numPr>
        <w:numId w:val="11"/>
      </w:numPr>
    </w:pPr>
  </w:style>
  <w:style w:type="character" w:customStyle="1" w:styleId="WingdingSymbols">
    <w:name w:val="Wingding Symbols"/>
    <w:rsid w:val="004454D1"/>
    <w:rPr>
      <w:rFonts w:ascii="Wingdings" w:hAnsi="Wingdings"/>
    </w:rPr>
  </w:style>
  <w:style w:type="paragraph" w:customStyle="1" w:styleId="TableHeading">
    <w:name w:val="Table Heading"/>
    <w:basedOn w:val="HeadingBase"/>
    <w:rsid w:val="004454D1"/>
    <w:pPr>
      <w:keepLines/>
      <w:pBdr>
        <w:bottom w:val="single" w:sz="6" w:space="1" w:color="918585"/>
      </w:pBdr>
      <w:spacing w:before="240"/>
    </w:pPr>
  </w:style>
  <w:style w:type="character" w:customStyle="1" w:styleId="HotSpot">
    <w:name w:val="HotSpot"/>
    <w:rsid w:val="004454D1"/>
    <w:rPr>
      <w:color w:val="0033CC"/>
      <w:u w:val="none"/>
    </w:rPr>
  </w:style>
  <w:style w:type="paragraph" w:customStyle="1" w:styleId="BodyTextRight">
    <w:name w:val="Body Text Right"/>
    <w:basedOn w:val="BodyText"/>
    <w:rsid w:val="004454D1"/>
    <w:pPr>
      <w:spacing w:before="0" w:after="0"/>
      <w:jc w:val="right"/>
    </w:pPr>
  </w:style>
  <w:style w:type="paragraph" w:styleId="Index3">
    <w:name w:val="index 3"/>
    <w:basedOn w:val="ListNumber2"/>
    <w:next w:val="Normal"/>
    <w:semiHidden/>
    <w:rsid w:val="004454D1"/>
    <w:pPr>
      <w:numPr>
        <w:numId w:val="0"/>
      </w:numPr>
      <w:tabs>
        <w:tab w:val="right" w:leader="dot" w:pos="4176"/>
      </w:tabs>
    </w:pPr>
  </w:style>
  <w:style w:type="paragraph" w:styleId="ListNumber2">
    <w:name w:val="List Number 2"/>
    <w:basedOn w:val="List2"/>
    <w:rsid w:val="004454D1"/>
    <w:pPr>
      <w:numPr>
        <w:numId w:val="10"/>
      </w:numPr>
      <w:tabs>
        <w:tab w:val="clear" w:pos="1060"/>
      </w:tabs>
    </w:pPr>
  </w:style>
  <w:style w:type="paragraph" w:customStyle="1" w:styleId="MarginNote">
    <w:name w:val="Margin Note"/>
    <w:basedOn w:val="BodyText"/>
    <w:rsid w:val="004454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4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4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54D1"/>
    <w:rPr>
      <w:sz w:val="32"/>
    </w:rPr>
  </w:style>
  <w:style w:type="paragraph" w:customStyle="1" w:styleId="HeadingProcedure">
    <w:name w:val="Heading Procedure"/>
    <w:basedOn w:val="HeadingBase"/>
    <w:next w:val="Normal"/>
    <w:rsid w:val="004454D1"/>
    <w:pPr>
      <w:tabs>
        <w:tab w:val="left" w:pos="0"/>
      </w:tabs>
      <w:spacing w:before="120" w:after="60"/>
    </w:pPr>
    <w:rPr>
      <w:i/>
      <w:color w:val="918585"/>
      <w:sz w:val="22"/>
    </w:rPr>
  </w:style>
  <w:style w:type="paragraph" w:customStyle="1" w:styleId="TableBodyText">
    <w:name w:val="Table Body Text"/>
    <w:basedOn w:val="BodyText"/>
    <w:rsid w:val="004454D1"/>
    <w:pPr>
      <w:spacing w:before="60" w:after="60"/>
    </w:pPr>
  </w:style>
  <w:style w:type="paragraph" w:styleId="ListContinue">
    <w:name w:val="List Continue"/>
    <w:basedOn w:val="List"/>
    <w:rsid w:val="004454D1"/>
    <w:pPr>
      <w:ind w:firstLine="0"/>
    </w:pPr>
  </w:style>
  <w:style w:type="paragraph" w:customStyle="1" w:styleId="ListNote">
    <w:name w:val="List Note"/>
    <w:basedOn w:val="List"/>
    <w:rsid w:val="004454D1"/>
    <w:pPr>
      <w:pBdr>
        <w:top w:val="single" w:sz="6" w:space="2" w:color="918585"/>
        <w:bottom w:val="single" w:sz="6" w:space="2" w:color="918585"/>
      </w:pBdr>
      <w:tabs>
        <w:tab w:val="left" w:pos="1021"/>
      </w:tabs>
      <w:ind w:firstLine="0"/>
    </w:pPr>
  </w:style>
  <w:style w:type="paragraph" w:customStyle="1" w:styleId="Warning">
    <w:name w:val="Warning"/>
    <w:basedOn w:val="BodyText"/>
    <w:rsid w:val="004454D1"/>
    <w:pPr>
      <w:shd w:val="clear" w:color="auto" w:fill="D9D9D9"/>
      <w:tabs>
        <w:tab w:val="left" w:pos="992"/>
      </w:tabs>
      <w:ind w:left="119" w:right="119"/>
    </w:pPr>
    <w:rPr>
      <w:sz w:val="20"/>
    </w:rPr>
  </w:style>
  <w:style w:type="paragraph" w:customStyle="1" w:styleId="MarginIcons">
    <w:name w:val="Margin Icons"/>
    <w:basedOn w:val="BodyText"/>
    <w:rsid w:val="004454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4D1"/>
    <w:rPr>
      <w:rFonts w:ascii="Courier New" w:hAnsi="Courier New"/>
    </w:rPr>
  </w:style>
  <w:style w:type="paragraph" w:customStyle="1" w:styleId="NoteBullet">
    <w:name w:val="Note Bullet"/>
    <w:basedOn w:val="Note"/>
    <w:rsid w:val="004454D1"/>
    <w:pPr>
      <w:tabs>
        <w:tab w:val="clear" w:pos="680"/>
      </w:tabs>
      <w:spacing w:before="60" w:after="60"/>
    </w:pPr>
  </w:style>
  <w:style w:type="paragraph" w:customStyle="1" w:styleId="SubHeading2">
    <w:name w:val="SubHeading2"/>
    <w:basedOn w:val="HeadingBase"/>
    <w:rsid w:val="004454D1"/>
    <w:pPr>
      <w:spacing w:before="240" w:after="60"/>
    </w:pPr>
    <w:rPr>
      <w:sz w:val="20"/>
    </w:rPr>
  </w:style>
  <w:style w:type="paragraph" w:customStyle="1" w:styleId="SubHeading1">
    <w:name w:val="SubHeading1"/>
    <w:basedOn w:val="HeadingBase"/>
    <w:rsid w:val="004454D1"/>
    <w:pPr>
      <w:spacing w:before="240" w:after="60"/>
    </w:pPr>
    <w:rPr>
      <w:color w:val="918585"/>
      <w:sz w:val="22"/>
    </w:rPr>
  </w:style>
  <w:style w:type="paragraph" w:customStyle="1" w:styleId="SideHeading">
    <w:name w:val="Side Heading"/>
    <w:basedOn w:val="HeadingBase"/>
    <w:rsid w:val="004454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4D1"/>
    <w:pPr>
      <w:numPr>
        <w:numId w:val="12"/>
      </w:numPr>
    </w:pPr>
  </w:style>
  <w:style w:type="paragraph" w:styleId="PlainText">
    <w:name w:val="Plain Text"/>
    <w:basedOn w:val="Normal"/>
    <w:link w:val="PlainTextChar"/>
    <w:rsid w:val="004454D1"/>
    <w:rPr>
      <w:sz w:val="20"/>
    </w:rPr>
  </w:style>
  <w:style w:type="character" w:customStyle="1" w:styleId="PlainTextChar">
    <w:name w:val="Plain Text Char"/>
    <w:basedOn w:val="DefaultParagraphFont"/>
    <w:link w:val="PlainText"/>
    <w:rsid w:val="004454D1"/>
    <w:rPr>
      <w:rFonts w:ascii="Courier New" w:eastAsia="Times New Roman" w:hAnsi="Courier New" w:cs="Times New Roman"/>
      <w:sz w:val="20"/>
      <w:szCs w:val="20"/>
      <w:lang w:eastAsia="en-US"/>
    </w:rPr>
  </w:style>
  <w:style w:type="character" w:customStyle="1" w:styleId="MenuOption">
    <w:name w:val="Menu Option"/>
    <w:basedOn w:val="DefaultParagraphFont"/>
    <w:rsid w:val="004454D1"/>
    <w:rPr>
      <w:b/>
      <w:smallCaps/>
    </w:rPr>
  </w:style>
  <w:style w:type="paragraph" w:customStyle="1" w:styleId="TableListNumber">
    <w:name w:val="Table List Number"/>
    <w:basedOn w:val="ListNumber"/>
    <w:rsid w:val="004454D1"/>
    <w:pPr>
      <w:numPr>
        <w:numId w:val="0"/>
      </w:numPr>
    </w:pPr>
  </w:style>
  <w:style w:type="paragraph" w:styleId="TOC4">
    <w:name w:val="toc 4"/>
    <w:basedOn w:val="TOCBase"/>
    <w:next w:val="Normal"/>
    <w:semiHidden/>
    <w:rsid w:val="004454D1"/>
    <w:pPr>
      <w:tabs>
        <w:tab w:val="right" w:leader="dot" w:pos="9071"/>
      </w:tabs>
      <w:ind w:left="1701"/>
    </w:pPr>
  </w:style>
  <w:style w:type="paragraph" w:customStyle="1" w:styleId="ListAlpha">
    <w:name w:val="List Alpha"/>
    <w:basedOn w:val="List"/>
    <w:rsid w:val="004454D1"/>
    <w:pPr>
      <w:numPr>
        <w:numId w:val="9"/>
      </w:numPr>
    </w:pPr>
  </w:style>
  <w:style w:type="paragraph" w:customStyle="1" w:styleId="ListAlpha2">
    <w:name w:val="List Alpha 2"/>
    <w:basedOn w:val="List2"/>
    <w:rsid w:val="004454D1"/>
    <w:pPr>
      <w:numPr>
        <w:numId w:val="8"/>
      </w:numPr>
    </w:pPr>
  </w:style>
  <w:style w:type="paragraph" w:styleId="List2">
    <w:name w:val="List 2"/>
    <w:basedOn w:val="BodyText"/>
    <w:rsid w:val="004454D1"/>
    <w:pPr>
      <w:tabs>
        <w:tab w:val="left" w:pos="680"/>
      </w:tabs>
      <w:spacing w:before="60" w:after="60"/>
      <w:ind w:left="680" w:hanging="340"/>
    </w:pPr>
  </w:style>
  <w:style w:type="paragraph" w:styleId="List3">
    <w:name w:val="List 3"/>
    <w:basedOn w:val="BodyText"/>
    <w:rsid w:val="004454D1"/>
    <w:pPr>
      <w:tabs>
        <w:tab w:val="left" w:pos="1021"/>
      </w:tabs>
      <w:spacing w:before="60" w:after="60"/>
      <w:ind w:left="1020" w:hanging="340"/>
    </w:pPr>
  </w:style>
  <w:style w:type="paragraph" w:styleId="List4">
    <w:name w:val="List 4"/>
    <w:basedOn w:val="BodyText"/>
    <w:rsid w:val="004454D1"/>
    <w:pPr>
      <w:tabs>
        <w:tab w:val="left" w:pos="1361"/>
      </w:tabs>
      <w:spacing w:before="60" w:after="60"/>
      <w:ind w:left="1361" w:hanging="340"/>
    </w:pPr>
  </w:style>
  <w:style w:type="paragraph" w:styleId="List5">
    <w:name w:val="List 5"/>
    <w:basedOn w:val="BodyText"/>
    <w:rsid w:val="004454D1"/>
    <w:pPr>
      <w:tabs>
        <w:tab w:val="left" w:pos="1701"/>
      </w:tabs>
      <w:spacing w:before="60" w:after="60"/>
      <w:ind w:left="1701" w:hanging="340"/>
    </w:pPr>
  </w:style>
  <w:style w:type="paragraph" w:styleId="ListBullet3">
    <w:name w:val="List Bullet 3"/>
    <w:basedOn w:val="List3"/>
    <w:rsid w:val="004454D1"/>
    <w:pPr>
      <w:numPr>
        <w:numId w:val="15"/>
      </w:numPr>
      <w:tabs>
        <w:tab w:val="clear" w:pos="1021"/>
      </w:tabs>
      <w:ind w:left="1037" w:hanging="357"/>
    </w:pPr>
  </w:style>
  <w:style w:type="paragraph" w:styleId="ListBullet4">
    <w:name w:val="List Bullet 4"/>
    <w:basedOn w:val="List4"/>
    <w:rsid w:val="004454D1"/>
    <w:pPr>
      <w:numPr>
        <w:numId w:val="3"/>
      </w:numPr>
    </w:pPr>
  </w:style>
  <w:style w:type="paragraph" w:styleId="ListBullet5">
    <w:name w:val="List Bullet 5"/>
    <w:basedOn w:val="List5"/>
    <w:rsid w:val="004454D1"/>
    <w:pPr>
      <w:numPr>
        <w:numId w:val="4"/>
      </w:numPr>
    </w:pPr>
  </w:style>
  <w:style w:type="paragraph" w:styleId="ListContinue2">
    <w:name w:val="List Continue 2"/>
    <w:basedOn w:val="List2"/>
    <w:rsid w:val="004454D1"/>
    <w:pPr>
      <w:ind w:firstLine="0"/>
    </w:pPr>
  </w:style>
  <w:style w:type="paragraph" w:styleId="ListContinue3">
    <w:name w:val="List Continue 3"/>
    <w:basedOn w:val="List3"/>
    <w:rsid w:val="004454D1"/>
    <w:pPr>
      <w:ind w:left="1021" w:firstLine="0"/>
    </w:pPr>
  </w:style>
  <w:style w:type="paragraph" w:styleId="ListContinue4">
    <w:name w:val="List Continue 4"/>
    <w:basedOn w:val="List4"/>
    <w:rsid w:val="004454D1"/>
    <w:pPr>
      <w:ind w:firstLine="0"/>
    </w:pPr>
  </w:style>
  <w:style w:type="paragraph" w:styleId="ListContinue5">
    <w:name w:val="List Continue 5"/>
    <w:basedOn w:val="List5"/>
    <w:rsid w:val="004454D1"/>
    <w:pPr>
      <w:ind w:firstLine="0"/>
    </w:pPr>
  </w:style>
  <w:style w:type="paragraph" w:styleId="ListNumber3">
    <w:name w:val="List Number 3"/>
    <w:basedOn w:val="List3"/>
    <w:rsid w:val="004454D1"/>
    <w:pPr>
      <w:numPr>
        <w:numId w:val="5"/>
      </w:numPr>
    </w:pPr>
  </w:style>
  <w:style w:type="paragraph" w:styleId="ListNumber4">
    <w:name w:val="List Number 4"/>
    <w:basedOn w:val="List4"/>
    <w:rsid w:val="004454D1"/>
    <w:pPr>
      <w:numPr>
        <w:numId w:val="6"/>
      </w:numPr>
    </w:pPr>
  </w:style>
  <w:style w:type="paragraph" w:styleId="ListNumber5">
    <w:name w:val="List Number 5"/>
    <w:basedOn w:val="List5"/>
    <w:rsid w:val="004454D1"/>
    <w:pPr>
      <w:numPr>
        <w:numId w:val="7"/>
      </w:numPr>
    </w:pPr>
  </w:style>
  <w:style w:type="paragraph" w:styleId="BlockText">
    <w:name w:val="Block Text"/>
    <w:basedOn w:val="Normal"/>
    <w:rsid w:val="004454D1"/>
    <w:pPr>
      <w:spacing w:after="120"/>
      <w:ind w:left="1440" w:right="1440"/>
    </w:pPr>
  </w:style>
  <w:style w:type="character" w:customStyle="1" w:styleId="Subscript">
    <w:name w:val="Subscript"/>
    <w:basedOn w:val="DefaultParagraphFont"/>
    <w:rsid w:val="004454D1"/>
    <w:rPr>
      <w:sz w:val="16"/>
      <w:vertAlign w:val="subscript"/>
    </w:rPr>
  </w:style>
  <w:style w:type="character" w:customStyle="1" w:styleId="Superscript">
    <w:name w:val="Superscript"/>
    <w:basedOn w:val="DefaultParagraphFont"/>
    <w:rsid w:val="004454D1"/>
    <w:rPr>
      <w:sz w:val="16"/>
      <w:vertAlign w:val="superscript"/>
    </w:rPr>
  </w:style>
  <w:style w:type="character" w:customStyle="1" w:styleId="Symbols">
    <w:name w:val="Symbols"/>
    <w:basedOn w:val="DefaultParagraphFont"/>
    <w:rsid w:val="004454D1"/>
    <w:rPr>
      <w:rFonts w:ascii="Symbol" w:hAnsi="Symbol"/>
    </w:rPr>
  </w:style>
  <w:style w:type="character" w:customStyle="1" w:styleId="MenuOptions">
    <w:name w:val="Menu Options"/>
    <w:basedOn w:val="DefaultParagraphFont"/>
    <w:rsid w:val="004454D1"/>
    <w:rPr>
      <w:rFonts w:ascii="Arial Narrow" w:hAnsi="Arial Narrow"/>
      <w:smallCaps/>
    </w:rPr>
  </w:style>
  <w:style w:type="character" w:customStyle="1" w:styleId="Buttons">
    <w:name w:val="Buttons"/>
    <w:basedOn w:val="DefaultParagraphFont"/>
    <w:rsid w:val="004454D1"/>
    <w:rPr>
      <w:b/>
    </w:rPr>
  </w:style>
  <w:style w:type="character" w:customStyle="1" w:styleId="Underlined">
    <w:name w:val="Underlined"/>
    <w:basedOn w:val="DefaultParagraphFont"/>
    <w:rsid w:val="004454D1"/>
    <w:rPr>
      <w:u w:val="single"/>
    </w:rPr>
  </w:style>
  <w:style w:type="paragraph" w:customStyle="1" w:styleId="TableBodyTextRight">
    <w:name w:val="Table Body Text Right"/>
    <w:basedOn w:val="TableBodyText"/>
    <w:rsid w:val="004454D1"/>
    <w:pPr>
      <w:widowControl w:val="0"/>
      <w:autoSpaceDE w:val="0"/>
      <w:autoSpaceDN w:val="0"/>
      <w:adjustRightInd w:val="0"/>
      <w:jc w:val="right"/>
    </w:pPr>
    <w:rPr>
      <w:rFonts w:cs="Arial"/>
      <w:szCs w:val="18"/>
    </w:rPr>
  </w:style>
  <w:style w:type="paragraph" w:customStyle="1" w:styleId="CopyrightText">
    <w:name w:val="Copyright Text"/>
    <w:basedOn w:val="BodyText"/>
    <w:rsid w:val="004454D1"/>
    <w:rPr>
      <w:sz w:val="18"/>
    </w:rPr>
  </w:style>
  <w:style w:type="paragraph" w:customStyle="1" w:styleId="BodySmallRight">
    <w:name w:val="Body Small Right"/>
    <w:basedOn w:val="BodyTextRight"/>
    <w:rsid w:val="004454D1"/>
    <w:rPr>
      <w:sz w:val="18"/>
      <w:szCs w:val="18"/>
    </w:rPr>
  </w:style>
  <w:style w:type="paragraph" w:customStyle="1" w:styleId="MarginEdition">
    <w:name w:val="Margin Edition"/>
    <w:basedOn w:val="MarginNote"/>
    <w:rsid w:val="004454D1"/>
    <w:pPr>
      <w:spacing w:before="0" w:after="0"/>
    </w:pPr>
    <w:rPr>
      <w:rFonts w:ascii="Times New Roman" w:hAnsi="Times New Roman"/>
      <w:color w:val="999999"/>
    </w:rPr>
  </w:style>
  <w:style w:type="paragraph" w:customStyle="1" w:styleId="Spacer">
    <w:name w:val="Spacer"/>
    <w:basedOn w:val="Normal"/>
    <w:rsid w:val="004454D1"/>
    <w:rPr>
      <w:sz w:val="2"/>
      <w:szCs w:val="2"/>
    </w:rPr>
  </w:style>
  <w:style w:type="character" w:customStyle="1" w:styleId="Small">
    <w:name w:val="Small"/>
    <w:basedOn w:val="DefaultParagraphFont"/>
    <w:rsid w:val="004454D1"/>
    <w:rPr>
      <w:sz w:val="16"/>
    </w:rPr>
  </w:style>
  <w:style w:type="paragraph" w:customStyle="1" w:styleId="WideTable">
    <w:name w:val="Wide Table"/>
    <w:basedOn w:val="Normal"/>
    <w:rsid w:val="004454D1"/>
    <w:pPr>
      <w:ind w:left="-1418"/>
    </w:pPr>
    <w:rPr>
      <w:sz w:val="2"/>
      <w:szCs w:val="2"/>
    </w:rPr>
  </w:style>
  <w:style w:type="character" w:styleId="PageNumber">
    <w:name w:val="page number"/>
    <w:basedOn w:val="DefaultParagraphFont"/>
    <w:rsid w:val="004454D1"/>
  </w:style>
  <w:style w:type="paragraph" w:styleId="Quote">
    <w:name w:val="Quote"/>
    <w:basedOn w:val="Heading1"/>
    <w:link w:val="QuoteChar"/>
    <w:qFormat/>
    <w:rsid w:val="004454D1"/>
    <w:rPr>
      <w:b w:val="0"/>
      <w:sz w:val="72"/>
      <w:szCs w:val="72"/>
      <w:lang w:val="en-NZ"/>
    </w:rPr>
  </w:style>
  <w:style w:type="character" w:customStyle="1" w:styleId="QuoteChar">
    <w:name w:val="Quote Char"/>
    <w:basedOn w:val="DefaultParagraphFont"/>
    <w:link w:val="Quote"/>
    <w:rsid w:val="004454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4D1"/>
    <w:pPr>
      <w:pageBreakBefore/>
    </w:pPr>
  </w:style>
  <w:style w:type="paragraph" w:customStyle="1" w:styleId="Border">
    <w:name w:val="Border"/>
    <w:basedOn w:val="Normal"/>
    <w:qFormat/>
    <w:rsid w:val="004454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4D1"/>
    <w:rPr>
      <w:b/>
      <w:bCs/>
      <w:i/>
      <w:iCs/>
      <w:color w:val="auto"/>
    </w:rPr>
  </w:style>
  <w:style w:type="paragraph" w:styleId="IntenseQuote">
    <w:name w:val="Intense Quote"/>
    <w:basedOn w:val="Normal"/>
    <w:next w:val="Normal"/>
    <w:link w:val="IntenseQuoteChar"/>
    <w:uiPriority w:val="30"/>
    <w:qFormat/>
    <w:rsid w:val="004454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4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54D1"/>
    <w:rPr>
      <w:smallCaps/>
      <w:color w:val="auto"/>
      <w:u w:val="single"/>
    </w:rPr>
  </w:style>
  <w:style w:type="character" w:styleId="IntenseReference">
    <w:name w:val="Intense Reference"/>
    <w:basedOn w:val="DefaultParagraphFont"/>
    <w:uiPriority w:val="32"/>
    <w:qFormat/>
    <w:rsid w:val="004454D1"/>
    <w:rPr>
      <w:b/>
      <w:bCs/>
      <w:smallCaps/>
      <w:color w:val="auto"/>
      <w:spacing w:val="5"/>
      <w:u w:val="single"/>
    </w:rPr>
  </w:style>
  <w:style w:type="paragraph" w:customStyle="1" w:styleId="2ColumnHeading">
    <w:name w:val="2Column Heading"/>
    <w:basedOn w:val="BodyText"/>
    <w:qFormat/>
    <w:rsid w:val="004454D1"/>
    <w:pPr>
      <w:spacing w:after="60"/>
      <w:ind w:left="-2268"/>
    </w:pPr>
    <w:rPr>
      <w:b/>
    </w:rPr>
  </w:style>
  <w:style w:type="paragraph" w:customStyle="1" w:styleId="Heading1TOC">
    <w:name w:val="Heading1 TOC"/>
    <w:basedOn w:val="Normal"/>
    <w:qFormat/>
    <w:rsid w:val="004454D1"/>
    <w:pPr>
      <w:spacing w:before="240" w:after="120"/>
    </w:pPr>
    <w:rPr>
      <w:rFonts w:ascii="Times New Roman" w:hAnsi="Times New Roman"/>
      <w:b/>
      <w:sz w:val="32"/>
    </w:rPr>
  </w:style>
  <w:style w:type="paragraph" w:customStyle="1" w:styleId="Heading2TOC">
    <w:name w:val="Heading2 TOC"/>
    <w:basedOn w:val="Normal"/>
    <w:qFormat/>
    <w:rsid w:val="004454D1"/>
    <w:pPr>
      <w:spacing w:before="240" w:after="60"/>
    </w:pPr>
    <w:rPr>
      <w:rFonts w:ascii="Times New Roman" w:hAnsi="Times New Roman"/>
      <w:b/>
      <w:sz w:val="28"/>
    </w:rPr>
  </w:style>
  <w:style w:type="character" w:customStyle="1" w:styleId="Underline">
    <w:name w:val="Underline"/>
    <w:basedOn w:val="DefaultParagraphFont"/>
    <w:qFormat/>
    <w:rsid w:val="004454D1"/>
    <w:rPr>
      <w:u w:val="single"/>
    </w:rPr>
  </w:style>
  <w:style w:type="character" w:customStyle="1" w:styleId="BoldandItalics">
    <w:name w:val="Bold and Italics"/>
    <w:qFormat/>
    <w:rsid w:val="004454D1"/>
    <w:rPr>
      <w:b/>
      <w:i/>
      <w:u w:val="none"/>
    </w:rPr>
  </w:style>
  <w:style w:type="paragraph" w:styleId="BalloonText">
    <w:name w:val="Balloon Text"/>
    <w:basedOn w:val="Normal"/>
    <w:link w:val="BalloonTextChar"/>
    <w:rsid w:val="004454D1"/>
    <w:rPr>
      <w:rFonts w:ascii="Tahoma" w:hAnsi="Tahoma" w:cs="Tahoma"/>
      <w:sz w:val="16"/>
      <w:szCs w:val="16"/>
    </w:rPr>
  </w:style>
  <w:style w:type="character" w:customStyle="1" w:styleId="BalloonTextChar">
    <w:name w:val="Balloon Text Char"/>
    <w:basedOn w:val="DefaultParagraphFont"/>
    <w:link w:val="BalloonText"/>
    <w:rsid w:val="004454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54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54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54D1"/>
    <w:rPr>
      <w:b/>
      <w:color w:val="660033"/>
      <w:spacing w:val="0"/>
    </w:rPr>
  </w:style>
  <w:style w:type="paragraph" w:customStyle="1" w:styleId="Nameditemlist">
    <w:name w:val="Named item list"/>
    <w:basedOn w:val="BodyText"/>
    <w:qFormat/>
    <w:rsid w:val="004454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2191</Words>
  <Characters>13582</Characters>
  <Application>Microsoft Office Word</Application>
  <DocSecurity>0</DocSecurity>
  <Lines>474</Lines>
  <Paragraphs>196</Paragraphs>
  <ScaleCrop>false</ScaleCrop>
  <Company>Author-it Software Corporation Ltd.</Company>
  <LinksUpToDate>false</LinksUpToDate>
  <CharactersWithSpaces>15644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UEENEEH149A Develop engineering solutions to audio electronic problems</dc:title>
  <dc:subject>Approved</dc:subject>
  <dc:creator>E-OZ Training Standards</dc:creator>
  <cp:keywords>Release: 2</cp:keywords>
  <dc:description>Review Date: 12 April 2008</dc:description>
  <cp:lastModifiedBy>TPCMS</cp:lastModifiedBy>
  <cp:revision>3</cp:revision>
  <dcterms:created xsi:type="dcterms:W3CDTF">2013-08-14T07:20:00Z</dcterms:created>
  <dcterms:modified xsi:type="dcterms:W3CDTF">2013-08-14T07:20:00Z</dcterms:modified>
</cp:coreProperties>
</file>