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5EA" w:rsidP="00CB15EA">
      <w:pPr>
        <w:pStyle w:val="Title"/>
      </w:pPr>
      <w:r>
        <w:fldChar w:fldCharType="begin"/>
      </w:r>
      <w:r>
        <w:instrText xml:space="preserve"> TITLE   \* MERGEFORMAT </w:instrText>
      </w:r>
      <w:r>
        <w:fldChar w:fldCharType="separate"/>
      </w:r>
      <w:r>
        <w:t>UEENEEH140A Fault find and repair  sonar apparatus and systems</w:t>
      </w:r>
      <w:r>
        <w:fldChar w:fldCharType="end"/>
      </w:r>
    </w:p>
    <w:p w:rsidR="00CB15EA" w:rsidP="00CB15EA">
      <w:pPr>
        <w:pStyle w:val="Version"/>
        <w:sectPr w:rsidSect="004625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2515" w:rsidP="00462515">
      <w:pPr>
        <w:pStyle w:val="SuperHeading"/>
      </w:pPr>
      <w:r w:rsidRPr="00462515">
        <w:t>UEENEEH140A Fault find and repair  sonar apparatus and systems</w:t>
      </w:r>
    </w:p>
    <w:p w:rsidR="00000000" w:rsidRPr="00462515" w:rsidP="00462515">
      <w:pPr>
        <w:pStyle w:val="Heading1"/>
      </w:pPr>
      <w:bookmarkStart w:id="1" w:name="O_587662"/>
      <w:bookmarkEnd w:id="1"/>
      <w:r w:rsidRPr="00462515">
        <w:t>Modification History</w:t>
      </w:r>
    </w:p>
    <w:p w:rsidR="00000000" w:rsidRPr="00462515" w:rsidP="00462515">
      <w:pPr>
        <w:pStyle w:val="BodyText"/>
      </w:pPr>
      <w:r w:rsidRPr="00462515">
        <w:t>Not applicable.</w:t>
      </w:r>
    </w:p>
    <w:p w:rsidR="00000000" w:rsidRPr="00462515" w:rsidP="00462515">
      <w:pPr>
        <w:pStyle w:val="AllowPageBreak"/>
      </w:pPr>
    </w:p>
    <w:p w:rsidR="00000000" w:rsidRPr="00462515" w:rsidP="00462515">
      <w:pPr>
        <w:pStyle w:val="Heading1"/>
      </w:pPr>
      <w:bookmarkStart w:id="2" w:name="O_587661"/>
      <w:bookmarkEnd w:id="2"/>
      <w:r w:rsidRPr="00462515">
        <w:t>Unit Descriptor</w:t>
      </w:r>
    </w:p>
    <w:tbl>
      <w:tblPr>
        <w:tblW w:w="0" w:type="auto"/>
        <w:tblLayout w:type="fixed"/>
        <w:tblCellMar>
          <w:left w:w="62" w:type="dxa"/>
          <w:right w:w="62" w:type="dxa"/>
        </w:tblCellMar>
        <w:tblLook w:val="0000"/>
      </w:tblPr>
      <w:tblGrid>
        <w:gridCol w:w="2700"/>
        <w:gridCol w:w="5760"/>
      </w:tblGrid>
      <w:tr w:rsidTr="00CB1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1)</w:t>
            </w:r>
            <w:r w:rsidRPr="00462515">
              <w:t xml:space="preserve"> </w:t>
            </w:r>
            <w:r w:rsidRPr="00462515">
              <w:rPr>
                <w:rStyle w:val="SpecialBold"/>
              </w:rPr>
              <w:t>Scope:</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51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1.1) Descriptor</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This unit covers fault finding and the repair of faults in sonar apparatus and system. The unit encompasses safe working practices, interpreting diagrams, applying logical diagnostic methods and knowledge of sonar system components, rectifying faults, safe</w:t>
            </w:r>
            <w:r w:rsidRPr="00462515">
              <w:t>ty and functional testing and completing the necessary service documentation.</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3" w:name="O_587660"/>
      <w:bookmarkEnd w:id="3"/>
      <w:r w:rsidRPr="00462515">
        <w:t>Application of the Unit</w:t>
      </w:r>
    </w:p>
    <w:tbl>
      <w:tblPr>
        <w:tblW w:w="0" w:type="auto"/>
        <w:tblLayout w:type="fixed"/>
        <w:tblCellMar>
          <w:left w:w="62" w:type="dxa"/>
          <w:right w:w="62" w:type="dxa"/>
        </w:tblCellMar>
        <w:tblLook w:val="0000"/>
      </w:tblPr>
      <w:tblGrid>
        <w:gridCol w:w="2672"/>
        <w:gridCol w:w="5699"/>
      </w:tblGrid>
      <w:tr w:rsidTr="00CB15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2)</w:t>
            </w:r>
          </w:p>
        </w:tc>
      </w:tr>
      <w:tr w:rsidTr="00CB15E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This unit is intended as an additional competency to relevant competencies previously acquired. It is suitable for employment-based programs under an approved contract of training at the aligned AQF 4 level or higher.</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4" w:name="O_587659"/>
      <w:bookmarkEnd w:id="4"/>
      <w:r w:rsidRPr="00462515">
        <w:t>Licensing/Regulator</w:t>
      </w:r>
      <w:r w:rsidRPr="00462515">
        <w:t>y Information</w:t>
      </w:r>
    </w:p>
    <w:tbl>
      <w:tblPr>
        <w:tblW w:w="0" w:type="auto"/>
        <w:tblLayout w:type="fixed"/>
        <w:tblCellMar>
          <w:left w:w="62" w:type="dxa"/>
          <w:right w:w="62" w:type="dxa"/>
        </w:tblCellMar>
        <w:tblLook w:val="0000"/>
      </w:tblPr>
      <w:tblGrid>
        <w:gridCol w:w="2700"/>
        <w:gridCol w:w="5760"/>
      </w:tblGrid>
      <w:tr w:rsidTr="00CB1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 xml:space="preserve">3) </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The skills and knowledge described in this unit require a license to practice in the workplace where plant and equipment operate at voltage above 50 V a.c. or 120 V d.c. However other conditions may apply in some jur</w:t>
            </w:r>
            <w:r w:rsidRPr="00462515">
              <w:t xml:space="preserve">isdictions subject to regulations related to electrical work. Practice in the workplace and during training is also subject to regulations directly related to occupational </w:t>
            </w:r>
            <w:r w:rsidRPr="00462515">
              <w:t>health and safety and where applicable contracts of training such as apprenticeships</w:t>
            </w:r>
            <w:r w:rsidRPr="00462515">
              <w:t>.</w:t>
            </w:r>
          </w:p>
          <w:p w:rsidR="00000000" w:rsidRPr="00462515" w:rsidP="00462515">
            <w:pPr>
              <w:pStyle w:val="BodyText"/>
            </w:pPr>
            <w:r w:rsidRPr="00462515">
              <w:t xml:space="preserve">Note: </w:t>
            </w:r>
          </w:p>
          <w:p w:rsidR="00000000" w:rsidRPr="00462515" w:rsidP="00462515">
            <w:pPr>
              <w:pStyle w:val="BodyText"/>
            </w:pPr>
            <w:r w:rsidRPr="00462515">
              <w:t>1. Compliance with permits may be required in various jurisdictions and typically relates to the operation of plant, machinery and equipment such as elevating work platforms, powder operated fixing tools, power operated tools, vehicles, road signage and tr</w:t>
            </w:r>
            <w:r w:rsidRPr="00462515">
              <w:t>affic control, lifting equipment and the like. Permits may also be required for some work environments such as confined spaces, working aloft, near live electrical apparatus and site rehabilitation.</w:t>
            </w:r>
          </w:p>
          <w:p w:rsidR="00000000" w:rsidRPr="00462515" w:rsidP="00462515">
            <w:pPr>
              <w:pStyle w:val="BodyText"/>
            </w:pPr>
            <w:r w:rsidRPr="00462515">
              <w:t>2. Compliance may be required in various jurisdictions re</w:t>
            </w:r>
            <w:r w:rsidRPr="00462515">
              <w:t>lating to currency in First Aid, confined space, lifting and risk safety measures.</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5" w:name="O_587658"/>
      <w:bookmarkEnd w:id="5"/>
      <w:r w:rsidRPr="00462515">
        <w:t>Pre-Requisites</w:t>
      </w:r>
    </w:p>
    <w:tbl>
      <w:tblPr>
        <w:tblW w:w="0" w:type="auto"/>
        <w:tblLayout w:type="fixed"/>
        <w:tblCellMar>
          <w:left w:w="62" w:type="dxa"/>
          <w:right w:w="62" w:type="dxa"/>
        </w:tblCellMar>
        <w:tblLook w:val="0000"/>
      </w:tblPr>
      <w:tblGrid>
        <w:gridCol w:w="2700"/>
        <w:gridCol w:w="1440"/>
        <w:gridCol w:w="4320"/>
      </w:tblGrid>
      <w:tr w:rsidTr="00CB1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 xml:space="preserve">4) </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4.1)</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Granting competency in this unit shall be made only after competency in the following unit(s) has/have been confirmed.</w:t>
            </w:r>
          </w:p>
        </w:tc>
      </w:tr>
      <w:tr w:rsidTr="00CB15E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UEENEEH112A</w:t>
            </w:r>
          </w:p>
        </w:tc>
        <w:tc>
          <w:tcPr>
            <w:tcW w:w="432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Troubleshoot digital sub-systems</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 xml:space="preserve">UEENEEH113A </w:t>
            </w:r>
          </w:p>
        </w:tc>
        <w:tc>
          <w:tcPr>
            <w:tcW w:w="432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Troubleshoot amplifiers in an electronic apparatus</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UEENEEH115A</w:t>
            </w:r>
          </w:p>
        </w:tc>
        <w:tc>
          <w:tcPr>
            <w:tcW w:w="432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Develop software solutions for microcontroller based systems</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UEENEEH116A</w:t>
            </w:r>
          </w:p>
        </w:tc>
        <w:tc>
          <w:tcPr>
            <w:tcW w:w="432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Find and repair microwave amplifier section faults in electronic apparatus</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 xml:space="preserve">UEENEEH172A </w:t>
            </w:r>
          </w:p>
        </w:tc>
        <w:tc>
          <w:tcPr>
            <w:tcW w:w="432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Fault find and repair communication systems</w:t>
            </w:r>
          </w:p>
        </w:tc>
      </w:tr>
    </w:tbl>
    <w:p w:rsidR="00000000" w:rsidRPr="00462515" w:rsidP="0046251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B15E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 xml:space="preserve">4.2) </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Participants are best equipped to achieve competency in this unit if they have reading, writing and numeracy skills indicated by the following scales. Description of each scale is given in Volume 2, Part 3 ‘Literacy and Numeracy’</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Reading</w:t>
            </w:r>
          </w:p>
        </w:tc>
        <w:tc>
          <w:tcPr>
            <w:tcW w:w="81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4</w:t>
            </w:r>
          </w:p>
        </w:tc>
        <w:tc>
          <w:tcPr>
            <w:tcW w:w="99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Writing</w:t>
            </w:r>
          </w:p>
        </w:tc>
        <w:tc>
          <w:tcPr>
            <w:tcW w:w="90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4</w:t>
            </w:r>
          </w:p>
        </w:tc>
        <w:tc>
          <w:tcPr>
            <w:tcW w:w="12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Numeracy</w:t>
            </w:r>
          </w:p>
        </w:tc>
        <w:tc>
          <w:tcPr>
            <w:tcW w:w="72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4</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6" w:name="O_587657"/>
      <w:bookmarkEnd w:id="6"/>
      <w:r w:rsidRPr="00462515">
        <w:t>Employability Skills Information</w:t>
      </w:r>
    </w:p>
    <w:tbl>
      <w:tblPr>
        <w:tblW w:w="0" w:type="auto"/>
        <w:tblLayout w:type="fixed"/>
        <w:tblCellMar>
          <w:left w:w="62" w:type="dxa"/>
          <w:right w:w="62" w:type="dxa"/>
        </w:tblCellMar>
        <w:tblLook w:val="0000"/>
      </w:tblPr>
      <w:tblGrid>
        <w:gridCol w:w="2700"/>
        <w:gridCol w:w="5760"/>
      </w:tblGrid>
      <w:tr w:rsidTr="00CB1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 xml:space="preserve">5) </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This unit contains Employability Skills</w:t>
            </w:r>
          </w:p>
          <w:p w:rsidR="00000000" w:rsidRPr="00462515" w:rsidP="00462515">
            <w:pPr>
              <w:pStyle w:val="BodyText"/>
            </w:pPr>
            <w:r w:rsidRPr="0046251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62515">
              <w:t>requirements.</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7" w:name="O_587656"/>
      <w:bookmarkEnd w:id="7"/>
      <w:r w:rsidRPr="00462515">
        <w:t>Elements and Performance Criteria Pre-Content</w:t>
      </w:r>
    </w:p>
    <w:tbl>
      <w:tblPr>
        <w:tblW w:w="0" w:type="auto"/>
        <w:tblLayout w:type="fixed"/>
        <w:tblCellMar>
          <w:left w:w="62" w:type="dxa"/>
          <w:right w:w="62" w:type="dxa"/>
        </w:tblCellMar>
        <w:tblLook w:val="0000"/>
      </w:tblPr>
      <w:tblGrid>
        <w:gridCol w:w="2700"/>
        <w:gridCol w:w="5760"/>
      </w:tblGrid>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6)</w:t>
            </w:r>
            <w:r w:rsidRPr="0046251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Performance Criteria describe the required performance needed to demonstrate achievement of the element. Assessment of performance is to be consistent with the Evidence Guide.</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8" w:name="O_587655"/>
      <w:bookmarkEnd w:id="8"/>
      <w:r w:rsidRPr="00462515">
        <w:t>Elements and Performance Criteria</w:t>
      </w:r>
    </w:p>
    <w:tbl>
      <w:tblPr>
        <w:tblW w:w="0" w:type="auto"/>
        <w:tblLayout w:type="fixed"/>
        <w:tblCellMar>
          <w:left w:w="62" w:type="dxa"/>
          <w:right w:w="62" w:type="dxa"/>
        </w:tblCellMar>
        <w:tblLook w:val="0000"/>
      </w:tblPr>
      <w:tblGrid>
        <w:gridCol w:w="341"/>
        <w:gridCol w:w="2212"/>
        <w:gridCol w:w="147"/>
        <w:gridCol w:w="704"/>
        <w:gridCol w:w="4593"/>
        <w:gridCol w:w="463"/>
      </w:tblGrid>
      <w:tr w:rsidTr="00CB15EA">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PERFORMANCE CRITE</w:t>
            </w:r>
            <w:r w:rsidRPr="00462515">
              <w:rPr>
                <w:rStyle w:val="SpecialBold"/>
              </w:rPr>
              <w:t>RIA</w:t>
            </w:r>
          </w:p>
        </w:tc>
      </w:tr>
      <w:tr w:rsidTr="00CB15EA">
        <w:tblPrEx>
          <w:tblW w:w="0" w:type="auto"/>
          <w:tblLayout w:type="fixed"/>
          <w:tblCellMar>
            <w:left w:w="62" w:type="dxa"/>
            <w:right w:w="62" w:type="dxa"/>
          </w:tblCellMar>
          <w:tblLook w:val="0000"/>
        </w:tblPrEx>
        <w:trPr>
          <w:gridAfter w:val="1"/>
          <w:wAfter w:w="463" w:type="dxa"/>
          <w:trHeight w:val="686"/>
        </w:trPr>
        <w:tc>
          <w:tcPr>
            <w:tcW w:w="341"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w:t>
            </w:r>
          </w:p>
        </w:tc>
        <w:tc>
          <w:tcPr>
            <w:tcW w:w="2212" w:type="dxa"/>
            <w:vMerge w:val="restart"/>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Prepare to fault find and repair faults.</w:t>
            </w: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1.1</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 xml:space="preserve">OHS procedures for a given work area are identified, obtained and understood.  </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1.2</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Established OHS risk control measures and procedures are followed in preparation for the work.</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1.3</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Safety hazards that have not previously been identified are documented and risk control measures devised and implemented in consultation with appropriate personnel.</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1.4</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The extent of faults is determined from reports and other documentation and fro dis</w:t>
            </w:r>
            <w:r w:rsidRPr="00462515">
              <w:t>cussion with appropriate personnel.</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1.5</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Appropriate personnel are consulted to ensure the work is co-ordinated effectively with others involved on the work site.</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1.6</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Tools, equipment and testing devices needed to diagnose faults are obtained in accordance with established procedures and checked for correct operation and safety.</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w:t>
            </w:r>
          </w:p>
        </w:tc>
        <w:tc>
          <w:tcPr>
            <w:tcW w:w="2212" w:type="dxa"/>
            <w:vMerge w:val="restart"/>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Fault find and repair</w:t>
            </w: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2.1</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 xml:space="preserve">OHS risk control measures and procedures for carrying out the </w:t>
            </w:r>
            <w:r w:rsidRPr="00462515">
              <w:t>work are followed.</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2.2</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The need to test or measure live is determined in strict accordance with OHS requirements and when necessary conducted within established safety procedures.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2.3</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Circuits/machines/plant are checked as being isolated where necessary in strict accordance OHS requirements and procedures.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2.4</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Logical diagnostic methods are applied to diagnose sonar apparatus and system faults employing measurements and estimations of system operating parameters referenced to system operational requirements.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2.5</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 xml:space="preserve">Suspected fault scenarios are tested as being </w:t>
            </w:r>
            <w:r w:rsidRPr="00462515">
              <w:t>the source of system problems.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2.6</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Source of the fault is identified and appropriately competent persons are engaged to rectify the fault where it is outside the scope of electronics.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2.7</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Faults in the electronic components of the system are rectified to raise sonar apparatus and system to its operation standard.</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2.8</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System is tested to verify that the system operates as intended and to specified requirements.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2.9</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Decisions for deal</w:t>
            </w:r>
            <w:r w:rsidRPr="00462515">
              <w:t>ing with unexpected situations are made from discussions with appropriate persons and job specifications and requirements.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2.10</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Methods for dealing with unexpected situations are selected on the basis of safety and specified work outcomes.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2.11</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Diagnosis and rectification activities are carried out efficiently without waste of materials or damage to apparatus and the surrounding environment or services and using sustainable energy practices.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3</w:t>
            </w:r>
          </w:p>
        </w:tc>
        <w:tc>
          <w:tcPr>
            <w:tcW w:w="2212"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Complete and report fault find and repair activities</w:t>
            </w:r>
            <w:r w:rsidRPr="00462515">
              <w:t>.</w:t>
            </w: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3.1</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OHS work completion risk control measures and procedures are followed.</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3.2</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Work site is made safe in accordance with established safety procedures.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3.3</w:t>
            </w:r>
          </w:p>
        </w:tc>
        <w:tc>
          <w:tcPr>
            <w:tcW w:w="4593"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Rectification of faults is documented in accordance with established procedures.</w:t>
            </w:r>
          </w:p>
        </w:tc>
      </w:tr>
      <w:tr w:rsidTr="00CB15EA">
        <w:tblPrEx>
          <w:tblW w:w="0" w:type="auto"/>
          <w:tblLayout w:type="fixed"/>
          <w:tblCellMar>
            <w:left w:w="62" w:type="dxa"/>
            <w:right w:w="62" w:type="dxa"/>
          </w:tblCellMar>
          <w:tblLook w:val="0000"/>
        </w:tblPrEx>
        <w:trPr>
          <w:gridAfter w:val="1"/>
          <w:wAfter w:w="463" w:type="dxa"/>
        </w:trPr>
        <w:tc>
          <w:tcPr>
            <w:tcW w:w="3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3.4</w:t>
            </w:r>
          </w:p>
        </w:tc>
        <w:tc>
          <w:tcPr>
            <w:tcW w:w="4593"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 xml:space="preserve">Appropriate person or persons notified, in accordance with established procedures, that the system faults have been rectified. </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9" w:name="O_587654"/>
      <w:bookmarkEnd w:id="9"/>
      <w:r w:rsidRPr="00462515">
        <w:t>Required Skills and Knowledge</w:t>
      </w:r>
    </w:p>
    <w:tbl>
      <w:tblPr>
        <w:tblW w:w="0" w:type="auto"/>
        <w:tblLayout w:type="fixed"/>
        <w:tblCellMar>
          <w:left w:w="62" w:type="dxa"/>
          <w:right w:w="62" w:type="dxa"/>
        </w:tblCellMar>
        <w:tblLook w:val="0000"/>
      </w:tblPr>
      <w:tblGrid>
        <w:gridCol w:w="8460"/>
      </w:tblGrid>
      <w:tr w:rsidTr="00CB15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REQUIRED SKILLS AND KNOWLEDGE</w:t>
            </w:r>
          </w:p>
        </w:tc>
      </w:tr>
      <w:tr w:rsidTr="00CB15E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8)</w:t>
            </w:r>
            <w:r w:rsidRPr="00462515">
              <w:t xml:space="preserve"> This describes the essential skills and knowledge and their level, required for this unit.</w:t>
            </w:r>
          </w:p>
          <w:p w:rsidR="00000000" w:rsidRPr="00462515" w:rsidP="00462515">
            <w:pPr>
              <w:pStyle w:val="BodyText"/>
            </w:pPr>
            <w:r w:rsidRPr="00462515">
              <w:t>Evidence shall show that knowledge has been acquired of safe working practices and fault find and repairing sonar apparatus and systems.</w:t>
            </w:r>
          </w:p>
          <w:p w:rsidR="00000000" w:rsidRPr="00462515" w:rsidP="00462515">
            <w:pPr>
              <w:pStyle w:val="BodyText"/>
            </w:pPr>
            <w:r w:rsidRPr="00462515">
              <w:t>All knowledge and skills de</w:t>
            </w:r>
            <w:r w:rsidRPr="00462515">
              <w:t>tailed in this unit should be contextualised to current industry practices and technologies.</w:t>
            </w:r>
          </w:p>
          <w:p w:rsidR="00000000" w:rsidRPr="00462515" w:rsidP="00462515">
            <w:pPr>
              <w:pStyle w:val="BodyText"/>
            </w:pPr>
            <w:r w:rsidRPr="00462515">
              <w:rPr>
                <w:rStyle w:val="SpecialBold"/>
              </w:rPr>
              <w:t>KS01-EH140A</w:t>
            </w:r>
            <w:r w:rsidRPr="00462515">
              <w:rPr>
                <w:rStyle w:val="SpecialBold"/>
              </w:rPr>
              <w:tab/>
              <w:t xml:space="preserve">              Sonar apparatus and system fault finding and repair</w:t>
            </w:r>
          </w:p>
          <w:p w:rsidR="00000000" w:rsidRPr="00462515" w:rsidP="00462515">
            <w:pPr>
              <w:pStyle w:val="BodyText"/>
            </w:pPr>
            <w:r w:rsidRPr="00462515">
              <w:t>Evidence shall show an understanding of sonar apparatus and systems fault finding and</w:t>
            </w:r>
            <w:r w:rsidRPr="00462515">
              <w:t xml:space="preserve"> repair, applying safe working practices and relevant Standards Codes and Regulations to an extent indicated by the following aspects:</w:t>
            </w:r>
          </w:p>
          <w:p w:rsidR="00000000" w:rsidRPr="00462515" w:rsidP="00462515">
            <w:pPr>
              <w:pStyle w:val="BodyText"/>
            </w:pPr>
            <w:r w:rsidRPr="00462515">
              <w:t>T1.</w:t>
            </w:r>
            <w:r w:rsidRPr="00462515">
              <w:tab/>
              <w:t>Electronic communications, sonar system operating principles</w:t>
            </w:r>
          </w:p>
          <w:p w:rsidR="00000000" w:rsidRPr="00462515" w:rsidP="00462515">
            <w:pPr>
              <w:pStyle w:val="ListBullet"/>
            </w:pPr>
            <w:r w:rsidRPr="00462515">
              <w:t>The purpose and application of sonar systems</w:t>
            </w:r>
          </w:p>
          <w:p w:rsidR="00000000" w:rsidRPr="00462515" w:rsidP="00462515">
            <w:pPr>
              <w:pStyle w:val="ListBullet"/>
            </w:pPr>
            <w:r w:rsidRPr="00462515">
              <w:t>Sonar equipment encompassing:</w:t>
            </w:r>
          </w:p>
          <w:p w:rsidR="00000000" w:rsidRPr="00462515" w:rsidP="00462515">
            <w:pPr>
              <w:pStyle w:val="ListBullet2"/>
            </w:pPr>
            <w:r w:rsidRPr="00462515">
              <w:t>Types and their applications</w:t>
            </w:r>
          </w:p>
          <w:p w:rsidR="00000000" w:rsidRPr="00462515" w:rsidP="00462515">
            <w:pPr>
              <w:pStyle w:val="ListBullet"/>
            </w:pPr>
            <w:r w:rsidRPr="00462515">
              <w:t>Sub-system components (i.e. functional blocks) and their function encompassing:</w:t>
            </w:r>
          </w:p>
          <w:p w:rsidR="00000000" w:rsidRPr="00462515" w:rsidP="00462515">
            <w:pPr>
              <w:pStyle w:val="ListBullet2"/>
            </w:pPr>
            <w:r w:rsidRPr="00462515">
              <w:t>Transducer</w:t>
            </w:r>
          </w:p>
          <w:p w:rsidR="00000000" w:rsidRPr="00462515" w:rsidP="00462515">
            <w:pPr>
              <w:pStyle w:val="ListBullet2"/>
            </w:pPr>
            <w:r w:rsidRPr="00462515">
              <w:t>Input amplifier</w:t>
            </w:r>
          </w:p>
          <w:p w:rsidR="00000000" w:rsidRPr="00462515" w:rsidP="00462515">
            <w:pPr>
              <w:pStyle w:val="ListBullet2"/>
            </w:pPr>
            <w:r w:rsidRPr="00462515">
              <w:t>Sonar interface unit</w:t>
            </w:r>
          </w:p>
          <w:p w:rsidR="00000000" w:rsidRPr="00462515" w:rsidP="00462515">
            <w:pPr>
              <w:pStyle w:val="ListBullet2"/>
            </w:pPr>
            <w:r w:rsidRPr="00462515">
              <w:t>Beam forming network (transmit / receive)</w:t>
            </w:r>
          </w:p>
          <w:p w:rsidR="00000000" w:rsidRPr="00462515" w:rsidP="00462515">
            <w:pPr>
              <w:pStyle w:val="ListBullet2"/>
            </w:pPr>
            <w:r w:rsidRPr="00462515">
              <w:t>Signal processing</w:t>
            </w:r>
          </w:p>
          <w:p w:rsidR="00000000" w:rsidRPr="00462515" w:rsidP="00462515">
            <w:pPr>
              <w:pStyle w:val="ListBullet2"/>
            </w:pPr>
            <w:r w:rsidRPr="00462515">
              <w:t>Own Do</w:t>
            </w:r>
            <w:r w:rsidRPr="00462515">
              <w:t>ppler nullification</w:t>
            </w:r>
          </w:p>
          <w:p w:rsidR="00000000" w:rsidRPr="00462515" w:rsidP="00462515">
            <w:pPr>
              <w:pStyle w:val="ListBullet2"/>
            </w:pPr>
            <w:r w:rsidRPr="00462515">
              <w:t>Display system</w:t>
            </w:r>
          </w:p>
          <w:p w:rsidR="00000000" w:rsidRPr="00462515" w:rsidP="00462515">
            <w:pPr>
              <w:pStyle w:val="ListBullet2"/>
            </w:pPr>
            <w:r w:rsidRPr="00462515">
              <w:t>Headset</w:t>
            </w:r>
          </w:p>
          <w:p w:rsidR="00000000" w:rsidRPr="00462515" w:rsidP="00462515">
            <w:pPr>
              <w:pStyle w:val="ListBullet2"/>
            </w:pPr>
            <w:r w:rsidRPr="00462515">
              <w:t>Interfaces</w:t>
            </w:r>
          </w:p>
          <w:p w:rsidR="00000000" w:rsidRPr="00462515" w:rsidP="00462515">
            <w:pPr>
              <w:pStyle w:val="ListBullet2"/>
            </w:pPr>
            <w:r w:rsidRPr="00462515">
              <w:t>Transmitter</w:t>
            </w:r>
          </w:p>
          <w:p w:rsidR="00000000" w:rsidRPr="00462515" w:rsidP="00462515">
            <w:pPr>
              <w:pStyle w:val="ListBullet2"/>
            </w:pPr>
            <w:r w:rsidRPr="00462515">
              <w:t>T/R Switch</w:t>
            </w:r>
          </w:p>
          <w:p w:rsidR="00000000" w:rsidRPr="00462515" w:rsidP="00462515">
            <w:pPr>
              <w:pStyle w:val="ListBullet2"/>
            </w:pPr>
            <w:r w:rsidRPr="00462515">
              <w:t>Timer/Timing</w:t>
            </w:r>
          </w:p>
          <w:p w:rsidR="00000000" w:rsidRPr="00462515" w:rsidP="00462515">
            <w:pPr>
              <w:pStyle w:val="ListBullet"/>
            </w:pPr>
            <w:r w:rsidRPr="00462515">
              <w:t xml:space="preserve">Sonar operating parameters </w:t>
            </w:r>
          </w:p>
          <w:p w:rsidR="00000000" w:rsidRPr="00462515" w:rsidP="00462515">
            <w:pPr>
              <w:pStyle w:val="ListBullet"/>
            </w:pPr>
            <w:r w:rsidRPr="00462515">
              <w:t>Sonar transmission characteristics</w:t>
            </w:r>
          </w:p>
          <w:p w:rsidR="00000000" w:rsidRPr="00462515" w:rsidP="00462515">
            <w:pPr>
              <w:pStyle w:val="BodyText"/>
            </w:pPr>
            <w:r w:rsidRPr="00462515">
              <w:t>T2.</w:t>
            </w:r>
            <w:r w:rsidRPr="00462515">
              <w:tab/>
              <w:t>Electronic communications, sonar transducers and arrays</w:t>
            </w:r>
          </w:p>
          <w:p w:rsidR="00000000" w:rsidRPr="00462515" w:rsidP="00462515">
            <w:pPr>
              <w:pStyle w:val="ListBullet"/>
            </w:pPr>
            <w:r w:rsidRPr="00462515">
              <w:t>Hazards and risk control measures</w:t>
            </w:r>
          </w:p>
          <w:p w:rsidR="00000000" w:rsidRPr="00462515" w:rsidP="00462515">
            <w:pPr>
              <w:pStyle w:val="ListBullet"/>
            </w:pPr>
            <w:r w:rsidRPr="00462515">
              <w:t>Transducer types, their operating principles and parameters</w:t>
            </w:r>
          </w:p>
          <w:p w:rsidR="00000000" w:rsidRPr="00462515" w:rsidP="00462515">
            <w:pPr>
              <w:pStyle w:val="ListBullet"/>
            </w:pPr>
            <w:r w:rsidRPr="00462515">
              <w:t>Transducer array encompassing:</w:t>
            </w:r>
          </w:p>
          <w:p w:rsidR="00000000" w:rsidRPr="00462515" w:rsidP="00462515">
            <w:pPr>
              <w:pStyle w:val="ListBullet2"/>
            </w:pPr>
            <w:r w:rsidRPr="00462515">
              <w:t>Types and their construction</w:t>
            </w:r>
          </w:p>
          <w:p w:rsidR="00000000" w:rsidRPr="00462515" w:rsidP="00462515">
            <w:pPr>
              <w:pStyle w:val="ListBullet2"/>
            </w:pPr>
            <w:r w:rsidRPr="00462515">
              <w:t xml:space="preserve">Applications </w:t>
            </w:r>
          </w:p>
          <w:p w:rsidR="00000000" w:rsidRPr="00462515" w:rsidP="00462515">
            <w:pPr>
              <w:pStyle w:val="ListBullet"/>
            </w:pPr>
            <w:r w:rsidRPr="00462515">
              <w:t>Transducer hull outfits</w:t>
            </w:r>
          </w:p>
          <w:p w:rsidR="00000000" w:rsidRPr="00462515" w:rsidP="00462515">
            <w:pPr>
              <w:pStyle w:val="ListBullet"/>
            </w:pPr>
            <w:r w:rsidRPr="00462515">
              <w:t>Beam forming principles and requirements</w:t>
            </w:r>
          </w:p>
          <w:p w:rsidR="00000000" w:rsidRPr="00462515" w:rsidP="00462515">
            <w:pPr>
              <w:pStyle w:val="ListBullet"/>
            </w:pPr>
            <w:r w:rsidRPr="00462515">
              <w:t>Transducer installation and operational maintenance</w:t>
            </w:r>
            <w:r w:rsidRPr="00462515">
              <w:tab/>
            </w:r>
          </w:p>
          <w:p w:rsidR="00000000" w:rsidRPr="00462515" w:rsidP="00462515">
            <w:pPr>
              <w:pStyle w:val="BodyText"/>
            </w:pPr>
            <w:r w:rsidRPr="00462515">
              <w:t>T3.</w:t>
            </w:r>
            <w:r w:rsidRPr="00462515">
              <w:tab/>
              <w:t>Electronic communications, sonar measurement and set up</w:t>
            </w:r>
          </w:p>
          <w:p w:rsidR="00000000" w:rsidRPr="00462515" w:rsidP="00462515">
            <w:pPr>
              <w:pStyle w:val="ListBullet"/>
            </w:pPr>
            <w:r w:rsidRPr="00462515">
              <w:t>Sonar parameters and measurements</w:t>
            </w:r>
          </w:p>
          <w:p w:rsidR="00000000" w:rsidRPr="00462515" w:rsidP="00462515">
            <w:pPr>
              <w:pStyle w:val="ListBullet"/>
            </w:pPr>
            <w:r w:rsidRPr="00462515">
              <w:t>Sonar physical parameters</w:t>
            </w:r>
          </w:p>
          <w:p w:rsidR="00000000" w:rsidRPr="00462515" w:rsidP="00462515">
            <w:pPr>
              <w:pStyle w:val="ListBullet"/>
            </w:pPr>
            <w:r w:rsidRPr="00462515">
              <w:t>Constraints and Consequences</w:t>
            </w:r>
          </w:p>
          <w:p w:rsidR="00000000" w:rsidRPr="00462515" w:rsidP="00462515">
            <w:pPr>
              <w:pStyle w:val="BodyText"/>
            </w:pPr>
            <w:r w:rsidRPr="00462515">
              <w:t>T4.</w:t>
            </w:r>
            <w:r w:rsidRPr="00462515">
              <w:tab/>
              <w:t>Electronic communications, radar and sonar displays devices</w:t>
            </w:r>
          </w:p>
          <w:p w:rsidR="00000000" w:rsidRPr="00462515" w:rsidP="00462515">
            <w:pPr>
              <w:pStyle w:val="ListBullet"/>
            </w:pPr>
            <w:r w:rsidRPr="00462515">
              <w:t>Types and their applications - CRT, Plasm</w:t>
            </w:r>
            <w:r w:rsidRPr="00462515">
              <w:t>a, LCD, Monochrome, Colour, and Touch screen.</w:t>
            </w:r>
          </w:p>
          <w:p w:rsidR="00000000" w:rsidRPr="00462515" w:rsidP="00462515">
            <w:pPr>
              <w:pStyle w:val="ListBullet"/>
            </w:pPr>
            <w:r w:rsidRPr="00462515">
              <w:t>Sub-system components (i.e. functional blocks) and their operating parameters encompassing:</w:t>
            </w:r>
          </w:p>
          <w:p w:rsidR="00000000" w:rsidRPr="00462515" w:rsidP="00462515">
            <w:pPr>
              <w:pStyle w:val="ListBullet2"/>
            </w:pPr>
            <w:r w:rsidRPr="00462515">
              <w:t>EHT transformers</w:t>
            </w:r>
          </w:p>
          <w:p w:rsidR="00000000" w:rsidRPr="00462515" w:rsidP="00462515">
            <w:pPr>
              <w:pStyle w:val="ListBullet2"/>
            </w:pPr>
            <w:r w:rsidRPr="00462515">
              <w:t>detectors</w:t>
            </w:r>
          </w:p>
          <w:p w:rsidR="00000000" w:rsidRPr="00462515" w:rsidP="00462515">
            <w:pPr>
              <w:pStyle w:val="ListBullet2"/>
            </w:pPr>
            <w:r w:rsidRPr="00462515">
              <w:t>video distribution</w:t>
            </w:r>
          </w:p>
          <w:p w:rsidR="00000000" w:rsidRPr="00462515" w:rsidP="00462515">
            <w:pPr>
              <w:pStyle w:val="ListBullet2"/>
            </w:pPr>
            <w:r w:rsidRPr="00462515">
              <w:t>time base generators</w:t>
            </w:r>
          </w:p>
          <w:p w:rsidR="00000000" w:rsidRPr="00462515" w:rsidP="00462515">
            <w:pPr>
              <w:pStyle w:val="ListBullet2"/>
            </w:pPr>
            <w:r w:rsidRPr="00462515">
              <w:t>phase locked loops</w:t>
            </w:r>
          </w:p>
          <w:p w:rsidR="00000000" w:rsidRPr="00462515" w:rsidP="00462515">
            <w:pPr>
              <w:pStyle w:val="ListBullet2"/>
            </w:pPr>
            <w:r w:rsidRPr="00462515">
              <w:t>microprocessors</w:t>
            </w:r>
          </w:p>
          <w:p w:rsidR="00000000" w:rsidRPr="00462515" w:rsidP="00462515">
            <w:pPr>
              <w:pStyle w:val="ListBullet2"/>
            </w:pPr>
            <w:r w:rsidRPr="00462515">
              <w:t>memory devices</w:t>
            </w:r>
          </w:p>
          <w:p w:rsidR="00000000" w:rsidRPr="00462515" w:rsidP="00462515">
            <w:pPr>
              <w:pStyle w:val="ListBullet2"/>
            </w:pPr>
            <w:r w:rsidRPr="00462515">
              <w:t>demodulators</w:t>
            </w:r>
          </w:p>
          <w:p w:rsidR="00000000" w:rsidRPr="00462515" w:rsidP="00462515">
            <w:pPr>
              <w:pStyle w:val="ListBullet2"/>
            </w:pPr>
            <w:r w:rsidRPr="00462515">
              <w:t>focusing/deflection devices</w:t>
            </w:r>
          </w:p>
          <w:p w:rsidR="00000000" w:rsidRPr="00462515" w:rsidP="00462515">
            <w:pPr>
              <w:pStyle w:val="ListBullet2"/>
            </w:pPr>
            <w:r w:rsidRPr="00462515">
              <w:t>delay lines</w:t>
            </w:r>
          </w:p>
          <w:p w:rsidR="00000000" w:rsidRPr="00462515" w:rsidP="00462515">
            <w:pPr>
              <w:pStyle w:val="ListBullet2"/>
            </w:pPr>
            <w:r w:rsidRPr="00462515">
              <w:t>bleed resistors</w:t>
            </w:r>
          </w:p>
          <w:p w:rsidR="00000000" w:rsidRPr="00462515" w:rsidP="00462515">
            <w:pPr>
              <w:pStyle w:val="ListBullet2"/>
            </w:pPr>
            <w:r w:rsidRPr="00462515">
              <w:t xml:space="preserve">HV generation </w:t>
            </w:r>
          </w:p>
          <w:p w:rsidR="00000000" w:rsidRPr="00462515" w:rsidP="00462515">
            <w:pPr>
              <w:pStyle w:val="ListBullet"/>
            </w:pPr>
            <w:r w:rsidRPr="00462515">
              <w:t>Calibration testing and maintenance procedures</w:t>
            </w:r>
          </w:p>
          <w:p w:rsidR="00000000" w:rsidRPr="00462515" w:rsidP="00462515">
            <w:pPr>
              <w:pStyle w:val="ListBullet"/>
            </w:pPr>
            <w:r w:rsidRPr="00462515">
              <w:t>Typical fault finding, their symptoms and cause</w:t>
            </w:r>
          </w:p>
          <w:p w:rsidR="00000000" w:rsidRPr="00462515" w:rsidP="00462515">
            <w:pPr>
              <w:pStyle w:val="BodyText"/>
            </w:pPr>
            <w:r w:rsidRPr="00462515">
              <w:t>T5.</w:t>
            </w:r>
            <w:r w:rsidRPr="00462515">
              <w:tab/>
              <w:t>Advanced electronic (sonar) testing and measuring devices and techniques</w:t>
            </w:r>
          </w:p>
          <w:p w:rsidR="00000000" w:rsidRPr="00462515" w:rsidP="00462515">
            <w:pPr>
              <w:pStyle w:val="ListBullet"/>
            </w:pPr>
            <w:r w:rsidRPr="00462515">
              <w:t>Test/measuring devices and their application - frequency counters, and synthesisers, spectrum analysers, noise and distortion meters and RF communications service monitor.</w:t>
            </w:r>
          </w:p>
          <w:p w:rsidR="00000000" w:rsidRPr="00462515" w:rsidP="00462515">
            <w:pPr>
              <w:pStyle w:val="ListBullet"/>
            </w:pPr>
            <w:r w:rsidRPr="00462515">
              <w:t>Connection of test/measuring devices into a circuit encompassing:</w:t>
            </w:r>
          </w:p>
          <w:p w:rsidR="00000000" w:rsidRPr="00462515" w:rsidP="00462515">
            <w:pPr>
              <w:pStyle w:val="ListBullet2"/>
            </w:pPr>
            <w:r w:rsidRPr="00462515">
              <w:t>safety procedures</w:t>
            </w:r>
          </w:p>
          <w:p w:rsidR="00000000" w:rsidRPr="00462515" w:rsidP="00462515">
            <w:pPr>
              <w:pStyle w:val="ListBullet2"/>
            </w:pPr>
            <w:r w:rsidRPr="00462515">
              <w:t>loading and matching</w:t>
            </w:r>
          </w:p>
          <w:p w:rsidR="00000000" w:rsidRPr="00462515" w:rsidP="00462515">
            <w:pPr>
              <w:pStyle w:val="ListBullet2"/>
            </w:pPr>
            <w:r w:rsidRPr="00462515">
              <w:t>storage and delay</w:t>
            </w:r>
          </w:p>
          <w:p w:rsidR="00000000" w:rsidRPr="00462515" w:rsidP="00462515">
            <w:pPr>
              <w:pStyle w:val="ListBullet2"/>
            </w:pPr>
            <w:r w:rsidRPr="00462515">
              <w:t>circuit arrangement of test/measuring devices</w:t>
            </w:r>
          </w:p>
          <w:p w:rsidR="00000000" w:rsidRPr="00462515" w:rsidP="00462515">
            <w:pPr>
              <w:pStyle w:val="ListBullet"/>
            </w:pPr>
            <w:r w:rsidRPr="00462515">
              <w:t>Taking and interpreting readings</w:t>
            </w:r>
          </w:p>
          <w:p w:rsidR="00000000" w:rsidRPr="00462515" w:rsidP="00462515">
            <w:pPr>
              <w:pStyle w:val="ListBullet"/>
            </w:pPr>
            <w:r w:rsidRPr="00462515">
              <w:t>Notion of decibels including dBm, dBr, dBu, dBo</w:t>
            </w:r>
          </w:p>
          <w:p w:rsidR="00000000" w:rsidRPr="00462515" w:rsidP="00462515">
            <w:pPr>
              <w:pStyle w:val="BodyText"/>
            </w:pPr>
            <w:r w:rsidRPr="00462515">
              <w:t>T6.</w:t>
            </w:r>
            <w:r w:rsidRPr="00462515">
              <w:tab/>
              <w:t>Fault finding and repair</w:t>
            </w:r>
          </w:p>
          <w:p w:rsidR="00000000" w:rsidRPr="00462515" w:rsidP="00462515">
            <w:pPr>
              <w:pStyle w:val="ListBullet"/>
            </w:pPr>
            <w:r w:rsidRPr="00462515">
              <w:t>Typical faults, their symptoms and cause</w:t>
            </w:r>
          </w:p>
          <w:p w:rsidR="00000000" w:rsidRPr="00462515" w:rsidP="00462515">
            <w:pPr>
              <w:pStyle w:val="ListBullet"/>
            </w:pPr>
            <w:r w:rsidRPr="00462515">
              <w:t>Fault diagnosis procedures and testing</w:t>
            </w:r>
          </w:p>
          <w:p w:rsidR="00000000" w:rsidRPr="00462515" w:rsidP="00462515">
            <w:pPr>
              <w:pStyle w:val="ListBullet"/>
            </w:pPr>
            <w:r w:rsidRPr="00462515">
              <w:t>Component replacement</w:t>
            </w:r>
          </w:p>
          <w:p w:rsidR="00000000" w:rsidRPr="00462515" w:rsidP="00462515">
            <w:pPr>
              <w:pStyle w:val="ListBullet"/>
            </w:pPr>
            <w:r w:rsidRPr="00462515">
              <w:t>Equipment adjustments</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10" w:name="O_587653"/>
      <w:bookmarkEnd w:id="10"/>
      <w:r w:rsidRPr="00462515">
        <w:t>Evidence Guide</w:t>
      </w:r>
    </w:p>
    <w:tbl>
      <w:tblPr>
        <w:tblW w:w="0" w:type="auto"/>
        <w:tblLayout w:type="fixed"/>
        <w:tblCellMar>
          <w:left w:w="62" w:type="dxa"/>
          <w:right w:w="62" w:type="dxa"/>
        </w:tblCellMar>
        <w:tblLook w:val="0000"/>
      </w:tblPr>
      <w:tblGrid>
        <w:gridCol w:w="8460"/>
      </w:tblGrid>
      <w:tr w:rsidTr="00CB15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EVIDENCE GUIDE</w:t>
            </w:r>
          </w:p>
        </w:tc>
      </w:tr>
      <w:tr w:rsidTr="00CB15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9)</w:t>
            </w:r>
            <w:r w:rsidRPr="00462515">
              <w:t xml:space="preserve"> The evidence guide provides advice on assessment and must be read in conjunction with the Performance </w:t>
            </w:r>
            <w:r w:rsidRPr="00462515">
              <w:t>Criteria, Required Skills and Knowledge, the Range Statement and the Assessment Guidelines for this Training Package. .</w:t>
            </w:r>
          </w:p>
          <w:p w:rsidR="00000000" w:rsidRPr="00462515" w:rsidP="00462515">
            <w:pPr>
              <w:pStyle w:val="BodyText"/>
            </w:pPr>
            <w:r w:rsidRPr="00462515">
              <w:t>The Evidence Guide forms an integral part of this unit. It must be used in conjunction with all parts of the unit and performed in accor</w:t>
            </w:r>
            <w:r w:rsidRPr="00462515">
              <w:t>dance with the Assessment Guidelines of this Training Package.</w:t>
            </w:r>
          </w:p>
        </w:tc>
      </w:tr>
    </w:tbl>
    <w:p w:rsidR="00000000" w:rsidRPr="00462515" w:rsidP="00462515">
      <w:pPr>
        <w:pStyle w:val="BodyText"/>
      </w:pPr>
    </w:p>
    <w:tbl>
      <w:tblPr>
        <w:tblW w:w="0" w:type="auto"/>
        <w:tblLayout w:type="fixed"/>
        <w:tblCellMar>
          <w:left w:w="62" w:type="dxa"/>
          <w:right w:w="62" w:type="dxa"/>
        </w:tblCellMar>
        <w:tblLook w:val="0000"/>
      </w:tblPr>
      <w:tblGrid>
        <w:gridCol w:w="1890"/>
        <w:gridCol w:w="6570"/>
      </w:tblGrid>
      <w:tr w:rsidTr="00CB1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9.1)</w:t>
            </w:r>
          </w:p>
        </w:tc>
      </w:tr>
      <w:tr w:rsidTr="00CB1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 xml:space="preserve">Longitudinal competency development approaches to assessment, such as Profiling, require data to be reliably gathered in a form that can be </w:t>
            </w:r>
            <w:r w:rsidRPr="00462515">
              <w:t>consistently interpreted over time. This approach is best utilised in Apprenticeship programs and reduces assessment intervention. It is the Industry-preferred model for apprenticeships. However, where summative (or final) assessment is used it must includ</w:t>
            </w:r>
            <w:r w:rsidRPr="00462515">
              <w:t>e the application of the competency in the normal work environment or, at a minimum, the application of the competency in a realistically simulated work environment. It is recognised that, in some circumstances, assessment in part or full can occur outside</w:t>
            </w:r>
            <w:r w:rsidRPr="00462515">
              <w:t xml:space="preserve"> the workplace. However, it must be in accord with industry and regulatory policy.</w:t>
            </w:r>
          </w:p>
          <w:p w:rsidR="00000000" w:rsidRPr="00462515" w:rsidP="00462515">
            <w:pPr>
              <w:pStyle w:val="BodyText"/>
            </w:pPr>
            <w:r w:rsidRPr="00462515">
              <w:t>Methods chosen for a particular assessment will be influenced by various factors. These include the extent of the assessment, the most effective locations for the assessment</w:t>
            </w:r>
            <w:r w:rsidRPr="00462515">
              <w:t xml:space="preserve"> activities to take place, access to physical resources, additional safety measures that may be required and the critical nature of the competencies being assessed.</w:t>
            </w:r>
          </w:p>
          <w:p w:rsidR="00000000" w:rsidRPr="00462515" w:rsidP="00462515">
            <w:pPr>
              <w:pStyle w:val="BodyText"/>
            </w:pPr>
            <w:r w:rsidRPr="00462515">
              <w:t>The critical safety nature of working with electricity, electrical equipment, gas or any ot</w:t>
            </w:r>
            <w:r w:rsidRPr="00462515">
              <w:t>her hazardous substance/material carries risk in deeming a person competent. Sources of evidence need to be ‘rich’ in nature to minimise error in judgment.</w:t>
            </w:r>
          </w:p>
          <w:p w:rsidR="00000000" w:rsidRPr="00462515" w:rsidP="00462515">
            <w:pPr>
              <w:pStyle w:val="BodyText"/>
            </w:pPr>
            <w:r w:rsidRPr="00462515">
              <w:t>Activities associated with normal everyday work influence decisions about how/how much the data gath</w:t>
            </w:r>
            <w:r w:rsidRPr="00462515">
              <w:t>ered will contribute to its ‘richness’. Some skills are more critical to safety and operational requirements while the same skills may be more or less frequently practised. These points are raised for the assessors to consider when choosing an assessment m</w:t>
            </w:r>
            <w:r w:rsidRPr="00462515">
              <w:t>ethod and developing assessment instruments. Sample assessment instruments are included for Assessors in the Assessment Guidelines of this Training Package.</w:t>
            </w:r>
          </w:p>
        </w:tc>
      </w:tr>
    </w:tbl>
    <w:p w:rsidR="00000000" w:rsidRPr="00462515" w:rsidP="00462515">
      <w:pPr>
        <w:pStyle w:val="BodyText"/>
      </w:pPr>
    </w:p>
    <w:tbl>
      <w:tblPr>
        <w:tblW w:w="11027" w:type="dxa"/>
        <w:tblLayout w:type="fixed"/>
        <w:tblCellMar>
          <w:left w:w="62" w:type="dxa"/>
          <w:right w:w="62" w:type="dxa"/>
        </w:tblCellMar>
        <w:tblLook w:val="0000"/>
      </w:tblPr>
      <w:tblGrid>
        <w:gridCol w:w="1890"/>
        <w:gridCol w:w="573"/>
        <w:gridCol w:w="1994"/>
        <w:gridCol w:w="4003"/>
        <w:gridCol w:w="2567"/>
      </w:tblGrid>
      <w:tr w:rsidTr="00CB15EA">
        <w:tblPrEx>
          <w:tblW w:w="11027" w:type="dxa"/>
          <w:tblLayout w:type="fixed"/>
          <w:tblCellMar>
            <w:left w:w="62" w:type="dxa"/>
            <w:right w:w="62" w:type="dxa"/>
          </w:tblCellMar>
          <w:tblLook w:val="0000"/>
        </w:tblPrEx>
        <w:trPr>
          <w:gridAfter w:val="1"/>
          <w:wAfter w:w="2567" w:type="dxa"/>
        </w:trPr>
        <w:tc>
          <w:tcPr>
            <w:tcW w:w="189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9.2)</w:t>
            </w:r>
          </w:p>
        </w:tc>
      </w:tr>
      <w:tr w:rsidTr="00CB15EA">
        <w:tblPrEx>
          <w:tblW w:w="11027" w:type="dxa"/>
          <w:tblLayout w:type="fixed"/>
          <w:tblCellMar>
            <w:left w:w="62" w:type="dxa"/>
            <w:right w:w="62" w:type="dxa"/>
          </w:tblCellMar>
          <w:tblLook w:val="0000"/>
        </w:tblPrEx>
        <w:trPr>
          <w:gridAfter w:val="1"/>
          <w:wAfter w:w="2567"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Before the critical aspects of evidence are considered all prerequisites shall be met.</w:t>
            </w:r>
          </w:p>
          <w:p w:rsidR="00000000" w:rsidRPr="00462515" w:rsidP="00462515">
            <w:pPr>
              <w:pStyle w:val="BodyText"/>
            </w:pPr>
            <w:r w:rsidRPr="00462515">
              <w:t xml:space="preserve">Evidence for competence in this unit shall be considered holistically.  Each Element and associated performance criteria shall be demonstrated on at least two occasions </w:t>
            </w:r>
            <w:r w:rsidRPr="00462515">
              <w:t>in accordance with the ‘Assessment Guidelines – UEE11’.  Evidence shall also comprise:</w:t>
            </w:r>
          </w:p>
          <w:p w:rsidR="00000000" w:rsidRPr="00462515" w:rsidP="00462515">
            <w:pPr>
              <w:pStyle w:val="ListBullet"/>
            </w:pPr>
            <w:r w:rsidRPr="00462515">
              <w:t>A representative body of work performance demonstrated within the timeframes typically expected of the discipline, work function and industrial environment. In particul</w:t>
            </w:r>
            <w:r w:rsidRPr="00462515">
              <w:t>ar this shall incorporate evidence that shows a candidate is able to:</w:t>
            </w:r>
          </w:p>
          <w:p w:rsidR="00000000" w:rsidRPr="00462515" w:rsidP="00462515">
            <w:pPr>
              <w:pStyle w:val="ListBullet2"/>
            </w:pPr>
            <w:r w:rsidRPr="00462515">
              <w:t>Implement Occupational Health and Safety workplace procedures and practices, including the use of risk control measures as specified in the performance criteria and range statement</w:t>
            </w:r>
          </w:p>
          <w:p w:rsidR="00000000" w:rsidRPr="00462515" w:rsidP="00462515">
            <w:pPr>
              <w:pStyle w:val="ListBullet2"/>
            </w:pPr>
            <w:r w:rsidRPr="00462515">
              <w:t>Appl</w:t>
            </w:r>
            <w:r w:rsidRPr="00462515">
              <w:t>y sustainable energy principles and practices as specified in the performance criteria and range statement</w:t>
            </w:r>
          </w:p>
          <w:p w:rsidR="00000000" w:rsidRPr="00462515" w:rsidP="00462515">
            <w:pPr>
              <w:pStyle w:val="ListBullet2"/>
            </w:pPr>
            <w:r w:rsidRPr="00462515">
              <w:t>Demonstrate an understanding of the essential knowledge and associated s</w:t>
            </w:r>
            <w:r w:rsidRPr="00462515">
              <w:t>kills as described in this unit.  It may be required by some jurisdictions that RTOs provide a percentile graded result for the purpose of regulatory or licensing requirements.</w:t>
            </w:r>
          </w:p>
          <w:p w:rsidR="00000000" w:rsidRPr="00462515" w:rsidP="00462515">
            <w:pPr>
              <w:pStyle w:val="ListBullet2"/>
            </w:pPr>
            <w:r w:rsidRPr="00462515">
              <w:t>Demonstrate an appropriate level of skills enabling employment</w:t>
            </w:r>
          </w:p>
          <w:p w:rsidR="00000000" w:rsidRPr="00462515" w:rsidP="00462515">
            <w:pPr>
              <w:pStyle w:val="ListBullet2"/>
            </w:pPr>
            <w:r w:rsidRPr="00462515">
              <w:t>Conduct work obs</w:t>
            </w:r>
            <w:r w:rsidRPr="00462515">
              <w:t>erving the relevant Anti Discrimination legislation, regulations, polices and workplace procedures</w:t>
            </w:r>
          </w:p>
          <w:p w:rsidR="00000000" w:rsidRPr="00462515" w:rsidP="00462515">
            <w:pPr>
              <w:pStyle w:val="ListBullet"/>
            </w:pPr>
            <w:r w:rsidRPr="00462515">
              <w:t>Demonstrated consistent performance across a representative range of contexts from the prescribed items below:</w:t>
            </w:r>
          </w:p>
          <w:p w:rsidR="00000000" w:rsidP="00462515">
            <w:pPr>
              <w:pStyle w:val="ListBullet2"/>
              <w:rPr>
                <w:lang w:val="en-NZ"/>
              </w:rPr>
            </w:pPr>
            <w:r w:rsidRPr="00462515">
              <w:t>Fault find and repair sonar apparatus and sy</w:t>
            </w:r>
            <w:r w:rsidRPr="00462515">
              <w:t>stems as described in 8) and including:</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4"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A</w:t>
            </w:r>
          </w:p>
        </w:tc>
        <w:tc>
          <w:tcPr>
            <w:tcW w:w="657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Applying logical diagnostic methods.</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4"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B</w:t>
            </w:r>
          </w:p>
        </w:tc>
        <w:tc>
          <w:tcPr>
            <w:tcW w:w="657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Using fault scenarios to test the source of system faults.</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4"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C</w:t>
            </w:r>
          </w:p>
        </w:tc>
        <w:tc>
          <w:tcPr>
            <w:tcW w:w="657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Identifying faults and competency needed to rectify them.</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4"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D</w:t>
            </w:r>
          </w:p>
        </w:tc>
        <w:tc>
          <w:tcPr>
            <w:tcW w:w="657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Rectifying faults in system electronics.</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4"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E</w:t>
            </w:r>
          </w:p>
        </w:tc>
        <w:tc>
          <w:tcPr>
            <w:tcW w:w="657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Verifying that the system operates correctly.</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4"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F</w:t>
            </w:r>
          </w:p>
        </w:tc>
        <w:tc>
          <w:tcPr>
            <w:tcW w:w="6570" w:type="dxa"/>
            <w:gridSpan w:val="2"/>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t>Documenting fault rectification.</w:t>
            </w:r>
          </w:p>
        </w:tc>
      </w:tr>
      <w:tr w:rsidTr="00CB15EA">
        <w:tblPrEx>
          <w:tblW w:w="11027" w:type="dxa"/>
          <w:tblLayout w:type="fixed"/>
          <w:tblCellMar>
            <w:left w:w="62" w:type="dxa"/>
            <w:right w:w="62" w:type="dxa"/>
          </w:tblCellMar>
          <w:tblLook w:val="0000"/>
        </w:tblPrEx>
        <w:tc>
          <w:tcPr>
            <w:tcW w:w="246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4" w:type="dxa"/>
            <w:gridSpan w:val="3"/>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 xml:space="preserve">Note: </w:t>
            </w:r>
          </w:p>
          <w:p w:rsidR="00000000" w:rsidRPr="00462515" w:rsidP="00462515">
            <w:pPr>
              <w:pStyle w:val="BodyText"/>
            </w:pPr>
            <w:r w:rsidRPr="00462515">
              <w:t>Successful completion of relevant vendor training may be used to contribute to evidence on which competency is deemed. In these cases the alignment of outco</w:t>
            </w:r>
            <w:r w:rsidRPr="00462515">
              <w:t>mes of vendor training with performance criteria and critical aspects of evidence shall be clearly identified.</w:t>
            </w:r>
          </w:p>
        </w:tc>
      </w:tr>
    </w:tbl>
    <w:p w:rsidR="00000000" w:rsidRPr="00462515" w:rsidP="00462515">
      <w:pPr>
        <w:pStyle w:val="BodyText"/>
      </w:pPr>
    </w:p>
    <w:p w:rsidR="00000000" w:rsidRPr="00462515" w:rsidP="00462515">
      <w:pPr>
        <w:pStyle w:val="BodyText"/>
      </w:pPr>
    </w:p>
    <w:tbl>
      <w:tblPr>
        <w:tblW w:w="0" w:type="auto"/>
        <w:tblLayout w:type="fixed"/>
        <w:tblCellMar>
          <w:left w:w="62" w:type="dxa"/>
          <w:right w:w="62" w:type="dxa"/>
        </w:tblCellMar>
        <w:tblLook w:val="0000"/>
      </w:tblPr>
      <w:tblGrid>
        <w:gridCol w:w="1890"/>
        <w:gridCol w:w="6570"/>
      </w:tblGrid>
      <w:tr w:rsidTr="00CB15E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9.3)</w:t>
            </w:r>
          </w:p>
        </w:tc>
      </w:tr>
      <w:tr w:rsidTr="00CB15E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This unit should be assessed as it relates to normal work practice using procedures,</w:t>
            </w:r>
            <w:r w:rsidRPr="00462515">
              <w:t xml:space="preserve"> information and resources typical of a workplace. This should include:</w:t>
            </w:r>
          </w:p>
          <w:p w:rsidR="00000000" w:rsidRPr="00462515" w:rsidP="00462515">
            <w:pPr>
              <w:pStyle w:val="ListBullet"/>
            </w:pPr>
            <w:r w:rsidRPr="00462515">
              <w:t>OHS policy and work procedures and instructions.</w:t>
            </w:r>
          </w:p>
          <w:p w:rsidR="00000000" w:rsidRPr="00462515" w:rsidP="00462515">
            <w:pPr>
              <w:pStyle w:val="ListBullet"/>
            </w:pPr>
            <w:r w:rsidRPr="00462515">
              <w:t>Suitable work environment, facilities, equipment and materials to undertake actual work as prescribed by this unit.</w:t>
            </w:r>
          </w:p>
          <w:p w:rsidR="00000000" w:rsidRPr="00462515" w:rsidP="00462515">
            <w:pPr>
              <w:pStyle w:val="BodyText"/>
            </w:pPr>
            <w:r w:rsidRPr="00462515">
              <w:t>These should be part of the formal learning/assessment environment.</w:t>
            </w:r>
          </w:p>
          <w:p w:rsidR="00000000" w:rsidRPr="00462515" w:rsidP="00462515">
            <w:pPr>
              <w:pStyle w:val="BodyText"/>
            </w:pPr>
            <w:r w:rsidRPr="00462515">
              <w:t>Note:</w:t>
            </w:r>
          </w:p>
          <w:p w:rsidR="00000000" w:rsidRPr="00462515" w:rsidP="00462515">
            <w:pPr>
              <w:pStyle w:val="BodyText"/>
            </w:pPr>
            <w:r w:rsidRPr="00462515">
              <w:t>Where simulation is considered a suitable strategy for assessment, conditions must be authentic and as far as possible reproduce and replicate the workplace and be consistent with th</w:t>
            </w:r>
            <w:r w:rsidRPr="00462515">
              <w:t>e approved industry simulation policy.</w:t>
            </w:r>
          </w:p>
          <w:p w:rsidR="00000000" w:rsidRPr="00462515" w:rsidP="00462515">
            <w:pPr>
              <w:pStyle w:val="BodyText"/>
            </w:pPr>
            <w:r w:rsidRPr="00462515">
              <w:t>The resources used for assessment should reflect current industry practices in relation to diagnosing and rectifying faults in sonar apparatus and systems.</w:t>
            </w:r>
          </w:p>
          <w:p w:rsidR="00000000" w:rsidRPr="00462515" w:rsidP="00462515">
            <w:pPr>
              <w:pStyle w:val="BodyText"/>
            </w:pPr>
            <w:r w:rsidRPr="00462515">
              <w:t>The resources used for assessment should reflect current indu</w:t>
            </w:r>
            <w:r w:rsidRPr="00462515">
              <w:t>stry practices in relation to diagnosing and rectifying faults in sonar apparatus and systems.</w:t>
            </w:r>
          </w:p>
        </w:tc>
      </w:tr>
    </w:tbl>
    <w:p w:rsidR="00000000" w:rsidRPr="00462515" w:rsidP="00462515">
      <w:pPr>
        <w:pStyle w:val="BodyText"/>
      </w:pPr>
    </w:p>
    <w:tbl>
      <w:tblPr>
        <w:tblW w:w="0" w:type="auto"/>
        <w:tblLayout w:type="fixed"/>
        <w:tblCellMar>
          <w:left w:w="62" w:type="dxa"/>
          <w:right w:w="62" w:type="dxa"/>
        </w:tblCellMar>
        <w:tblLook w:val="0000"/>
      </w:tblPr>
      <w:tblGrid>
        <w:gridCol w:w="1890"/>
        <w:gridCol w:w="6570"/>
      </w:tblGrid>
      <w:tr w:rsidTr="00CB1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9.4)</w:t>
            </w:r>
          </w:p>
        </w:tc>
      </w:tr>
      <w:tr w:rsidTr="00CB1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This unit shall be assessed by methods given in Volume 1, Part 3 ‘Assessment Guidelines’.</w:t>
            </w:r>
          </w:p>
          <w:p w:rsidR="00000000" w:rsidRPr="00462515" w:rsidP="00462515">
            <w:pPr>
              <w:pStyle w:val="BodyText"/>
            </w:pPr>
            <w:r w:rsidRPr="00462515">
              <w:t xml:space="preserve">Note: </w:t>
            </w:r>
          </w:p>
          <w:p w:rsidR="00000000" w:rsidRPr="00462515" w:rsidP="00462515">
            <w:pPr>
              <w:pStyle w:val="BodyText"/>
            </w:pPr>
            <w:r w:rsidRPr="00462515">
              <w:t>Competent performance with inherent safe working practices is expected in the industry to which this unit applies. This requires that the specified essential knowledge and associated skills are assessed in a structured environment which is primarily intend</w:t>
            </w:r>
            <w:r w:rsidRPr="00462515">
              <w:t>ed for learning/assessment and incorporates all necessary equipment and facilities for learners to develop and demonstrate the essential knowledge and skills described in this unit.</w:t>
            </w:r>
          </w:p>
        </w:tc>
      </w:tr>
    </w:tbl>
    <w:p w:rsidR="00000000" w:rsidRPr="00462515" w:rsidP="00462515">
      <w:pPr>
        <w:pStyle w:val="BodyText"/>
      </w:pPr>
    </w:p>
    <w:tbl>
      <w:tblPr>
        <w:tblW w:w="0" w:type="auto"/>
        <w:tblLayout w:type="fixed"/>
        <w:tblCellMar>
          <w:left w:w="62" w:type="dxa"/>
          <w:right w:w="62" w:type="dxa"/>
        </w:tblCellMar>
        <w:tblLook w:val="0000"/>
      </w:tblPr>
      <w:tblGrid>
        <w:gridCol w:w="1890"/>
        <w:gridCol w:w="6570"/>
      </w:tblGrid>
      <w:tr w:rsidTr="00CB1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9.5)</w:t>
            </w:r>
          </w:p>
        </w:tc>
      </w:tr>
      <w:tr w:rsidTr="00CB15E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There are</w:t>
            </w:r>
            <w:r w:rsidRPr="00462515">
              <w:t xml:space="preserve"> no concurrent assessment recommendations for this unit.</w:t>
            </w:r>
          </w:p>
          <w:p w:rsidR="00000000" w:rsidRPr="00462515" w:rsidP="00462515">
            <w:pPr>
              <w:pStyle w:val="BodyText"/>
            </w:pPr>
            <w:r w:rsidRPr="00462515">
              <w:t>The critical aspects of occupational health and safety covered in unit UEENEEE101A and other discipline specific occupational health and safety units shall be incorporated in relation to this unit.</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11" w:name="O_587652"/>
      <w:bookmarkEnd w:id="11"/>
      <w:r w:rsidRPr="00462515">
        <w:t>Range Statement</w:t>
      </w:r>
    </w:p>
    <w:tbl>
      <w:tblPr>
        <w:tblW w:w="0" w:type="auto"/>
        <w:tblLayout w:type="fixed"/>
        <w:tblCellMar>
          <w:left w:w="62" w:type="dxa"/>
          <w:right w:w="62" w:type="dxa"/>
        </w:tblCellMar>
        <w:tblLook w:val="0000"/>
      </w:tblPr>
      <w:tblGrid>
        <w:gridCol w:w="8460"/>
      </w:tblGrid>
      <w:tr w:rsidTr="00CB15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RANGE STATEMENT</w:t>
            </w:r>
          </w:p>
        </w:tc>
      </w:tr>
      <w:tr w:rsidTr="00CB15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10)</w:t>
            </w:r>
            <w:r w:rsidRPr="00462515">
              <w:t xml:space="preserve"> This relates to the unit as a whole providing the range of contexts and conditions to which the </w:t>
            </w:r>
            <w:r w:rsidRPr="00462515">
              <w:t>performance criteria apply. It allows for different work environments and situations that will affect performance.</w:t>
            </w:r>
          </w:p>
          <w:p w:rsidR="00000000" w:rsidRPr="00462515" w:rsidP="00462515">
            <w:pPr>
              <w:pStyle w:val="BodyText"/>
            </w:pPr>
            <w:r w:rsidRPr="00462515">
              <w:t xml:space="preserve">This unit shall be demonstrated by fault find and repairing at least four faults system faults in a representative range of electronic sonar </w:t>
            </w:r>
            <w:r w:rsidRPr="00462515">
              <w:t>apparatus and systems.</w:t>
            </w:r>
          </w:p>
          <w:p w:rsidR="00000000" w:rsidRPr="00462515" w:rsidP="00462515">
            <w:pPr>
              <w:pStyle w:val="BodyText"/>
            </w:pPr>
            <w:r w:rsidRPr="00462515">
              <w:t>Generic terms used throughout this Vocational Standard shall be regarded as part of the Range Statement in which competency is demonstrated. The definition of these and other terms that apply are given in Volume 2, Part 2.1.</w:t>
            </w:r>
          </w:p>
        </w:tc>
      </w:tr>
    </w:tbl>
    <w:p w:rsidR="00000000" w:rsidRPr="00462515" w:rsidP="00462515">
      <w:pPr>
        <w:pStyle w:val="BodyText"/>
      </w:pPr>
    </w:p>
    <w:p w:rsidR="00000000" w:rsidRPr="00462515" w:rsidP="00462515">
      <w:pPr>
        <w:pStyle w:val="AllowPageBreak"/>
      </w:pPr>
    </w:p>
    <w:p w:rsidR="00000000" w:rsidRPr="00462515" w:rsidP="00462515">
      <w:pPr>
        <w:pStyle w:val="Heading1"/>
      </w:pPr>
      <w:bookmarkStart w:id="12" w:name="O_587651"/>
      <w:bookmarkEnd w:id="12"/>
      <w:r w:rsidRPr="00462515">
        <w:t>Unit Sector(s)</w:t>
      </w:r>
    </w:p>
    <w:p w:rsidR="00000000" w:rsidRPr="00462515" w:rsidP="00462515">
      <w:pPr>
        <w:pStyle w:val="BodyText"/>
      </w:pPr>
      <w:r w:rsidRPr="00462515">
        <w:t>Not applicable.</w:t>
      </w:r>
    </w:p>
    <w:p w:rsidR="00000000" w:rsidRPr="00462515" w:rsidP="00462515">
      <w:pPr>
        <w:pStyle w:val="AllowPageBreak"/>
      </w:pPr>
    </w:p>
    <w:p w:rsidR="00000000" w:rsidRPr="00462515" w:rsidP="00462515">
      <w:pPr>
        <w:pStyle w:val="Heading1"/>
      </w:pPr>
      <w:bookmarkStart w:id="13" w:name="O_587650"/>
      <w:bookmarkEnd w:id="13"/>
      <w:r w:rsidRPr="00462515">
        <w:t>Competency Field</w:t>
      </w:r>
    </w:p>
    <w:tbl>
      <w:tblPr>
        <w:tblW w:w="0" w:type="auto"/>
        <w:tblLayout w:type="fixed"/>
        <w:tblCellMar>
          <w:left w:w="62" w:type="dxa"/>
          <w:right w:w="62" w:type="dxa"/>
        </w:tblCellMar>
        <w:tblLook w:val="0000"/>
      </w:tblPr>
      <w:tblGrid>
        <w:gridCol w:w="2700"/>
        <w:gridCol w:w="5760"/>
      </w:tblGrid>
      <w:tr w:rsidTr="00CB15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2515">
            <w:pPr>
              <w:pStyle w:val="BodyText"/>
              <w:rPr>
                <w:lang w:val="en-NZ"/>
              </w:rPr>
            </w:pPr>
            <w:r w:rsidRPr="00462515">
              <w:rPr>
                <w:rStyle w:val="SpecialBold"/>
              </w:rPr>
              <w:t xml:space="preserve">11) </w:t>
            </w:r>
          </w:p>
        </w:tc>
      </w:tr>
      <w:tr w:rsidTr="00CB15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515" w:rsidP="00462515">
            <w:pPr>
              <w:pStyle w:val="BodyText"/>
            </w:pPr>
            <w:r w:rsidRPr="00462515">
              <w:t>Electronics</w:t>
            </w:r>
          </w:p>
        </w:tc>
      </w:tr>
    </w:tbl>
    <w:p w:rsidR="00000000" w:rsidRPr="00462515" w:rsidP="00462515">
      <w:pPr>
        <w:pStyle w:val="BodyText"/>
      </w:pPr>
    </w:p>
    <w:p w:rsidR="00000000" w:rsidRPr="00462515" w:rsidP="00462515"/>
    <w:sectPr w:rsidSect="004625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15" w:rsidRPr="00CB15EA" w:rsidP="00CB1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EA" w:rsidP="00462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B15EA" w:rsidP="004625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B15EA" w:rsidP="00462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15" w:rsidRPr="00CB15EA" w:rsidP="00CB15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EA" w:rsidRPr="002D2AF8" w:rsidP="00462515">
    <w:pPr>
      <w:pStyle w:val="Header"/>
      <w:framePr w:wrap="around"/>
    </w:pPr>
    <w:r>
      <w:fldChar w:fldCharType="begin"/>
    </w:r>
    <w:r>
      <w:instrText xml:space="preserve"> TITLE   \* MERGEFORMAT </w:instrText>
    </w:r>
    <w:r>
      <w:fldChar w:fldCharType="separate"/>
    </w:r>
    <w:r>
      <w:t>UEENEEH140A Fault find and repair  sonar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B15EA" w:rsidP="00462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46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E7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6D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515"/>
    <w:pPr>
      <w:spacing w:before="360" w:after="60"/>
      <w:outlineLvl w:val="0"/>
    </w:pPr>
    <w:rPr>
      <w:sz w:val="32"/>
    </w:rPr>
  </w:style>
  <w:style w:type="paragraph" w:styleId="Heading2">
    <w:name w:val="heading 2"/>
    <w:basedOn w:val="HeadingBase"/>
    <w:next w:val="BodyText"/>
    <w:link w:val="Heading2Char"/>
    <w:qFormat/>
    <w:rsid w:val="00462515"/>
    <w:pPr>
      <w:keepLines/>
      <w:spacing w:before="240" w:after="120"/>
      <w:outlineLvl w:val="1"/>
    </w:pPr>
    <w:rPr>
      <w:sz w:val="28"/>
      <w:szCs w:val="40"/>
    </w:rPr>
  </w:style>
  <w:style w:type="paragraph" w:styleId="Heading3">
    <w:name w:val="heading 3"/>
    <w:basedOn w:val="HeadingBase"/>
    <w:next w:val="BodyText"/>
    <w:link w:val="Heading3Char"/>
    <w:qFormat/>
    <w:rsid w:val="00462515"/>
    <w:pPr>
      <w:spacing w:before="180" w:after="120"/>
      <w:outlineLvl w:val="2"/>
    </w:pPr>
    <w:rPr>
      <w:spacing w:val="-10"/>
      <w:kern w:val="32"/>
    </w:rPr>
  </w:style>
  <w:style w:type="paragraph" w:styleId="Heading4">
    <w:name w:val="heading 4"/>
    <w:basedOn w:val="HeadingBase"/>
    <w:next w:val="BodyText"/>
    <w:link w:val="Heading4Char"/>
    <w:qFormat/>
    <w:rsid w:val="00462515"/>
    <w:pPr>
      <w:spacing w:before="160" w:after="120"/>
      <w:outlineLvl w:val="3"/>
    </w:pPr>
    <w:rPr>
      <w:sz w:val="22"/>
    </w:rPr>
  </w:style>
  <w:style w:type="paragraph" w:styleId="Heading5">
    <w:name w:val="heading 5"/>
    <w:basedOn w:val="HeadingBase"/>
    <w:next w:val="Normal"/>
    <w:link w:val="Heading5Char"/>
    <w:qFormat/>
    <w:rsid w:val="00462515"/>
    <w:pPr>
      <w:spacing w:before="80"/>
      <w:outlineLvl w:val="4"/>
    </w:pPr>
    <w:rPr>
      <w:color w:val="918585"/>
      <w:sz w:val="20"/>
    </w:rPr>
  </w:style>
  <w:style w:type="paragraph" w:styleId="Heading6">
    <w:name w:val="heading 6"/>
    <w:basedOn w:val="HeadingBase"/>
    <w:next w:val="Normal"/>
    <w:link w:val="Heading6Char"/>
    <w:qFormat/>
    <w:rsid w:val="00462515"/>
    <w:pPr>
      <w:spacing w:before="60"/>
      <w:outlineLvl w:val="5"/>
    </w:pPr>
    <w:rPr>
      <w:color w:val="918585"/>
      <w:sz w:val="20"/>
    </w:rPr>
  </w:style>
  <w:style w:type="paragraph" w:styleId="Heading7">
    <w:name w:val="heading 7"/>
    <w:basedOn w:val="Normal"/>
    <w:next w:val="Normal"/>
    <w:link w:val="Heading7Char"/>
    <w:qFormat/>
    <w:rsid w:val="00462515"/>
    <w:pPr>
      <w:ind w:left="720"/>
      <w:outlineLvl w:val="6"/>
    </w:pPr>
    <w:rPr>
      <w:i/>
    </w:rPr>
  </w:style>
  <w:style w:type="paragraph" w:styleId="Heading8">
    <w:name w:val="heading 8"/>
    <w:basedOn w:val="Normal"/>
    <w:next w:val="Normal"/>
    <w:link w:val="Heading8Char"/>
    <w:qFormat/>
    <w:rsid w:val="00462515"/>
    <w:pPr>
      <w:ind w:left="720"/>
      <w:outlineLvl w:val="7"/>
    </w:pPr>
    <w:rPr>
      <w:i/>
    </w:rPr>
  </w:style>
  <w:style w:type="paragraph" w:styleId="Heading9">
    <w:name w:val="heading 9"/>
    <w:basedOn w:val="Normal"/>
    <w:next w:val="Normal"/>
    <w:link w:val="Heading9Char"/>
    <w:qFormat/>
    <w:rsid w:val="00462515"/>
    <w:pPr>
      <w:ind w:left="720"/>
      <w:outlineLvl w:val="8"/>
    </w:pPr>
    <w:rPr>
      <w:i/>
    </w:rPr>
  </w:style>
  <w:style w:type="character" w:default="1" w:styleId="DefaultParagraphFont">
    <w:name w:val="Default Paragraph Font"/>
    <w:uiPriority w:val="1"/>
    <w:unhideWhenUsed/>
    <w:rsid w:val="00462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515"/>
  </w:style>
  <w:style w:type="character" w:customStyle="1" w:styleId="Heading1Char">
    <w:name w:val="Heading 1 Char"/>
    <w:basedOn w:val="DefaultParagraphFont"/>
    <w:link w:val="Heading1"/>
    <w:rsid w:val="00462515"/>
    <w:rPr>
      <w:rFonts w:ascii="Times New Roman" w:eastAsia="Times New Roman" w:hAnsi="Times New Roman" w:cs="Times New Roman"/>
      <w:b/>
      <w:sz w:val="32"/>
      <w:szCs w:val="20"/>
      <w:lang w:eastAsia="en-US"/>
    </w:rPr>
  </w:style>
  <w:style w:type="paragraph" w:styleId="BodyText">
    <w:name w:val="Body Text"/>
    <w:basedOn w:val="Normal"/>
    <w:link w:val="BodyTextChar"/>
    <w:rsid w:val="004625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515"/>
    <w:rPr>
      <w:rFonts w:ascii="Times New Roman" w:eastAsia="Times New Roman" w:hAnsi="Times New Roman" w:cs="Times New Roman"/>
      <w:sz w:val="24"/>
      <w:lang w:eastAsia="en-US"/>
    </w:rPr>
  </w:style>
  <w:style w:type="paragraph" w:styleId="ListBullet">
    <w:name w:val="List Bullet"/>
    <w:basedOn w:val="List"/>
    <w:rsid w:val="00462515"/>
    <w:pPr>
      <w:numPr>
        <w:numId w:val="13"/>
      </w:numPr>
      <w:tabs>
        <w:tab w:val="clear" w:pos="340"/>
      </w:tabs>
      <w:spacing w:before="40" w:after="40"/>
    </w:pPr>
  </w:style>
  <w:style w:type="character" w:customStyle="1" w:styleId="SpecialBold">
    <w:name w:val="Special Bold"/>
    <w:basedOn w:val="DefaultParagraphFont"/>
    <w:rsid w:val="00462515"/>
    <w:rPr>
      <w:b/>
      <w:spacing w:val="0"/>
    </w:rPr>
  </w:style>
  <w:style w:type="paragraph" w:styleId="ListBullet2">
    <w:name w:val="List Bullet 2"/>
    <w:basedOn w:val="List2"/>
    <w:rsid w:val="00462515"/>
    <w:pPr>
      <w:numPr>
        <w:numId w:val="14"/>
      </w:numPr>
      <w:tabs>
        <w:tab w:val="clear" w:pos="680"/>
      </w:tabs>
    </w:pPr>
  </w:style>
  <w:style w:type="paragraph" w:customStyle="1" w:styleId="SuperHeading">
    <w:name w:val="SuperHeading"/>
    <w:basedOn w:val="Normal"/>
    <w:rsid w:val="00462515"/>
    <w:pPr>
      <w:spacing w:before="240" w:after="120"/>
      <w:outlineLvl w:val="0"/>
    </w:pPr>
    <w:rPr>
      <w:rFonts w:ascii="Times New Roman" w:hAnsi="Times New Roman"/>
      <w:b/>
      <w:sz w:val="32"/>
    </w:rPr>
  </w:style>
  <w:style w:type="paragraph" w:customStyle="1" w:styleId="AllowPageBreak">
    <w:name w:val="AllowPageBreak"/>
    <w:rsid w:val="004625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515"/>
    <w:rPr>
      <w:rFonts w:ascii="Courier New" w:eastAsia="Times New Roman" w:hAnsi="Courier New" w:cs="Times New Roman"/>
      <w:i/>
      <w:szCs w:val="20"/>
      <w:lang w:eastAsia="en-US"/>
    </w:rPr>
  </w:style>
  <w:style w:type="paragraph" w:customStyle="1" w:styleId="HeadingBase">
    <w:name w:val="Heading Base"/>
    <w:rsid w:val="00462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515"/>
    <w:pPr>
      <w:tabs>
        <w:tab w:val="right" w:leader="dot" w:pos="9072"/>
      </w:tabs>
      <w:ind w:left="567"/>
    </w:pPr>
    <w:rPr>
      <w:szCs w:val="22"/>
    </w:rPr>
  </w:style>
  <w:style w:type="paragraph" w:customStyle="1" w:styleId="TOCBase">
    <w:name w:val="TOC Base"/>
    <w:rsid w:val="00462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515"/>
    <w:pPr>
      <w:tabs>
        <w:tab w:val="right" w:leader="dot" w:pos="9072"/>
      </w:tabs>
      <w:spacing w:before="40" w:after="40"/>
      <w:ind w:left="284"/>
    </w:pPr>
    <w:rPr>
      <w:rFonts w:ascii="Times New Roman" w:hAnsi="Times New Roman"/>
    </w:rPr>
  </w:style>
  <w:style w:type="paragraph" w:styleId="TOC1">
    <w:name w:val="toc 1"/>
    <w:basedOn w:val="TOCBase"/>
    <w:next w:val="Normal"/>
    <w:rsid w:val="00462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515"/>
    <w:rPr>
      <w:rFonts w:ascii="Times New Roman" w:eastAsia="Times New Roman" w:hAnsi="Times New Roman" w:cs="Times New Roman"/>
      <w:sz w:val="16"/>
      <w:lang w:eastAsia="en-US"/>
    </w:rPr>
  </w:style>
  <w:style w:type="paragraph" w:styleId="Title">
    <w:name w:val="Title"/>
    <w:basedOn w:val="HeadingBase"/>
    <w:link w:val="TitleChar"/>
    <w:qFormat/>
    <w:rsid w:val="00462515"/>
    <w:pPr>
      <w:spacing w:before="5040"/>
      <w:jc w:val="center"/>
    </w:pPr>
    <w:rPr>
      <w:sz w:val="48"/>
      <w:szCs w:val="72"/>
      <w:lang w:val="en-US"/>
    </w:rPr>
  </w:style>
  <w:style w:type="character" w:customStyle="1" w:styleId="TitleChar">
    <w:name w:val="Title Char"/>
    <w:basedOn w:val="DefaultParagraphFont"/>
    <w:link w:val="Title"/>
    <w:rsid w:val="00462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515"/>
    <w:pPr>
      <w:tabs>
        <w:tab w:val="left" w:pos="3600"/>
        <w:tab w:val="left" w:pos="3958"/>
      </w:tabs>
    </w:pPr>
  </w:style>
  <w:style w:type="paragraph" w:styleId="List">
    <w:name w:val="List"/>
    <w:basedOn w:val="BodyText"/>
    <w:next w:val="BodyText"/>
    <w:rsid w:val="00462515"/>
    <w:pPr>
      <w:tabs>
        <w:tab w:val="left" w:pos="340"/>
      </w:tabs>
      <w:spacing w:before="60" w:after="60"/>
      <w:ind w:left="340" w:hanging="340"/>
    </w:pPr>
  </w:style>
  <w:style w:type="paragraph" w:customStyle="1" w:styleId="Note">
    <w:name w:val="Note"/>
    <w:basedOn w:val="BodyText"/>
    <w:rsid w:val="00462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515"/>
    <w:pPr>
      <w:framePr w:wrap="auto" w:hAnchor="text" w:y="6049"/>
    </w:pPr>
    <w:rPr>
      <w:color w:val="000000"/>
      <w:sz w:val="40"/>
    </w:rPr>
  </w:style>
  <w:style w:type="paragraph" w:customStyle="1" w:styleId="TOCTitle">
    <w:name w:val="TOCTitle"/>
    <w:basedOn w:val="Heading1"/>
    <w:rsid w:val="00462515"/>
    <w:pPr>
      <w:spacing w:after="240"/>
      <w:jc w:val="center"/>
      <w:outlineLvl w:val="9"/>
    </w:pPr>
    <w:rPr>
      <w:caps/>
    </w:rPr>
  </w:style>
  <w:style w:type="paragraph" w:customStyle="1" w:styleId="Version">
    <w:name w:val="Version"/>
    <w:rsid w:val="00462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515"/>
    <w:pPr>
      <w:keepNext w:val="0"/>
      <w:tabs>
        <w:tab w:val="right" w:pos="4176"/>
      </w:tabs>
      <w:ind w:left="198" w:hanging="198"/>
    </w:pPr>
    <w:rPr>
      <w:rFonts w:ascii="Garamond" w:hAnsi="Garamond"/>
    </w:rPr>
  </w:style>
  <w:style w:type="paragraph" w:styleId="IndexHeading">
    <w:name w:val="index heading"/>
    <w:basedOn w:val="Normal"/>
    <w:next w:val="Index1"/>
    <w:semiHidden/>
    <w:rsid w:val="00462515"/>
    <w:pPr>
      <w:spacing w:before="120" w:after="120"/>
    </w:pPr>
    <w:rPr>
      <w:rFonts w:ascii="Arial" w:hAnsi="Arial"/>
      <w:b/>
      <w:color w:val="918585"/>
      <w:sz w:val="24"/>
    </w:rPr>
  </w:style>
  <w:style w:type="paragraph" w:styleId="Header">
    <w:name w:val="header"/>
    <w:basedOn w:val="Normal"/>
    <w:link w:val="HeaderChar"/>
    <w:rsid w:val="00462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515"/>
    <w:rPr>
      <w:rFonts w:ascii="Times New Roman" w:eastAsia="Times New Roman" w:hAnsi="Times New Roman" w:cs="Times New Roman"/>
      <w:sz w:val="16"/>
      <w:szCs w:val="20"/>
      <w:lang w:val="en-GB" w:eastAsia="en-US"/>
    </w:rPr>
  </w:style>
  <w:style w:type="paragraph" w:customStyle="1" w:styleId="Chapter">
    <w:name w:val="Chapter"/>
    <w:basedOn w:val="Normal"/>
    <w:rsid w:val="00462515"/>
    <w:pPr>
      <w:spacing w:before="240"/>
    </w:pPr>
    <w:rPr>
      <w:rFonts w:ascii="Times New Roman" w:hAnsi="Times New Roman"/>
      <w:smallCaps/>
      <w:spacing w:val="80"/>
      <w:sz w:val="28"/>
    </w:rPr>
  </w:style>
  <w:style w:type="paragraph" w:customStyle="1" w:styleId="InChapter">
    <w:name w:val="InChapter"/>
    <w:basedOn w:val="Heading3"/>
    <w:rsid w:val="00462515"/>
    <w:pPr>
      <w:spacing w:after="240"/>
      <w:outlineLvl w:val="9"/>
    </w:pPr>
    <w:rPr>
      <w:noProof/>
    </w:rPr>
  </w:style>
  <w:style w:type="paragraph" w:styleId="Index2">
    <w:name w:val="index 2"/>
    <w:basedOn w:val="Normal"/>
    <w:next w:val="Normal"/>
    <w:semiHidden/>
    <w:rsid w:val="00462515"/>
    <w:pPr>
      <w:tabs>
        <w:tab w:val="right" w:pos="4176"/>
      </w:tabs>
      <w:ind w:left="568" w:hanging="284"/>
    </w:pPr>
    <w:rPr>
      <w:rFonts w:ascii="Garamond" w:hAnsi="Garamond"/>
    </w:rPr>
  </w:style>
  <w:style w:type="paragraph" w:customStyle="1" w:styleId="Byline">
    <w:name w:val="Byline"/>
    <w:rsid w:val="00462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515"/>
    <w:pPr>
      <w:tabs>
        <w:tab w:val="clear" w:pos="3600"/>
        <w:tab w:val="clear" w:pos="3958"/>
      </w:tabs>
      <w:jc w:val="right"/>
    </w:pPr>
  </w:style>
  <w:style w:type="character" w:styleId="Emphasis">
    <w:name w:val="Emphasis"/>
    <w:basedOn w:val="DefaultParagraphFont"/>
    <w:qFormat/>
    <w:rsid w:val="00462515"/>
    <w:rPr>
      <w:i/>
    </w:rPr>
  </w:style>
  <w:style w:type="paragraph" w:styleId="Caption">
    <w:name w:val="caption"/>
    <w:basedOn w:val="BodyText"/>
    <w:next w:val="Normal"/>
    <w:qFormat/>
    <w:rsid w:val="00462515"/>
    <w:pPr>
      <w:framePr w:w="2268" w:hSpace="181" w:vSpace="181" w:wrap="around" w:vAnchor="text" w:hAnchor="page" w:x="1135" w:y="285" w:anchorLock="1"/>
    </w:pPr>
    <w:rPr>
      <w:i/>
    </w:rPr>
  </w:style>
  <w:style w:type="paragraph" w:customStyle="1" w:styleId="MiniTOCTitle">
    <w:name w:val="MiniTOCTitle"/>
    <w:basedOn w:val="Heading4"/>
    <w:rsid w:val="00462515"/>
    <w:pPr>
      <w:spacing w:before="240"/>
      <w:outlineLvl w:val="9"/>
    </w:pPr>
    <w:rPr>
      <w:noProof/>
      <w:sz w:val="24"/>
    </w:rPr>
  </w:style>
  <w:style w:type="paragraph" w:customStyle="1" w:styleId="MiniTOCItem">
    <w:name w:val="MiniTOCItem"/>
    <w:basedOn w:val="ListBullet"/>
    <w:rsid w:val="00462515"/>
    <w:pPr>
      <w:numPr>
        <w:numId w:val="0"/>
      </w:numPr>
      <w:tabs>
        <w:tab w:val="right" w:leader="dot" w:pos="6521"/>
      </w:tabs>
      <w:spacing w:before="0" w:after="0"/>
    </w:pPr>
  </w:style>
  <w:style w:type="paragraph" w:customStyle="1" w:styleId="TOFTitle">
    <w:name w:val="TOFTitle"/>
    <w:basedOn w:val="TOCTitle"/>
    <w:rsid w:val="00462515"/>
  </w:style>
  <w:style w:type="paragraph" w:styleId="TableofFigures">
    <w:name w:val="table of figures"/>
    <w:basedOn w:val="Normal"/>
    <w:next w:val="Normal"/>
    <w:semiHidden/>
    <w:rsid w:val="00462515"/>
    <w:pPr>
      <w:tabs>
        <w:tab w:val="right" w:leader="dot" w:pos="9072"/>
      </w:tabs>
      <w:ind w:left="970" w:hanging="403"/>
    </w:pPr>
    <w:rPr>
      <w:rFonts w:ascii="Times New Roman" w:hAnsi="Times New Roman"/>
      <w:b/>
    </w:rPr>
  </w:style>
  <w:style w:type="paragraph" w:styleId="ListNumber">
    <w:name w:val="List Number"/>
    <w:basedOn w:val="List"/>
    <w:rsid w:val="00462515"/>
    <w:pPr>
      <w:numPr>
        <w:numId w:val="11"/>
      </w:numPr>
    </w:pPr>
  </w:style>
  <w:style w:type="character" w:customStyle="1" w:styleId="WingdingSymbols">
    <w:name w:val="Wingding Symbols"/>
    <w:rsid w:val="00462515"/>
    <w:rPr>
      <w:rFonts w:ascii="Wingdings" w:hAnsi="Wingdings"/>
    </w:rPr>
  </w:style>
  <w:style w:type="paragraph" w:customStyle="1" w:styleId="TableHeading">
    <w:name w:val="Table Heading"/>
    <w:basedOn w:val="HeadingBase"/>
    <w:rsid w:val="00462515"/>
    <w:pPr>
      <w:keepLines/>
      <w:pBdr>
        <w:bottom w:val="single" w:sz="6" w:space="1" w:color="918585"/>
      </w:pBdr>
      <w:spacing w:before="240"/>
    </w:pPr>
  </w:style>
  <w:style w:type="character" w:customStyle="1" w:styleId="HotSpot">
    <w:name w:val="HotSpot"/>
    <w:rsid w:val="00462515"/>
    <w:rPr>
      <w:color w:val="0033CC"/>
      <w:u w:val="none"/>
    </w:rPr>
  </w:style>
  <w:style w:type="paragraph" w:customStyle="1" w:styleId="BodyTextRight">
    <w:name w:val="Body Text Right"/>
    <w:basedOn w:val="BodyText"/>
    <w:rsid w:val="00462515"/>
    <w:pPr>
      <w:spacing w:before="0" w:after="0"/>
      <w:jc w:val="right"/>
    </w:pPr>
  </w:style>
  <w:style w:type="paragraph" w:styleId="Index3">
    <w:name w:val="index 3"/>
    <w:basedOn w:val="ListNumber2"/>
    <w:next w:val="Normal"/>
    <w:semiHidden/>
    <w:rsid w:val="00462515"/>
    <w:pPr>
      <w:numPr>
        <w:numId w:val="0"/>
      </w:numPr>
      <w:tabs>
        <w:tab w:val="right" w:leader="dot" w:pos="4176"/>
      </w:tabs>
    </w:pPr>
  </w:style>
  <w:style w:type="paragraph" w:styleId="ListNumber2">
    <w:name w:val="List Number 2"/>
    <w:basedOn w:val="List2"/>
    <w:rsid w:val="00462515"/>
    <w:pPr>
      <w:numPr>
        <w:numId w:val="10"/>
      </w:numPr>
      <w:tabs>
        <w:tab w:val="clear" w:pos="1060"/>
      </w:tabs>
    </w:pPr>
  </w:style>
  <w:style w:type="paragraph" w:customStyle="1" w:styleId="MarginNote">
    <w:name w:val="Margin Note"/>
    <w:basedOn w:val="BodyText"/>
    <w:rsid w:val="00462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515"/>
    <w:rPr>
      <w:sz w:val="32"/>
    </w:rPr>
  </w:style>
  <w:style w:type="paragraph" w:customStyle="1" w:styleId="HeadingProcedure">
    <w:name w:val="Heading Procedure"/>
    <w:basedOn w:val="HeadingBase"/>
    <w:next w:val="Normal"/>
    <w:rsid w:val="00462515"/>
    <w:pPr>
      <w:tabs>
        <w:tab w:val="left" w:pos="0"/>
      </w:tabs>
      <w:spacing w:before="120" w:after="60"/>
    </w:pPr>
    <w:rPr>
      <w:i/>
      <w:color w:val="918585"/>
      <w:sz w:val="22"/>
    </w:rPr>
  </w:style>
  <w:style w:type="paragraph" w:customStyle="1" w:styleId="TableBodyText">
    <w:name w:val="Table Body Text"/>
    <w:basedOn w:val="BodyText"/>
    <w:rsid w:val="00462515"/>
    <w:pPr>
      <w:spacing w:before="60" w:after="60"/>
    </w:pPr>
  </w:style>
  <w:style w:type="paragraph" w:styleId="ListContinue">
    <w:name w:val="List Continue"/>
    <w:basedOn w:val="List"/>
    <w:rsid w:val="00462515"/>
    <w:pPr>
      <w:ind w:firstLine="0"/>
    </w:pPr>
  </w:style>
  <w:style w:type="paragraph" w:customStyle="1" w:styleId="ListNote">
    <w:name w:val="List Note"/>
    <w:basedOn w:val="List"/>
    <w:rsid w:val="00462515"/>
    <w:pPr>
      <w:pBdr>
        <w:top w:val="single" w:sz="6" w:space="2" w:color="918585"/>
        <w:bottom w:val="single" w:sz="6" w:space="2" w:color="918585"/>
      </w:pBdr>
      <w:tabs>
        <w:tab w:val="left" w:pos="1021"/>
      </w:tabs>
      <w:ind w:firstLine="0"/>
    </w:pPr>
  </w:style>
  <w:style w:type="paragraph" w:customStyle="1" w:styleId="Warning">
    <w:name w:val="Warning"/>
    <w:basedOn w:val="BodyText"/>
    <w:rsid w:val="00462515"/>
    <w:pPr>
      <w:shd w:val="clear" w:color="auto" w:fill="D9D9D9"/>
      <w:tabs>
        <w:tab w:val="left" w:pos="992"/>
      </w:tabs>
      <w:ind w:left="119" w:right="119"/>
    </w:pPr>
    <w:rPr>
      <w:sz w:val="20"/>
    </w:rPr>
  </w:style>
  <w:style w:type="paragraph" w:customStyle="1" w:styleId="MarginIcons">
    <w:name w:val="Margin Icons"/>
    <w:basedOn w:val="BodyText"/>
    <w:rsid w:val="00462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515"/>
    <w:rPr>
      <w:rFonts w:ascii="Courier New" w:hAnsi="Courier New"/>
    </w:rPr>
  </w:style>
  <w:style w:type="paragraph" w:customStyle="1" w:styleId="NoteBullet">
    <w:name w:val="Note Bullet"/>
    <w:basedOn w:val="Note"/>
    <w:rsid w:val="00462515"/>
    <w:pPr>
      <w:tabs>
        <w:tab w:val="clear" w:pos="680"/>
      </w:tabs>
      <w:spacing w:before="60" w:after="60"/>
    </w:pPr>
  </w:style>
  <w:style w:type="paragraph" w:customStyle="1" w:styleId="SubHeading2">
    <w:name w:val="SubHeading2"/>
    <w:basedOn w:val="HeadingBase"/>
    <w:rsid w:val="00462515"/>
    <w:pPr>
      <w:spacing w:before="240" w:after="60"/>
    </w:pPr>
    <w:rPr>
      <w:sz w:val="20"/>
    </w:rPr>
  </w:style>
  <w:style w:type="paragraph" w:customStyle="1" w:styleId="SubHeading1">
    <w:name w:val="SubHeading1"/>
    <w:basedOn w:val="HeadingBase"/>
    <w:rsid w:val="00462515"/>
    <w:pPr>
      <w:spacing w:before="240" w:after="60"/>
    </w:pPr>
    <w:rPr>
      <w:color w:val="918585"/>
      <w:sz w:val="22"/>
    </w:rPr>
  </w:style>
  <w:style w:type="paragraph" w:customStyle="1" w:styleId="SideHeading">
    <w:name w:val="Side Heading"/>
    <w:basedOn w:val="HeadingBase"/>
    <w:rsid w:val="00462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515"/>
    <w:pPr>
      <w:numPr>
        <w:numId w:val="12"/>
      </w:numPr>
    </w:pPr>
  </w:style>
  <w:style w:type="paragraph" w:styleId="PlainText">
    <w:name w:val="Plain Text"/>
    <w:basedOn w:val="Normal"/>
    <w:link w:val="PlainTextChar"/>
    <w:rsid w:val="00462515"/>
    <w:rPr>
      <w:sz w:val="20"/>
    </w:rPr>
  </w:style>
  <w:style w:type="character" w:customStyle="1" w:styleId="PlainTextChar">
    <w:name w:val="Plain Text Char"/>
    <w:basedOn w:val="DefaultParagraphFont"/>
    <w:link w:val="PlainText"/>
    <w:rsid w:val="00462515"/>
    <w:rPr>
      <w:rFonts w:ascii="Courier New" w:eastAsia="Times New Roman" w:hAnsi="Courier New" w:cs="Times New Roman"/>
      <w:sz w:val="20"/>
      <w:szCs w:val="20"/>
      <w:lang w:eastAsia="en-US"/>
    </w:rPr>
  </w:style>
  <w:style w:type="character" w:customStyle="1" w:styleId="MenuOption">
    <w:name w:val="Menu Option"/>
    <w:basedOn w:val="DefaultParagraphFont"/>
    <w:rsid w:val="00462515"/>
    <w:rPr>
      <w:b/>
      <w:smallCaps/>
    </w:rPr>
  </w:style>
  <w:style w:type="paragraph" w:customStyle="1" w:styleId="TableListNumber">
    <w:name w:val="Table List Number"/>
    <w:basedOn w:val="ListNumber"/>
    <w:rsid w:val="00462515"/>
    <w:pPr>
      <w:numPr>
        <w:numId w:val="0"/>
      </w:numPr>
    </w:pPr>
  </w:style>
  <w:style w:type="paragraph" w:styleId="TOC4">
    <w:name w:val="toc 4"/>
    <w:basedOn w:val="TOCBase"/>
    <w:next w:val="Normal"/>
    <w:semiHidden/>
    <w:rsid w:val="00462515"/>
    <w:pPr>
      <w:tabs>
        <w:tab w:val="right" w:leader="dot" w:pos="9071"/>
      </w:tabs>
      <w:ind w:left="1701"/>
    </w:pPr>
  </w:style>
  <w:style w:type="paragraph" w:customStyle="1" w:styleId="ListAlpha">
    <w:name w:val="List Alpha"/>
    <w:basedOn w:val="List"/>
    <w:rsid w:val="00462515"/>
    <w:pPr>
      <w:numPr>
        <w:numId w:val="9"/>
      </w:numPr>
    </w:pPr>
  </w:style>
  <w:style w:type="paragraph" w:customStyle="1" w:styleId="ListAlpha2">
    <w:name w:val="List Alpha 2"/>
    <w:basedOn w:val="List2"/>
    <w:rsid w:val="00462515"/>
    <w:pPr>
      <w:numPr>
        <w:numId w:val="8"/>
      </w:numPr>
    </w:pPr>
  </w:style>
  <w:style w:type="paragraph" w:styleId="List2">
    <w:name w:val="List 2"/>
    <w:basedOn w:val="BodyText"/>
    <w:rsid w:val="00462515"/>
    <w:pPr>
      <w:tabs>
        <w:tab w:val="left" w:pos="680"/>
      </w:tabs>
      <w:spacing w:before="60" w:after="60"/>
      <w:ind w:left="680" w:hanging="340"/>
    </w:pPr>
  </w:style>
  <w:style w:type="paragraph" w:styleId="List3">
    <w:name w:val="List 3"/>
    <w:basedOn w:val="BodyText"/>
    <w:rsid w:val="00462515"/>
    <w:pPr>
      <w:tabs>
        <w:tab w:val="left" w:pos="1021"/>
      </w:tabs>
      <w:spacing w:before="60" w:after="60"/>
      <w:ind w:left="1020" w:hanging="340"/>
    </w:pPr>
  </w:style>
  <w:style w:type="paragraph" w:styleId="List4">
    <w:name w:val="List 4"/>
    <w:basedOn w:val="BodyText"/>
    <w:rsid w:val="00462515"/>
    <w:pPr>
      <w:tabs>
        <w:tab w:val="left" w:pos="1361"/>
      </w:tabs>
      <w:spacing w:before="60" w:after="60"/>
      <w:ind w:left="1361" w:hanging="340"/>
    </w:pPr>
  </w:style>
  <w:style w:type="paragraph" w:styleId="List5">
    <w:name w:val="List 5"/>
    <w:basedOn w:val="BodyText"/>
    <w:rsid w:val="00462515"/>
    <w:pPr>
      <w:tabs>
        <w:tab w:val="left" w:pos="1701"/>
      </w:tabs>
      <w:spacing w:before="60" w:after="60"/>
      <w:ind w:left="1701" w:hanging="340"/>
    </w:pPr>
  </w:style>
  <w:style w:type="paragraph" w:styleId="ListBullet3">
    <w:name w:val="List Bullet 3"/>
    <w:basedOn w:val="List3"/>
    <w:rsid w:val="00462515"/>
    <w:pPr>
      <w:numPr>
        <w:numId w:val="15"/>
      </w:numPr>
      <w:tabs>
        <w:tab w:val="clear" w:pos="1021"/>
      </w:tabs>
      <w:ind w:left="1037" w:hanging="357"/>
    </w:pPr>
  </w:style>
  <w:style w:type="paragraph" w:styleId="ListBullet4">
    <w:name w:val="List Bullet 4"/>
    <w:basedOn w:val="List4"/>
    <w:rsid w:val="00462515"/>
    <w:pPr>
      <w:numPr>
        <w:numId w:val="3"/>
      </w:numPr>
    </w:pPr>
  </w:style>
  <w:style w:type="paragraph" w:styleId="ListBullet5">
    <w:name w:val="List Bullet 5"/>
    <w:basedOn w:val="List5"/>
    <w:rsid w:val="00462515"/>
    <w:pPr>
      <w:numPr>
        <w:numId w:val="4"/>
      </w:numPr>
    </w:pPr>
  </w:style>
  <w:style w:type="paragraph" w:styleId="ListContinue2">
    <w:name w:val="List Continue 2"/>
    <w:basedOn w:val="List2"/>
    <w:rsid w:val="00462515"/>
    <w:pPr>
      <w:ind w:firstLine="0"/>
    </w:pPr>
  </w:style>
  <w:style w:type="paragraph" w:styleId="ListContinue3">
    <w:name w:val="List Continue 3"/>
    <w:basedOn w:val="List3"/>
    <w:rsid w:val="00462515"/>
    <w:pPr>
      <w:ind w:left="1021" w:firstLine="0"/>
    </w:pPr>
  </w:style>
  <w:style w:type="paragraph" w:styleId="ListContinue4">
    <w:name w:val="List Continue 4"/>
    <w:basedOn w:val="List4"/>
    <w:rsid w:val="00462515"/>
    <w:pPr>
      <w:ind w:firstLine="0"/>
    </w:pPr>
  </w:style>
  <w:style w:type="paragraph" w:styleId="ListContinue5">
    <w:name w:val="List Continue 5"/>
    <w:basedOn w:val="List5"/>
    <w:rsid w:val="00462515"/>
    <w:pPr>
      <w:ind w:firstLine="0"/>
    </w:pPr>
  </w:style>
  <w:style w:type="paragraph" w:styleId="ListNumber3">
    <w:name w:val="List Number 3"/>
    <w:basedOn w:val="List3"/>
    <w:rsid w:val="00462515"/>
    <w:pPr>
      <w:numPr>
        <w:numId w:val="5"/>
      </w:numPr>
    </w:pPr>
  </w:style>
  <w:style w:type="paragraph" w:styleId="ListNumber4">
    <w:name w:val="List Number 4"/>
    <w:basedOn w:val="List4"/>
    <w:rsid w:val="00462515"/>
    <w:pPr>
      <w:numPr>
        <w:numId w:val="6"/>
      </w:numPr>
    </w:pPr>
  </w:style>
  <w:style w:type="paragraph" w:styleId="ListNumber5">
    <w:name w:val="List Number 5"/>
    <w:basedOn w:val="List5"/>
    <w:rsid w:val="00462515"/>
    <w:pPr>
      <w:numPr>
        <w:numId w:val="7"/>
      </w:numPr>
    </w:pPr>
  </w:style>
  <w:style w:type="paragraph" w:styleId="BlockText">
    <w:name w:val="Block Text"/>
    <w:basedOn w:val="Normal"/>
    <w:rsid w:val="00462515"/>
    <w:pPr>
      <w:spacing w:after="120"/>
      <w:ind w:left="1440" w:right="1440"/>
    </w:pPr>
  </w:style>
  <w:style w:type="character" w:customStyle="1" w:styleId="Subscript">
    <w:name w:val="Subscript"/>
    <w:basedOn w:val="DefaultParagraphFont"/>
    <w:rsid w:val="00462515"/>
    <w:rPr>
      <w:sz w:val="16"/>
      <w:vertAlign w:val="subscript"/>
    </w:rPr>
  </w:style>
  <w:style w:type="character" w:customStyle="1" w:styleId="Superscript">
    <w:name w:val="Superscript"/>
    <w:basedOn w:val="DefaultParagraphFont"/>
    <w:rsid w:val="00462515"/>
    <w:rPr>
      <w:sz w:val="16"/>
      <w:vertAlign w:val="superscript"/>
    </w:rPr>
  </w:style>
  <w:style w:type="character" w:customStyle="1" w:styleId="Symbols">
    <w:name w:val="Symbols"/>
    <w:basedOn w:val="DefaultParagraphFont"/>
    <w:rsid w:val="00462515"/>
    <w:rPr>
      <w:rFonts w:ascii="Symbol" w:hAnsi="Symbol"/>
    </w:rPr>
  </w:style>
  <w:style w:type="character" w:customStyle="1" w:styleId="MenuOptions">
    <w:name w:val="Menu Options"/>
    <w:basedOn w:val="DefaultParagraphFont"/>
    <w:rsid w:val="00462515"/>
    <w:rPr>
      <w:rFonts w:ascii="Arial Narrow" w:hAnsi="Arial Narrow"/>
      <w:smallCaps/>
    </w:rPr>
  </w:style>
  <w:style w:type="character" w:customStyle="1" w:styleId="Buttons">
    <w:name w:val="Buttons"/>
    <w:basedOn w:val="DefaultParagraphFont"/>
    <w:rsid w:val="00462515"/>
    <w:rPr>
      <w:b/>
    </w:rPr>
  </w:style>
  <w:style w:type="character" w:customStyle="1" w:styleId="Underlined">
    <w:name w:val="Underlined"/>
    <w:basedOn w:val="DefaultParagraphFont"/>
    <w:rsid w:val="00462515"/>
    <w:rPr>
      <w:u w:val="single"/>
    </w:rPr>
  </w:style>
  <w:style w:type="paragraph" w:customStyle="1" w:styleId="TableBodyTextRight">
    <w:name w:val="Table Body Text Right"/>
    <w:basedOn w:val="TableBodyText"/>
    <w:rsid w:val="00462515"/>
    <w:pPr>
      <w:widowControl w:val="0"/>
      <w:autoSpaceDE w:val="0"/>
      <w:autoSpaceDN w:val="0"/>
      <w:adjustRightInd w:val="0"/>
      <w:jc w:val="right"/>
    </w:pPr>
    <w:rPr>
      <w:rFonts w:cs="Arial"/>
      <w:szCs w:val="18"/>
    </w:rPr>
  </w:style>
  <w:style w:type="paragraph" w:customStyle="1" w:styleId="CopyrightText">
    <w:name w:val="Copyright Text"/>
    <w:basedOn w:val="BodyText"/>
    <w:rsid w:val="00462515"/>
    <w:rPr>
      <w:sz w:val="18"/>
    </w:rPr>
  </w:style>
  <w:style w:type="paragraph" w:customStyle="1" w:styleId="BodySmallRight">
    <w:name w:val="Body Small Right"/>
    <w:basedOn w:val="BodyTextRight"/>
    <w:rsid w:val="00462515"/>
    <w:rPr>
      <w:sz w:val="18"/>
      <w:szCs w:val="18"/>
    </w:rPr>
  </w:style>
  <w:style w:type="paragraph" w:customStyle="1" w:styleId="MarginEdition">
    <w:name w:val="Margin Edition"/>
    <w:basedOn w:val="MarginNote"/>
    <w:rsid w:val="00462515"/>
    <w:pPr>
      <w:spacing w:before="0" w:after="0"/>
    </w:pPr>
    <w:rPr>
      <w:rFonts w:ascii="Times New Roman" w:hAnsi="Times New Roman"/>
      <w:color w:val="999999"/>
    </w:rPr>
  </w:style>
  <w:style w:type="paragraph" w:customStyle="1" w:styleId="Spacer">
    <w:name w:val="Spacer"/>
    <w:basedOn w:val="Normal"/>
    <w:rsid w:val="00462515"/>
    <w:rPr>
      <w:sz w:val="2"/>
      <w:szCs w:val="2"/>
    </w:rPr>
  </w:style>
  <w:style w:type="character" w:customStyle="1" w:styleId="Small">
    <w:name w:val="Small"/>
    <w:basedOn w:val="DefaultParagraphFont"/>
    <w:rsid w:val="00462515"/>
    <w:rPr>
      <w:sz w:val="16"/>
    </w:rPr>
  </w:style>
  <w:style w:type="paragraph" w:customStyle="1" w:styleId="WideTable">
    <w:name w:val="Wide Table"/>
    <w:basedOn w:val="Normal"/>
    <w:rsid w:val="00462515"/>
    <w:pPr>
      <w:ind w:left="-1418"/>
    </w:pPr>
    <w:rPr>
      <w:sz w:val="2"/>
      <w:szCs w:val="2"/>
    </w:rPr>
  </w:style>
  <w:style w:type="character" w:styleId="PageNumber">
    <w:name w:val="page number"/>
    <w:basedOn w:val="DefaultParagraphFont"/>
    <w:rsid w:val="00462515"/>
  </w:style>
  <w:style w:type="paragraph" w:styleId="Quote">
    <w:name w:val="Quote"/>
    <w:basedOn w:val="Heading1"/>
    <w:link w:val="QuoteChar"/>
    <w:qFormat/>
    <w:rsid w:val="00462515"/>
    <w:rPr>
      <w:b w:val="0"/>
      <w:sz w:val="72"/>
      <w:szCs w:val="72"/>
      <w:lang w:val="en-NZ"/>
    </w:rPr>
  </w:style>
  <w:style w:type="character" w:customStyle="1" w:styleId="QuoteChar">
    <w:name w:val="Quote Char"/>
    <w:basedOn w:val="DefaultParagraphFont"/>
    <w:link w:val="Quote"/>
    <w:rsid w:val="00462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515"/>
    <w:pPr>
      <w:pageBreakBefore/>
    </w:pPr>
  </w:style>
  <w:style w:type="paragraph" w:customStyle="1" w:styleId="Border">
    <w:name w:val="Border"/>
    <w:basedOn w:val="Normal"/>
    <w:qFormat/>
    <w:rsid w:val="00462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515"/>
    <w:rPr>
      <w:b/>
      <w:bCs/>
      <w:i/>
      <w:iCs/>
      <w:color w:val="auto"/>
    </w:rPr>
  </w:style>
  <w:style w:type="paragraph" w:styleId="IntenseQuote">
    <w:name w:val="Intense Quote"/>
    <w:basedOn w:val="Normal"/>
    <w:next w:val="Normal"/>
    <w:link w:val="IntenseQuoteChar"/>
    <w:uiPriority w:val="30"/>
    <w:qFormat/>
    <w:rsid w:val="00462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515"/>
    <w:rPr>
      <w:smallCaps/>
      <w:color w:val="auto"/>
      <w:u w:val="single"/>
    </w:rPr>
  </w:style>
  <w:style w:type="character" w:styleId="IntenseReference">
    <w:name w:val="Intense Reference"/>
    <w:basedOn w:val="DefaultParagraphFont"/>
    <w:uiPriority w:val="32"/>
    <w:qFormat/>
    <w:rsid w:val="00462515"/>
    <w:rPr>
      <w:b/>
      <w:bCs/>
      <w:smallCaps/>
      <w:color w:val="auto"/>
      <w:spacing w:val="5"/>
      <w:u w:val="single"/>
    </w:rPr>
  </w:style>
  <w:style w:type="paragraph" w:customStyle="1" w:styleId="2ColumnHeading">
    <w:name w:val="2Column Heading"/>
    <w:basedOn w:val="BodyText"/>
    <w:qFormat/>
    <w:rsid w:val="00462515"/>
    <w:pPr>
      <w:spacing w:after="60"/>
      <w:ind w:left="-2268"/>
    </w:pPr>
    <w:rPr>
      <w:b/>
    </w:rPr>
  </w:style>
  <w:style w:type="paragraph" w:customStyle="1" w:styleId="Heading1TOC">
    <w:name w:val="Heading1 TOC"/>
    <w:basedOn w:val="Normal"/>
    <w:qFormat/>
    <w:rsid w:val="00462515"/>
    <w:pPr>
      <w:spacing w:before="240" w:after="120"/>
    </w:pPr>
    <w:rPr>
      <w:rFonts w:ascii="Times New Roman" w:hAnsi="Times New Roman"/>
      <w:b/>
      <w:sz w:val="32"/>
    </w:rPr>
  </w:style>
  <w:style w:type="paragraph" w:customStyle="1" w:styleId="Heading2TOC">
    <w:name w:val="Heading2 TOC"/>
    <w:basedOn w:val="Normal"/>
    <w:qFormat/>
    <w:rsid w:val="00462515"/>
    <w:pPr>
      <w:spacing w:before="240" w:after="60"/>
    </w:pPr>
    <w:rPr>
      <w:rFonts w:ascii="Times New Roman" w:hAnsi="Times New Roman"/>
      <w:b/>
      <w:sz w:val="28"/>
    </w:rPr>
  </w:style>
  <w:style w:type="character" w:customStyle="1" w:styleId="Underline">
    <w:name w:val="Underline"/>
    <w:basedOn w:val="DefaultParagraphFont"/>
    <w:qFormat/>
    <w:rsid w:val="00462515"/>
    <w:rPr>
      <w:u w:val="single"/>
    </w:rPr>
  </w:style>
  <w:style w:type="character" w:customStyle="1" w:styleId="BoldandItalics">
    <w:name w:val="Bold and Italics"/>
    <w:qFormat/>
    <w:rsid w:val="00462515"/>
    <w:rPr>
      <w:b/>
      <w:i/>
      <w:u w:val="none"/>
    </w:rPr>
  </w:style>
  <w:style w:type="paragraph" w:styleId="BalloonText">
    <w:name w:val="Balloon Text"/>
    <w:basedOn w:val="Normal"/>
    <w:link w:val="BalloonTextChar"/>
    <w:rsid w:val="00462515"/>
    <w:rPr>
      <w:rFonts w:ascii="Tahoma" w:hAnsi="Tahoma" w:cs="Tahoma"/>
      <w:sz w:val="16"/>
      <w:szCs w:val="16"/>
    </w:rPr>
  </w:style>
  <w:style w:type="character" w:customStyle="1" w:styleId="BalloonTextChar">
    <w:name w:val="Balloon Text Char"/>
    <w:basedOn w:val="DefaultParagraphFont"/>
    <w:link w:val="BalloonText"/>
    <w:rsid w:val="00462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5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515"/>
    <w:rPr>
      <w:b/>
      <w:color w:val="660033"/>
      <w:spacing w:val="0"/>
    </w:rPr>
  </w:style>
  <w:style w:type="paragraph" w:customStyle="1" w:styleId="Nameditemlist">
    <w:name w:val="Named item list"/>
    <w:basedOn w:val="BodyText"/>
    <w:qFormat/>
    <w:rsid w:val="004625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2293</Words>
  <Characters>13953</Characters>
  <Application>Microsoft Office Word</Application>
  <DocSecurity>0</DocSecurity>
  <Lines>538</Lines>
  <Paragraphs>241</Paragraphs>
  <ScaleCrop>false</ScaleCrop>
  <Company>Author-it Software Corporation Ltd.</Company>
  <LinksUpToDate>false</LinksUpToDate>
  <CharactersWithSpaces>16108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UEENEEH140A Fault find and repair  sonar apparatus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2013-08-14T06:27:00Z</dcterms:created>
  <dcterms:modified xsi:type="dcterms:W3CDTF">2013-08-14T06:27:00Z</dcterms:modified>
</cp:coreProperties>
</file>