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26E" w:rsidP="0022426E">
      <w:pPr>
        <w:pStyle w:val="Title"/>
      </w:pPr>
      <w:r>
        <w:fldChar w:fldCharType="begin"/>
      </w:r>
      <w:r>
        <w:instrText xml:space="preserve"> TITLE   \* MERGEFORMAT </w:instrText>
      </w:r>
      <w:r>
        <w:fldChar w:fldCharType="separate"/>
      </w:r>
      <w:r>
        <w:t>UEENEEH138A Fault find and repair complex power supplies</w:t>
      </w:r>
      <w:r>
        <w:fldChar w:fldCharType="end"/>
      </w:r>
    </w:p>
    <w:p w:rsidR="0022426E" w:rsidP="0022426E">
      <w:pPr>
        <w:pStyle w:val="Version"/>
        <w:sectPr w:rsidSect="008561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6101" w:rsidP="00856101">
      <w:pPr>
        <w:pStyle w:val="SuperHeading"/>
      </w:pPr>
      <w:r w:rsidRPr="00856101">
        <w:t>UEENEEH138A Fault find and repair complex power supplies</w:t>
      </w:r>
    </w:p>
    <w:p w:rsidR="00000000" w:rsidRPr="00856101" w:rsidP="00856101">
      <w:pPr>
        <w:pStyle w:val="Heading1"/>
      </w:pPr>
      <w:bookmarkStart w:id="1" w:name="O_587634"/>
      <w:bookmarkEnd w:id="1"/>
      <w:r w:rsidRPr="00856101">
        <w:t>Modification History</w:t>
      </w:r>
    </w:p>
    <w:p w:rsidR="00000000" w:rsidRPr="00856101" w:rsidP="00856101">
      <w:pPr>
        <w:pStyle w:val="BodyText"/>
      </w:pPr>
      <w:r w:rsidRPr="00856101">
        <w:t>Not applicable.</w:t>
      </w:r>
    </w:p>
    <w:p w:rsidR="00000000" w:rsidRPr="00856101" w:rsidP="00856101">
      <w:pPr>
        <w:pStyle w:val="AllowPageBreak"/>
      </w:pPr>
    </w:p>
    <w:p w:rsidR="00000000" w:rsidRPr="00856101" w:rsidP="00856101">
      <w:pPr>
        <w:pStyle w:val="Heading1"/>
      </w:pPr>
      <w:bookmarkStart w:id="2" w:name="O_587633"/>
      <w:bookmarkEnd w:id="2"/>
      <w:r w:rsidRPr="00856101">
        <w:t>Unit Descriptor</w:t>
      </w:r>
    </w:p>
    <w:tbl>
      <w:tblPr>
        <w:tblW w:w="0" w:type="auto"/>
        <w:tblLayout w:type="fixed"/>
        <w:tblCellMar>
          <w:left w:w="62" w:type="dxa"/>
          <w:right w:w="62" w:type="dxa"/>
        </w:tblCellMar>
        <w:tblLook w:val="0000"/>
      </w:tblPr>
      <w:tblGrid>
        <w:gridCol w:w="2700"/>
        <w:gridCol w:w="5760"/>
      </w:tblGrid>
      <w:tr w:rsidTr="002242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1)</w:t>
            </w:r>
            <w:r w:rsidRPr="00856101">
              <w:t xml:space="preserve"> </w:t>
            </w:r>
            <w:r w:rsidRPr="00856101">
              <w:rPr>
                <w:rStyle w:val="SpecialBold"/>
              </w:rPr>
              <w:t>Scope:</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610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1.1) Descriptor</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This unit covers fault finding and repair of regulated and switch mode power supplies The unit encompasses safe working prac</w:t>
            </w:r>
            <w:r w:rsidRPr="00856101">
              <w:t>tices, interpreting circuit diagrams, applying logical fault finding procedures, conducting repairs, safety and functional testing and completing the necessary service documentation.</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3" w:name="O_587632"/>
      <w:bookmarkEnd w:id="3"/>
      <w:r w:rsidRPr="00856101">
        <w:t>Application of the Unit</w:t>
      </w:r>
    </w:p>
    <w:tbl>
      <w:tblPr>
        <w:tblW w:w="0" w:type="auto"/>
        <w:tblLayout w:type="fixed"/>
        <w:tblCellMar>
          <w:left w:w="62" w:type="dxa"/>
          <w:right w:w="62" w:type="dxa"/>
        </w:tblCellMar>
        <w:tblLook w:val="0000"/>
      </w:tblPr>
      <w:tblGrid>
        <w:gridCol w:w="2672"/>
        <w:gridCol w:w="5699"/>
      </w:tblGrid>
      <w:tr w:rsidTr="002242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2)</w:t>
            </w:r>
          </w:p>
        </w:tc>
      </w:tr>
      <w:tr w:rsidTr="002242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This competency standard unit is intended for development of competency in either entry-level employment based programs incorporated in approved contracts of training or other approved training programs. It may also be used to augment formally acquired com</w:t>
            </w:r>
            <w:r w:rsidRPr="00856101">
              <w:t>petencies.</w:t>
            </w:r>
          </w:p>
          <w:p w:rsidR="00000000" w:rsidRPr="00856101" w:rsidP="00856101">
            <w:pPr>
              <w:pStyle w:val="BodyText"/>
            </w:pPr>
            <w:r w:rsidRPr="00856101">
              <w:t>This unit is intended as an additional competency to relevant competencies previously acquired. It is suitable for employment-based programs under an approved contract of training at the aligned AQF 3 level or higher.</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4" w:name="O_587631"/>
      <w:bookmarkEnd w:id="4"/>
      <w:r w:rsidRPr="00856101">
        <w:t>Licensin</w:t>
      </w:r>
      <w:r w:rsidRPr="00856101">
        <w:t>g/Regulatory Information</w:t>
      </w:r>
    </w:p>
    <w:tbl>
      <w:tblPr>
        <w:tblW w:w="0" w:type="auto"/>
        <w:tblLayout w:type="fixed"/>
        <w:tblCellMar>
          <w:left w:w="62" w:type="dxa"/>
          <w:right w:w="62" w:type="dxa"/>
        </w:tblCellMar>
        <w:tblLook w:val="0000"/>
      </w:tblPr>
      <w:tblGrid>
        <w:gridCol w:w="2700"/>
        <w:gridCol w:w="5760"/>
      </w:tblGrid>
      <w:tr w:rsidTr="002242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 xml:space="preserve">3) </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 xml:space="preserve">The skills and knowledge described in this unit do not require a license to practice in the workplace provided equipment is not connected to </w:t>
            </w:r>
            <w:r w:rsidRPr="00856101">
              <w:t xml:space="preserve">installation wiring at </w:t>
            </w:r>
            <w:r w:rsidRPr="00856101">
              <w:t xml:space="preserve">voltage above 50 V a.c. or 120 V d.c. However other conditions may apply in some States/Territories subject to regulations related to electrical work. </w:t>
            </w:r>
          </w:p>
          <w:p w:rsidR="00000000" w:rsidRPr="00856101" w:rsidP="00856101">
            <w:pPr>
              <w:pStyle w:val="BodyText"/>
            </w:pPr>
            <w:r w:rsidRPr="00856101">
              <w:t>Practice in the workplace and during training is also subject to regulations dire</w:t>
            </w:r>
            <w:r w:rsidRPr="00856101">
              <w:t>ctly related to occupational health and safety and where applicable contracts of training such as apprenticeships.</w:t>
            </w:r>
          </w:p>
          <w:p w:rsidR="00000000" w:rsidRPr="00856101" w:rsidP="00856101">
            <w:pPr>
              <w:pStyle w:val="BodyText"/>
            </w:pPr>
            <w:r w:rsidRPr="00856101">
              <w:t xml:space="preserve">Note: </w:t>
            </w:r>
          </w:p>
          <w:p w:rsidR="00000000" w:rsidRPr="00856101" w:rsidP="00856101">
            <w:pPr>
              <w:pStyle w:val="BodyText"/>
            </w:pPr>
            <w:r w:rsidRPr="00856101">
              <w:t>1. Compliance with permits may be required in various jurisdictions and typically relates to the operation of plant, machinery and equ</w:t>
            </w:r>
            <w:r w:rsidRPr="00856101">
              <w:t>ipment such as elevating work platforms, powder operated fixing tools, power operated tools, vehicles, road signage and traffic control, lifting equipment and the like. Permits may also be required for some work environments such as confined spaces, workin</w:t>
            </w:r>
            <w:r w:rsidRPr="00856101">
              <w:t>g aloft, near live electrical apparatus and site rehabilitation.</w:t>
            </w:r>
          </w:p>
          <w:p w:rsidR="00000000" w:rsidRPr="00856101" w:rsidP="00856101">
            <w:pPr>
              <w:pStyle w:val="BodyText"/>
            </w:pPr>
            <w:r w:rsidRPr="00856101">
              <w:t>2. Compliance may be required in various jurisdictions relating to currency in First Aid, confined space, lifting and risk safety measures.</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5" w:name="O_587630"/>
      <w:bookmarkEnd w:id="5"/>
      <w:r w:rsidRPr="00856101">
        <w:t>Pre-Requisites</w:t>
      </w:r>
    </w:p>
    <w:tbl>
      <w:tblPr>
        <w:tblW w:w="0" w:type="auto"/>
        <w:tblLayout w:type="fixed"/>
        <w:tblCellMar>
          <w:left w:w="62" w:type="dxa"/>
          <w:right w:w="62" w:type="dxa"/>
        </w:tblCellMar>
        <w:tblLook w:val="0000"/>
      </w:tblPr>
      <w:tblGrid>
        <w:gridCol w:w="2700"/>
        <w:gridCol w:w="1440"/>
        <w:gridCol w:w="4320"/>
      </w:tblGrid>
      <w:tr w:rsidTr="002242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Prerequisite Unit</w:t>
            </w:r>
            <w:r w:rsidRPr="00856101">
              <w:rPr>
                <w:rStyle w:val="SpecialBold"/>
              </w:rPr>
              <w:t>(s)</w:t>
            </w:r>
          </w:p>
        </w:tc>
        <w:tc>
          <w:tcPr>
            <w:tcW w:w="5760"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 xml:space="preserve">4) </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4.1)</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Granting competency in this unit shall be made only after competency in the following unit(s) has/have been confirmed.</w:t>
            </w:r>
          </w:p>
        </w:tc>
      </w:tr>
      <w:tr w:rsidTr="002242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UEENEEE101A</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Apply Occupational Health and Safety regulations, codes and practices in the workplace</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UEENEEE104A</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Solve problems in d.c. circuits</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 xml:space="preserve">UEENEEH102A </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Repair basic electronic apparatus faults by replacement of components</w:t>
            </w:r>
          </w:p>
        </w:tc>
      </w:tr>
      <w:tr w:rsidTr="0022426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AND</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p>
        </w:tc>
      </w:tr>
      <w:tr w:rsidTr="002242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UEENEEH114A</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Solve problems in frequency dependent circuits</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OR</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UEENEEE119A</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Solve problems in multiple path extra low voltage (ELV) a.c. circuits</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OR</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UEENEEH169A</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Solve problems in basic electronic circuits</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OR</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UEENEEG101A</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Solve problems in electromagnetic devices and related circuits</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UEENEEG102A</w:t>
            </w:r>
          </w:p>
        </w:tc>
        <w:tc>
          <w:tcPr>
            <w:tcW w:w="432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 xml:space="preserve">Solve problems in low voltage a.c. circuits </w:t>
            </w:r>
          </w:p>
        </w:tc>
      </w:tr>
      <w:tr w:rsidTr="002242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UEENEEH111A</w:t>
            </w:r>
          </w:p>
        </w:tc>
        <w:tc>
          <w:tcPr>
            <w:tcW w:w="432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 xml:space="preserve">Troubleshoot single phase input d.c. power supplies </w:t>
            </w:r>
          </w:p>
        </w:tc>
      </w:tr>
    </w:tbl>
    <w:p w:rsidR="00000000" w:rsidRPr="00856101" w:rsidP="0085610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2426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 xml:space="preserve">4.2) </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Participants are best equipped to achieve competency in this unit if they have reading, writing and numeracy skills indicated by the following scales. Description of each scale is given in Volume 2, Part 3 ‘Literacy and Numeracy’</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Reading</w:t>
            </w:r>
          </w:p>
        </w:tc>
        <w:tc>
          <w:tcPr>
            <w:tcW w:w="81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4</w:t>
            </w:r>
          </w:p>
        </w:tc>
        <w:tc>
          <w:tcPr>
            <w:tcW w:w="99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Writing</w:t>
            </w: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4</w:t>
            </w:r>
          </w:p>
        </w:tc>
        <w:tc>
          <w:tcPr>
            <w:tcW w:w="12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Numeracy</w:t>
            </w:r>
          </w:p>
        </w:tc>
        <w:tc>
          <w:tcPr>
            <w:tcW w:w="72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4</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6" w:name="O_587629"/>
      <w:bookmarkEnd w:id="6"/>
      <w:r w:rsidRPr="00856101">
        <w:t>Employability Skills Information</w:t>
      </w:r>
    </w:p>
    <w:tbl>
      <w:tblPr>
        <w:tblW w:w="0" w:type="auto"/>
        <w:tblLayout w:type="fixed"/>
        <w:tblCellMar>
          <w:left w:w="62" w:type="dxa"/>
          <w:right w:w="62" w:type="dxa"/>
        </w:tblCellMar>
        <w:tblLook w:val="0000"/>
      </w:tblPr>
      <w:tblGrid>
        <w:gridCol w:w="2700"/>
        <w:gridCol w:w="5760"/>
      </w:tblGrid>
      <w:tr w:rsidTr="002242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 xml:space="preserve">5) </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This unit contains Employability Skills</w:t>
            </w:r>
          </w:p>
          <w:p w:rsidR="00000000" w:rsidRPr="00856101" w:rsidP="00856101">
            <w:pPr>
              <w:pStyle w:val="BodyText"/>
            </w:pPr>
            <w:r w:rsidRPr="0085610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56101">
              <w:t>requirements.</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7" w:name="O_587628"/>
      <w:bookmarkEnd w:id="7"/>
      <w:r w:rsidRPr="00856101">
        <w:t>Elements and Performance Criteria Pre-Content</w:t>
      </w:r>
    </w:p>
    <w:tbl>
      <w:tblPr>
        <w:tblW w:w="0" w:type="auto"/>
        <w:tblLayout w:type="fixed"/>
        <w:tblCellMar>
          <w:left w:w="62" w:type="dxa"/>
          <w:right w:w="62" w:type="dxa"/>
        </w:tblCellMar>
        <w:tblLook w:val="0000"/>
      </w:tblPr>
      <w:tblGrid>
        <w:gridCol w:w="2700"/>
        <w:gridCol w:w="5760"/>
      </w:tblGrid>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6)</w:t>
            </w:r>
            <w:r w:rsidRPr="0085610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Performance Criteria describe the required performance needed to demonstrate achievement of the element</w:t>
            </w:r>
            <w:r w:rsidRPr="00856101">
              <w:t>. Assessment of performance is to be consistent with the Evidence Guide.</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8" w:name="O_587627"/>
      <w:bookmarkEnd w:id="8"/>
      <w:r w:rsidRPr="0085610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2426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PERFORMANCE CRITERIA</w:t>
            </w:r>
          </w:p>
        </w:tc>
      </w:tr>
      <w:tr w:rsidTr="0022426E">
        <w:tblPrEx>
          <w:tblW w:w="0" w:type="auto"/>
          <w:tblLayout w:type="fixed"/>
          <w:tblCellMar>
            <w:left w:w="62" w:type="dxa"/>
            <w:right w:w="62" w:type="dxa"/>
          </w:tblCellMar>
          <w:tblLook w:val="0000"/>
        </w:tblPrEx>
        <w:trPr>
          <w:trHeight w:val="686"/>
        </w:trPr>
        <w:tc>
          <w:tcPr>
            <w:tcW w:w="404"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1</w:t>
            </w:r>
          </w:p>
        </w:tc>
        <w:tc>
          <w:tcPr>
            <w:tcW w:w="2296" w:type="dxa"/>
            <w:vMerge w:val="restart"/>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Prepare to find and repair faults in complex power supplies.</w:t>
            </w: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1.1</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 xml:space="preserve">OHS procedures for a given work area are identified, obtained and understood.  </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1.2</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OHS risk control measures and procedures are followed in preparation for the work.</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1.3</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The nature of the fault is obtained from documentation or from work supervisor to establish the scope of work to be undertaken.</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1.4</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 xml:space="preserve">Advice is sought from the work supervisor to ensure the work is co-ordinated effectively with others. </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1.5</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 xml:space="preserve">Sources of </w:t>
            </w:r>
            <w:r w:rsidRPr="00856101">
              <w:t>materials that may be required for the work are established in accordance with established procedures.</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1.6</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 xml:space="preserve">Tools, equipment and testing devices needed to carry out the work are obtained in accordance with established procedures and checked for correct </w:t>
            </w:r>
            <w:r w:rsidRPr="00856101">
              <w:t>operation and safety.</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w:t>
            </w:r>
          </w:p>
        </w:tc>
        <w:tc>
          <w:tcPr>
            <w:tcW w:w="2296" w:type="dxa"/>
            <w:vMerge w:val="restart"/>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Find and repair faults.</w:t>
            </w: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2.1</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OHS risk control measures and procedures for carrying out the work are followed.</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2.2</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The need to test or measure live is determined in strict accordance with OHS requirements and when necessary conduc</w:t>
            </w:r>
            <w:r w:rsidRPr="00856101">
              <w:t>ted within established safety procedures.</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2.3</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Apparatus is checked as being isolated where necessary in strict accordance OHS requirements and procedures.</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2.4</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Fault finding is approached metho</w:t>
            </w:r>
            <w:r w:rsidRPr="00856101">
              <w:t xml:space="preserve">dically drawing on knowledge of complex power supplies and circuits using measured and calculated values of power supply parameters. </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2.5</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Apparatus components are dismantled where necessary and parts stored to protect them against loss or damage.</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2.6</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Faulty components are rechecked and their fault status confirmed.</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2.7</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Materials required for the repair work are sourced and obtained in accordance with established procedures.</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2.8</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Effectiveness of the repair is tested in accordance with established</w:t>
            </w:r>
            <w:r w:rsidRPr="00856101">
              <w:t xml:space="preserve"> procedures.</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2.9</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Apparatus is reassembled, finally tested and prepared for return to customer.</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2.10</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Unexpected situations are dealt with safely and with the approval of an authorised person.</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2.11</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Fault find</w:t>
            </w:r>
            <w:r w:rsidRPr="00856101">
              <w:t>ing and repair activities are carried out efficiently without waste of materials or damage to apparatus and the surrounding environment or services and using sustainable energy practices.</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3</w:t>
            </w:r>
          </w:p>
        </w:tc>
        <w:tc>
          <w:tcPr>
            <w:tcW w:w="2296"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3.1</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 xml:space="preserve">OHS work completion </w:t>
            </w:r>
            <w:r w:rsidRPr="00856101">
              <w:t>risk control measures and procedures are followed.</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3.2</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Work area is cleaned and made safe in accordance with established procedures.</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3.3</w:t>
            </w:r>
          </w:p>
        </w:tc>
        <w:tc>
          <w:tcPr>
            <w:tcW w:w="48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Written justification is made for repairs to apparatus.</w:t>
            </w:r>
          </w:p>
        </w:tc>
      </w:tr>
      <w:tr w:rsidTr="002242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3.4</w:t>
            </w:r>
          </w:p>
        </w:tc>
        <w:tc>
          <w:tcPr>
            <w:tcW w:w="486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Work completion is documented and an appropriate person or persons notified in accordance with established procedures.</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9" w:name="O_587626"/>
      <w:bookmarkEnd w:id="9"/>
      <w:r w:rsidRPr="00856101">
        <w:t>Required Skills and Knowledge</w:t>
      </w:r>
    </w:p>
    <w:tbl>
      <w:tblPr>
        <w:tblW w:w="0" w:type="auto"/>
        <w:tblLayout w:type="fixed"/>
        <w:tblCellMar>
          <w:left w:w="62" w:type="dxa"/>
          <w:right w:w="62" w:type="dxa"/>
        </w:tblCellMar>
        <w:tblLook w:val="0000"/>
      </w:tblPr>
      <w:tblGrid>
        <w:gridCol w:w="8460"/>
      </w:tblGrid>
      <w:tr w:rsidTr="002242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REQUIRED SKILLS AND KNOWLEDGE</w:t>
            </w:r>
          </w:p>
        </w:tc>
      </w:tr>
      <w:tr w:rsidTr="0022426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8)</w:t>
            </w:r>
            <w:r w:rsidRPr="00856101">
              <w:t xml:space="preserve"> This describes the essential skills and knowledge and their level, required for this unit.</w:t>
            </w:r>
          </w:p>
          <w:p w:rsidR="00000000" w:rsidRPr="00856101" w:rsidP="00856101">
            <w:pPr>
              <w:pStyle w:val="BodyText"/>
            </w:pPr>
            <w:r w:rsidRPr="00856101">
              <w:t xml:space="preserve">Evidence shall show that knowledge has been acquired of safe working practices and finding and repairing faults in complex power supplies. </w:t>
            </w:r>
          </w:p>
          <w:p w:rsidR="00000000" w:rsidRPr="00856101" w:rsidP="00856101">
            <w:pPr>
              <w:pStyle w:val="BodyText"/>
            </w:pPr>
            <w:r w:rsidRPr="00856101">
              <w:t>All knowledge and skills</w:t>
            </w:r>
            <w:r w:rsidRPr="00856101">
              <w:t xml:space="preserve"> detailed in this unit should be contextualised to current industry practices and technologies.</w:t>
            </w:r>
          </w:p>
          <w:p w:rsidR="00000000" w:rsidRPr="00856101" w:rsidP="00856101">
            <w:pPr>
              <w:pStyle w:val="BodyText"/>
            </w:pPr>
            <w:r w:rsidRPr="00856101">
              <w:rPr>
                <w:rStyle w:val="SpecialBold"/>
              </w:rPr>
              <w:t>KS01-EH138A                      Complex power supplies fault finding and repair</w:t>
            </w:r>
          </w:p>
          <w:p w:rsidR="00000000" w:rsidRPr="00856101" w:rsidP="00856101">
            <w:pPr>
              <w:pStyle w:val="BodyText"/>
            </w:pPr>
            <w:r w:rsidRPr="00856101">
              <w:t>Evidence shall show an understanding of complex power supplies fault finding and repair to an extent indicated by the following aspects:</w:t>
            </w:r>
          </w:p>
          <w:p w:rsidR="00000000" w:rsidRPr="00856101" w:rsidP="00856101">
            <w:pPr>
              <w:pStyle w:val="BodyText"/>
            </w:pPr>
            <w:r w:rsidRPr="00856101">
              <w:t>T1.</w:t>
            </w:r>
            <w:r w:rsidRPr="00856101">
              <w:tab/>
              <w:t>Series regulation</w:t>
            </w:r>
          </w:p>
          <w:p w:rsidR="00000000" w:rsidRPr="00856101" w:rsidP="00856101">
            <w:pPr>
              <w:pStyle w:val="ListBullet"/>
            </w:pPr>
            <w:r w:rsidRPr="00856101">
              <w:t>Operating principles</w:t>
            </w:r>
          </w:p>
          <w:p w:rsidR="00000000" w:rsidRPr="00856101" w:rsidP="00856101">
            <w:pPr>
              <w:pStyle w:val="ListBullet"/>
            </w:pPr>
            <w:r w:rsidRPr="00856101">
              <w:t>Operation and specifications of three terminal regulators</w:t>
            </w:r>
          </w:p>
          <w:p w:rsidR="00000000" w:rsidRPr="00856101" w:rsidP="00856101">
            <w:pPr>
              <w:pStyle w:val="ListBullet"/>
            </w:pPr>
            <w:r w:rsidRPr="00856101">
              <w:t>Internal protecti</w:t>
            </w:r>
            <w:r w:rsidRPr="00856101">
              <w:t>on for three terminal regulators</w:t>
            </w:r>
          </w:p>
          <w:p w:rsidR="00000000" w:rsidRPr="00856101" w:rsidP="00856101">
            <w:pPr>
              <w:pStyle w:val="ListBullet"/>
            </w:pPr>
            <w:r w:rsidRPr="00856101">
              <w:t>Increasing  the output current of a three terminal regulator</w:t>
            </w:r>
          </w:p>
          <w:p w:rsidR="00000000" w:rsidRPr="00856101" w:rsidP="00856101">
            <w:pPr>
              <w:pStyle w:val="ListBullet"/>
            </w:pPr>
            <w:r w:rsidRPr="00856101">
              <w:t>Increasing  the output voltage of a three terminal regulator</w:t>
            </w:r>
          </w:p>
          <w:p w:rsidR="00000000" w:rsidRPr="00856101" w:rsidP="00856101">
            <w:pPr>
              <w:pStyle w:val="ListBullet"/>
            </w:pPr>
            <w:r w:rsidRPr="00856101">
              <w:t>The three terminal regulator as a current regulator</w:t>
            </w:r>
          </w:p>
          <w:p w:rsidR="00000000" w:rsidRPr="00856101" w:rsidP="00856101">
            <w:pPr>
              <w:pStyle w:val="ListBullet"/>
            </w:pPr>
            <w:r w:rsidRPr="00856101">
              <w:t>Heat sink selection</w:t>
            </w:r>
          </w:p>
          <w:p w:rsidR="00000000" w:rsidRPr="00856101" w:rsidP="00856101">
            <w:pPr>
              <w:pStyle w:val="ListBullet"/>
            </w:pPr>
            <w:r w:rsidRPr="00856101">
              <w:t>Fault finding a series regula</w:t>
            </w:r>
            <w:r w:rsidRPr="00856101">
              <w:t>tor</w:t>
            </w:r>
          </w:p>
          <w:p w:rsidR="00000000" w:rsidRPr="00856101" w:rsidP="00856101">
            <w:pPr>
              <w:pStyle w:val="BodyText"/>
            </w:pPr>
            <w:r w:rsidRPr="00856101">
              <w:t>T2.</w:t>
            </w:r>
            <w:r w:rsidRPr="00856101">
              <w:tab/>
              <w:t>Series regulator employing closed loop control</w:t>
            </w:r>
          </w:p>
          <w:p w:rsidR="00000000" w:rsidRPr="00856101" w:rsidP="00856101">
            <w:pPr>
              <w:pStyle w:val="ListBullet"/>
            </w:pPr>
            <w:r w:rsidRPr="00856101">
              <w:t>Components selection</w:t>
            </w:r>
          </w:p>
          <w:p w:rsidR="00000000" w:rsidRPr="00856101" w:rsidP="00856101">
            <w:pPr>
              <w:pStyle w:val="ListBullet"/>
            </w:pPr>
            <w:r w:rsidRPr="00856101">
              <w:t>Basic discrete circuits</w:t>
            </w:r>
          </w:p>
          <w:p w:rsidR="00000000" w:rsidRPr="00856101" w:rsidP="00856101">
            <w:pPr>
              <w:pStyle w:val="ListBullet"/>
            </w:pPr>
            <w:r w:rsidRPr="00856101">
              <w:t xml:space="preserve">Closed loop control of regulators </w:t>
            </w:r>
          </w:p>
          <w:p w:rsidR="00000000" w:rsidRPr="00856101" w:rsidP="00856101">
            <w:pPr>
              <w:pStyle w:val="ListBullet"/>
            </w:pPr>
            <w:r w:rsidRPr="00856101">
              <w:t>Error amplification</w:t>
            </w:r>
          </w:p>
          <w:p w:rsidR="00000000" w:rsidRPr="00856101" w:rsidP="00856101">
            <w:pPr>
              <w:pStyle w:val="ListBullet"/>
            </w:pPr>
            <w:r w:rsidRPr="00856101">
              <w:t>The BJT used as an error amplifier</w:t>
            </w:r>
          </w:p>
          <w:p w:rsidR="00000000" w:rsidRPr="00856101" w:rsidP="00856101">
            <w:pPr>
              <w:pStyle w:val="ListBullet"/>
            </w:pPr>
            <w:r w:rsidRPr="00856101">
              <w:t>Operation of a series BJT regulator employing closed loop control</w:t>
            </w:r>
          </w:p>
          <w:p w:rsidR="00000000" w:rsidRPr="00856101" w:rsidP="00856101">
            <w:pPr>
              <w:pStyle w:val="ListBullet"/>
            </w:pPr>
            <w:r w:rsidRPr="00856101">
              <w:t>Typical faults</w:t>
            </w:r>
          </w:p>
          <w:p w:rsidR="00000000" w:rsidRPr="00856101" w:rsidP="00856101">
            <w:pPr>
              <w:pStyle w:val="ListBullet"/>
            </w:pPr>
            <w:r w:rsidRPr="00856101">
              <w:t>Crowbar protection</w:t>
            </w:r>
          </w:p>
          <w:p w:rsidR="00000000" w:rsidRPr="00856101" w:rsidP="00856101">
            <w:pPr>
              <w:pStyle w:val="ListBullet"/>
            </w:pPr>
            <w:r w:rsidRPr="00856101">
              <w:t>Current limiting</w:t>
            </w:r>
          </w:p>
          <w:p w:rsidR="00000000" w:rsidRPr="00856101" w:rsidP="00856101">
            <w:pPr>
              <w:pStyle w:val="ListBullet"/>
            </w:pPr>
            <w:r w:rsidRPr="00856101">
              <w:t xml:space="preserve">Verification of  circuit operation </w:t>
            </w:r>
          </w:p>
          <w:p w:rsidR="00000000" w:rsidRPr="00856101" w:rsidP="00856101">
            <w:pPr>
              <w:pStyle w:val="ListBullet"/>
            </w:pPr>
            <w:r w:rsidRPr="00856101">
              <w:t>Fault finding a series BJT regulator employing closed loop control</w:t>
            </w:r>
          </w:p>
          <w:p w:rsidR="00000000" w:rsidRPr="00856101" w:rsidP="00856101">
            <w:pPr>
              <w:pStyle w:val="BodyText"/>
            </w:pPr>
            <w:r w:rsidRPr="00856101">
              <w:t>T3.</w:t>
            </w:r>
            <w:r w:rsidRPr="00856101">
              <w:tab/>
              <w:t>Switching regulation - basic principles</w:t>
            </w:r>
          </w:p>
          <w:p w:rsidR="00000000" w:rsidRPr="00856101" w:rsidP="00856101">
            <w:pPr>
              <w:pStyle w:val="ListBullet"/>
            </w:pPr>
            <w:r w:rsidRPr="00856101">
              <w:t>Components selection</w:t>
            </w:r>
          </w:p>
          <w:p w:rsidR="00000000" w:rsidRPr="00856101" w:rsidP="00856101">
            <w:pPr>
              <w:pStyle w:val="ListBullet"/>
            </w:pPr>
            <w:r w:rsidRPr="00856101">
              <w:t>Basic principles of swit</w:t>
            </w:r>
            <w:r w:rsidRPr="00856101">
              <w:t>ching regulators</w:t>
            </w:r>
          </w:p>
          <w:p w:rsidR="00000000" w:rsidRPr="00856101" w:rsidP="00856101">
            <w:pPr>
              <w:pStyle w:val="ListBullet"/>
            </w:pPr>
            <w:r w:rsidRPr="00856101">
              <w:t>Pulse width modulation (PWM) and frequency modulation</w:t>
            </w:r>
          </w:p>
          <w:p w:rsidR="00000000" w:rsidRPr="00856101" w:rsidP="00856101">
            <w:pPr>
              <w:pStyle w:val="ListBullet"/>
            </w:pPr>
            <w:r w:rsidRPr="00856101">
              <w:t xml:space="preserve">Switching regulator configurations: step-up, step-down, inverting and isolating </w:t>
            </w:r>
          </w:p>
          <w:p w:rsidR="00000000" w:rsidRPr="00856101" w:rsidP="00856101">
            <w:pPr>
              <w:pStyle w:val="ListBullet"/>
            </w:pPr>
            <w:r w:rsidRPr="00856101">
              <w:t xml:space="preserve">Circuit analysis of each regulator, constructed from a BJT, inductor, diode and filter capacitor </w:t>
            </w:r>
          </w:p>
          <w:p w:rsidR="00000000" w:rsidRPr="00856101" w:rsidP="00856101">
            <w:pPr>
              <w:pStyle w:val="ListBullet"/>
            </w:pPr>
            <w:r w:rsidRPr="00856101">
              <w:t>Electr</w:t>
            </w:r>
            <w:r w:rsidRPr="00856101">
              <w:t xml:space="preserve">omagnetic radiation (EMR) and noise emissions </w:t>
            </w:r>
          </w:p>
          <w:p w:rsidR="00000000" w:rsidRPr="00856101" w:rsidP="00856101">
            <w:pPr>
              <w:pStyle w:val="ListBullet"/>
            </w:pPr>
            <w:r w:rsidRPr="00856101">
              <w:t>Ferrite cores</w:t>
            </w:r>
          </w:p>
          <w:p w:rsidR="00000000" w:rsidRPr="00856101" w:rsidP="00856101">
            <w:pPr>
              <w:pStyle w:val="ListBullet"/>
            </w:pPr>
            <w:r w:rsidRPr="00856101">
              <w:t xml:space="preserve">Verification of circuit operation </w:t>
            </w:r>
          </w:p>
          <w:p w:rsidR="00000000" w:rsidRPr="00856101" w:rsidP="00856101">
            <w:pPr>
              <w:pStyle w:val="ListBullet"/>
            </w:pPr>
            <w:r w:rsidRPr="00856101">
              <w:t>Heat sink selection</w:t>
            </w:r>
          </w:p>
          <w:p w:rsidR="00000000" w:rsidRPr="00856101" w:rsidP="00856101">
            <w:pPr>
              <w:pStyle w:val="BodyText"/>
            </w:pPr>
            <w:r w:rsidRPr="00856101">
              <w:t>T4.</w:t>
            </w:r>
            <w:r w:rsidRPr="00856101">
              <w:tab/>
              <w:t xml:space="preserve">Switching regulation - closed loop control of output </w:t>
            </w:r>
          </w:p>
          <w:p w:rsidR="00000000" w:rsidRPr="00856101" w:rsidP="00856101">
            <w:pPr>
              <w:pStyle w:val="ListBullet"/>
            </w:pPr>
            <w:r w:rsidRPr="00856101">
              <w:t>Generic block diagram of a switching regulator employing feedback to control outp</w:t>
            </w:r>
            <w:r w:rsidRPr="00856101">
              <w:t xml:space="preserve">ut voltage </w:t>
            </w:r>
          </w:p>
          <w:p w:rsidR="00000000" w:rsidRPr="00856101" w:rsidP="00856101">
            <w:pPr>
              <w:pStyle w:val="ListBullet"/>
            </w:pPr>
            <w:r w:rsidRPr="00856101">
              <w:t xml:space="preserve">Circuit operation </w:t>
            </w:r>
          </w:p>
          <w:p w:rsidR="00000000" w:rsidRPr="00856101" w:rsidP="00856101">
            <w:pPr>
              <w:pStyle w:val="ListBullet"/>
            </w:pPr>
            <w:r w:rsidRPr="00856101">
              <w:t>Typical faults</w:t>
            </w:r>
          </w:p>
          <w:p w:rsidR="00000000" w:rsidRPr="00856101" w:rsidP="00856101">
            <w:pPr>
              <w:pStyle w:val="ListBullet"/>
            </w:pPr>
            <w:r w:rsidRPr="00856101">
              <w:t>Emerging technologies in IC regulators</w:t>
            </w:r>
          </w:p>
          <w:p w:rsidR="00000000" w:rsidRPr="00856101" w:rsidP="00856101">
            <w:pPr>
              <w:pStyle w:val="ListBullet"/>
            </w:pPr>
            <w:r w:rsidRPr="00856101">
              <w:t>Verification of load regulation</w:t>
            </w:r>
          </w:p>
          <w:p w:rsidR="00000000" w:rsidRPr="00856101" w:rsidP="00856101">
            <w:pPr>
              <w:pStyle w:val="BodyText"/>
            </w:pPr>
            <w:r w:rsidRPr="00856101">
              <w:t>T5.</w:t>
            </w:r>
            <w:r w:rsidRPr="00856101">
              <w:tab/>
              <w:t>Off-line switching regulators</w:t>
            </w:r>
          </w:p>
          <w:p w:rsidR="00000000" w:rsidRPr="00856101" w:rsidP="00856101">
            <w:pPr>
              <w:pStyle w:val="ListBullet"/>
            </w:pPr>
            <w:r w:rsidRPr="00856101">
              <w:t xml:space="preserve">Isolation and safety requirements </w:t>
            </w:r>
          </w:p>
          <w:p w:rsidR="00000000" w:rsidRPr="00856101" w:rsidP="00856101">
            <w:pPr>
              <w:pStyle w:val="ListBullet"/>
            </w:pPr>
            <w:r w:rsidRPr="00856101">
              <w:t>Specialised safety equipment</w:t>
            </w:r>
          </w:p>
          <w:p w:rsidR="00000000" w:rsidRPr="00856101" w:rsidP="00856101">
            <w:pPr>
              <w:pStyle w:val="ListBullet"/>
            </w:pPr>
            <w:r w:rsidRPr="00856101">
              <w:t>Operation of flyback (buck) and forward (boost) converters</w:t>
            </w:r>
          </w:p>
          <w:p w:rsidR="00000000" w:rsidRPr="00856101" w:rsidP="00856101">
            <w:pPr>
              <w:pStyle w:val="ListBullet"/>
            </w:pPr>
            <w:r w:rsidRPr="00856101">
              <w:t>Typical faults</w:t>
            </w:r>
          </w:p>
          <w:p w:rsidR="00000000" w:rsidRPr="00856101" w:rsidP="00856101">
            <w:pPr>
              <w:pStyle w:val="ListBullet"/>
            </w:pPr>
            <w:r w:rsidRPr="00856101">
              <w:t>Verification of circuit operation</w:t>
            </w:r>
          </w:p>
          <w:p w:rsidR="00000000" w:rsidRPr="00856101" w:rsidP="00856101">
            <w:pPr>
              <w:pStyle w:val="BodyText"/>
            </w:pPr>
            <w:r w:rsidRPr="00856101">
              <w:t>T6. OH&amp;S</w:t>
            </w:r>
          </w:p>
          <w:p w:rsidR="00000000" w:rsidRPr="00856101" w:rsidP="00856101">
            <w:pPr>
              <w:pStyle w:val="ListBullet"/>
            </w:pPr>
            <w:r w:rsidRPr="00856101">
              <w:t>Safe working practices and relevant Standards, Codes and Regulations</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10" w:name="O_587625"/>
      <w:bookmarkEnd w:id="10"/>
      <w:r w:rsidRPr="00856101">
        <w:t>Evidence Guide</w:t>
      </w:r>
    </w:p>
    <w:tbl>
      <w:tblPr>
        <w:tblW w:w="0" w:type="auto"/>
        <w:tblLayout w:type="fixed"/>
        <w:tblCellMar>
          <w:left w:w="62" w:type="dxa"/>
          <w:right w:w="62" w:type="dxa"/>
        </w:tblCellMar>
        <w:tblLook w:val="0000"/>
      </w:tblPr>
      <w:tblGrid>
        <w:gridCol w:w="8460"/>
      </w:tblGrid>
      <w:tr w:rsidTr="0022426E">
        <w:tblPrEx>
          <w:tblW w:w="0" w:type="auto"/>
          <w:tblLayout w:type="fixed"/>
          <w:tblCellMar>
            <w:left w:w="62" w:type="dxa"/>
            <w:right w:w="62" w:type="dxa"/>
          </w:tblCellMar>
          <w:tblLook w:val="0000"/>
        </w:tblPrEx>
        <w:trPr>
          <w:trHeight w:val="406"/>
          <w:tblHeader/>
        </w:trPr>
        <w:tc>
          <w:tcPr>
            <w:tcW w:w="84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EVIDENCE GUIDE</w:t>
            </w:r>
          </w:p>
        </w:tc>
      </w:tr>
      <w:tr w:rsidTr="002242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9)</w:t>
            </w:r>
            <w:r w:rsidRPr="00856101">
              <w:t xml:space="preserve"> The evidence guide provides advice on assessment and must be read in conjunction with the Performance Criteria, Required Skills and Knowledge, the Range Statement and the Assessment Guidelines for this Training Package. .</w:t>
            </w:r>
          </w:p>
          <w:p w:rsidR="00000000" w:rsidRPr="00856101" w:rsidP="00856101">
            <w:pPr>
              <w:pStyle w:val="BodyText"/>
            </w:pPr>
            <w:r w:rsidRPr="00856101">
              <w:t>The Evidence Guide forms an integ</w:t>
            </w:r>
            <w:r w:rsidRPr="00856101">
              <w:t>ral part of this unit. It must be used in conjunction with all parts of the unit and performed in accordance with the Assessment Guidelines of this Training Package.</w:t>
            </w:r>
          </w:p>
        </w:tc>
      </w:tr>
    </w:tbl>
    <w:p w:rsidR="00000000" w:rsidRPr="00856101" w:rsidP="00856101">
      <w:pPr>
        <w:pStyle w:val="BodyText"/>
      </w:pPr>
    </w:p>
    <w:tbl>
      <w:tblPr>
        <w:tblW w:w="0" w:type="auto"/>
        <w:tblLayout w:type="fixed"/>
        <w:tblCellMar>
          <w:left w:w="62" w:type="dxa"/>
          <w:right w:w="62" w:type="dxa"/>
        </w:tblCellMar>
        <w:tblLook w:val="0000"/>
      </w:tblPr>
      <w:tblGrid>
        <w:gridCol w:w="1890"/>
        <w:gridCol w:w="6570"/>
      </w:tblGrid>
      <w:tr w:rsidTr="002242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9.1)</w:t>
            </w:r>
          </w:p>
        </w:tc>
      </w:tr>
      <w:tr w:rsidTr="002242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Longitudinal competency development approaches to assessme</w:t>
            </w:r>
            <w:r w:rsidRPr="00856101">
              <w:t>nt, such as Profiling, require data to be reliably gathered in a form that can be consistently interpreted over time. This approach is best utilised in Apprenticeship programs and reduces assessment intervention. It is the Industry-preferred model for appr</w:t>
            </w:r>
            <w:r w:rsidRPr="00856101">
              <w:t>enticeships. However, where summative (or final) assessment is used it must include the application of the competency in the normal work environment or, at a minimum, the application of the competency in a realistically simulated work environment. It is re</w:t>
            </w:r>
            <w:r w:rsidRPr="00856101">
              <w:t>cognised that, in some circumstances, assessment in part or full can occur outside the workplace. However, it must be in accord with industry and regulatory policy.</w:t>
            </w:r>
          </w:p>
          <w:p w:rsidR="00000000" w:rsidRPr="00856101" w:rsidP="00856101">
            <w:pPr>
              <w:pStyle w:val="BodyText"/>
            </w:pPr>
            <w:r w:rsidRPr="00856101">
              <w:t>Methods chosen for a particular assessment will be influenced by various factors. These inc</w:t>
            </w:r>
            <w:r w:rsidRPr="00856101">
              <w:t>lude the extent of the assessment, the most effective locations for the assessment activities to take place, access to physical resources, additional safety measures that may be required and the critical nature of the competencies being assessed.</w:t>
            </w:r>
          </w:p>
          <w:p w:rsidR="00000000" w:rsidRPr="00856101" w:rsidP="00856101">
            <w:pPr>
              <w:pStyle w:val="BodyText"/>
            </w:pPr>
            <w:r w:rsidRPr="00856101">
              <w:t>The criti</w:t>
            </w:r>
            <w:r w:rsidRPr="00856101">
              <w:t>cal safety nature of working with electricity, electrical equipment, gas or any other hazardous substance/material carries risk in deeming a person competent. Sources of evidence need to be ‘rich’ in nature to minimise error in judgment.</w:t>
            </w:r>
          </w:p>
          <w:p w:rsidR="00000000" w:rsidRPr="00856101" w:rsidP="00856101">
            <w:pPr>
              <w:pStyle w:val="BodyText"/>
            </w:pPr>
            <w:r w:rsidRPr="00856101">
              <w:t>Activities associated with normal everyday work influence decisions about how/how much the data gathered will contribute to its ‘richness’. Some skills are more critical to safety and operational requirements while the same skills may be more or less frequ</w:t>
            </w:r>
            <w:r w:rsidRPr="00856101">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856101" w:rsidP="00856101">
      <w:pPr>
        <w:pStyle w:val="BodyText"/>
      </w:pPr>
    </w:p>
    <w:tbl>
      <w:tblPr>
        <w:tblW w:w="9900" w:type="dxa"/>
        <w:tblLayout w:type="fixed"/>
        <w:tblCellMar>
          <w:left w:w="62" w:type="dxa"/>
          <w:right w:w="62" w:type="dxa"/>
        </w:tblCellMar>
        <w:tblLook w:val="0000"/>
      </w:tblPr>
      <w:tblGrid>
        <w:gridCol w:w="1865"/>
        <w:gridCol w:w="25"/>
        <w:gridCol w:w="6120"/>
        <w:gridCol w:w="450"/>
        <w:gridCol w:w="1440"/>
      </w:tblGrid>
      <w:tr w:rsidTr="0022426E">
        <w:tblPrEx>
          <w:tblW w:w="9900" w:type="dxa"/>
          <w:tblLayout w:type="fixed"/>
          <w:tblCellMar>
            <w:left w:w="62" w:type="dxa"/>
            <w:right w:w="62" w:type="dxa"/>
          </w:tblCellMar>
          <w:tblLook w:val="0000"/>
        </w:tblPrEx>
        <w:trPr>
          <w:gridAfter w:val="1"/>
          <w:wAfter w:w="1440" w:type="dxa"/>
        </w:trPr>
        <w:tc>
          <w:tcPr>
            <w:tcW w:w="1890" w:type="dxa"/>
            <w:gridSpan w:val="2"/>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9.2)</w:t>
            </w:r>
          </w:p>
        </w:tc>
      </w:tr>
      <w:tr w:rsidTr="0022426E">
        <w:tblPrEx>
          <w:tblW w:w="9900" w:type="dxa"/>
          <w:tblLayout w:type="fixed"/>
          <w:tblCellMar>
            <w:left w:w="62" w:type="dxa"/>
            <w:right w:w="62" w:type="dxa"/>
          </w:tblCellMar>
          <w:tblLook w:val="0000"/>
        </w:tblPrEx>
        <w:trPr>
          <w:gridAfter w:val="1"/>
          <w:wAfter w:w="1440"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Before the critical aspects of evidence are considered all prerequisites shall be met.</w:t>
            </w:r>
          </w:p>
          <w:p w:rsidR="00000000" w:rsidRPr="00856101" w:rsidP="00856101">
            <w:pPr>
              <w:pStyle w:val="BodyText"/>
            </w:pPr>
            <w:r w:rsidRPr="00856101">
              <w:t>Evidence for competence in this unit shall be considered holistically.  Each Elem</w:t>
            </w:r>
            <w:r w:rsidRPr="00856101">
              <w:t>ent and associated performance criteria shall be demonstrated on at least two occasions in accordance with the ‘Assessment Guidelines – UEE11’.  Evidence shall also comprise:</w:t>
            </w:r>
          </w:p>
          <w:p w:rsidR="00000000" w:rsidRPr="00856101" w:rsidP="00856101">
            <w:pPr>
              <w:pStyle w:val="ListBullet"/>
            </w:pPr>
            <w:r w:rsidRPr="00856101">
              <w:t>A representative body of work performance demonstrated within the timeframes typ</w:t>
            </w:r>
            <w:r w:rsidRPr="00856101">
              <w:t>ically expected of the discipline, work function and industrial environment. In particular this shall incorporate evidence that shows a candidate is able to:</w:t>
            </w:r>
          </w:p>
          <w:p w:rsidR="00000000" w:rsidRPr="00856101" w:rsidP="00856101">
            <w:pPr>
              <w:pStyle w:val="ListBullet2"/>
            </w:pPr>
            <w:r w:rsidRPr="00856101">
              <w:t xml:space="preserve">Implement Occupational Health and Safety workplace procedures and practices, including </w:t>
            </w:r>
            <w:r w:rsidRPr="00856101">
              <w:t>the use of risk control measures as specified in the performance criteria and range statement</w:t>
            </w:r>
          </w:p>
          <w:p w:rsidR="00000000" w:rsidRPr="00856101" w:rsidP="00856101">
            <w:pPr>
              <w:pStyle w:val="ListBullet2"/>
            </w:pPr>
            <w:r w:rsidRPr="00856101">
              <w:t>Apply sustainable energy principles and practices as specified in the performance criteria and range statement</w:t>
            </w:r>
          </w:p>
          <w:p w:rsidR="00000000" w:rsidRPr="00856101" w:rsidP="00856101">
            <w:pPr>
              <w:pStyle w:val="ListBullet2"/>
            </w:pPr>
            <w:r w:rsidRPr="00856101">
              <w:t>Demonstrate an understanding of the essential knowl</w:t>
            </w:r>
            <w:r w:rsidRPr="00856101">
              <w:t>edge and associated skills as described in this unit.  It may be required by some jurisdictions that RTOs provide a percentile graded result for the purpose of regulatory or licensing requirements.</w:t>
            </w:r>
          </w:p>
          <w:p w:rsidR="00000000" w:rsidRPr="00856101" w:rsidP="00856101">
            <w:pPr>
              <w:pStyle w:val="ListBullet2"/>
            </w:pPr>
            <w:r w:rsidRPr="00856101">
              <w:t>Demonstrate an appropriate level of skills enabling employ</w:t>
            </w:r>
            <w:r w:rsidRPr="00856101">
              <w:t>ment</w:t>
            </w:r>
          </w:p>
          <w:p w:rsidR="00000000" w:rsidRPr="00856101" w:rsidP="00856101">
            <w:pPr>
              <w:pStyle w:val="ListBullet2"/>
            </w:pPr>
            <w:r w:rsidRPr="00856101">
              <w:t>Conduct work observing the relevant Anti Discrimination legislation, regulations, polices and workplace procedures</w:t>
            </w:r>
          </w:p>
          <w:p w:rsidR="00000000" w:rsidRPr="00856101" w:rsidP="00856101">
            <w:pPr>
              <w:pStyle w:val="ListBullet"/>
            </w:pPr>
            <w:r w:rsidRPr="00856101">
              <w:t>Demonstrated consistent performance across a representative range of contexts from the prescribed items below:</w:t>
            </w:r>
          </w:p>
          <w:p w:rsidR="00000000" w:rsidP="00856101">
            <w:pPr>
              <w:pStyle w:val="ListBullet2"/>
              <w:rPr>
                <w:lang w:val="en-NZ"/>
              </w:rPr>
            </w:pPr>
            <w:r w:rsidRPr="00856101">
              <w:t xml:space="preserve">Find and repair faults </w:t>
            </w:r>
            <w:r w:rsidRPr="00856101">
              <w:t>in complex power supplies as described in 8) and including:</w:t>
            </w:r>
          </w:p>
        </w:tc>
      </w:tr>
      <w:tr w:rsidTr="0022426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A</w:t>
            </w:r>
          </w:p>
        </w:tc>
        <w:tc>
          <w:tcPr>
            <w:tcW w:w="6145"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Using methodical fault finding techniques.</w:t>
            </w:r>
          </w:p>
        </w:tc>
      </w:tr>
      <w:tr w:rsidTr="0022426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B</w:t>
            </w:r>
          </w:p>
        </w:tc>
        <w:tc>
          <w:tcPr>
            <w:tcW w:w="6145"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Finding faults efficiently.</w:t>
            </w:r>
          </w:p>
        </w:tc>
      </w:tr>
      <w:tr w:rsidTr="0022426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C</w:t>
            </w:r>
          </w:p>
        </w:tc>
        <w:tc>
          <w:tcPr>
            <w:tcW w:w="6145"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Replacing components without damage.</w:t>
            </w:r>
          </w:p>
        </w:tc>
      </w:tr>
      <w:tr w:rsidTr="0022426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D</w:t>
            </w:r>
          </w:p>
        </w:tc>
        <w:tc>
          <w:tcPr>
            <w:tcW w:w="6145"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Providing written justification for the repairs.</w:t>
            </w:r>
          </w:p>
        </w:tc>
      </w:tr>
      <w:tr w:rsidTr="0022426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E</w:t>
            </w:r>
          </w:p>
        </w:tc>
        <w:tc>
          <w:tcPr>
            <w:tcW w:w="6145" w:type="dxa"/>
            <w:gridSpan w:val="2"/>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t>Dealing with unplanned events by drawing on essential knowledge and skills to provide appropriate solutions incorporated in a holistic assessment with the above listed items.</w:t>
            </w:r>
          </w:p>
        </w:tc>
      </w:tr>
      <w:tr w:rsidTr="0022426E">
        <w:tblPrEx>
          <w:tblW w:w="9900" w:type="dxa"/>
          <w:tblLayout w:type="fixed"/>
          <w:tblCellMar>
            <w:left w:w="62" w:type="dxa"/>
            <w:right w:w="62" w:type="dxa"/>
          </w:tblCellMar>
          <w:tblLook w:val="0000"/>
        </w:tblPrEx>
        <w:tc>
          <w:tcPr>
            <w:tcW w:w="9900" w:type="dxa"/>
            <w:gridSpan w:val="5"/>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 xml:space="preserve">Note: </w:t>
            </w:r>
            <w:r w:rsidRPr="00856101">
              <w:br/>
              <w:t>Successful completion of relevant vendor training may be used to contribu</w:t>
            </w:r>
            <w:r w:rsidRPr="00856101">
              <w:t>te to evidence on which competency is deemed. In these cases the alignment of outcomes of vendor training with performance criteria and critical aspects of evidence shall be clearly identified.</w:t>
            </w:r>
          </w:p>
        </w:tc>
      </w:tr>
    </w:tbl>
    <w:p w:rsidR="00000000" w:rsidRPr="00856101" w:rsidP="00856101">
      <w:pPr>
        <w:pStyle w:val="BodyText"/>
      </w:pPr>
    </w:p>
    <w:tbl>
      <w:tblPr>
        <w:tblW w:w="0" w:type="auto"/>
        <w:tblLayout w:type="fixed"/>
        <w:tblCellMar>
          <w:left w:w="62" w:type="dxa"/>
          <w:right w:w="62" w:type="dxa"/>
        </w:tblCellMar>
        <w:tblLook w:val="0000"/>
      </w:tblPr>
      <w:tblGrid>
        <w:gridCol w:w="1890"/>
        <w:gridCol w:w="6570"/>
      </w:tblGrid>
      <w:tr w:rsidTr="0022426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9.3)</w:t>
            </w:r>
          </w:p>
        </w:tc>
      </w:tr>
      <w:tr w:rsidTr="0022426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This unit should be assessed as it relates to normal work practice using procedures, information and resources typical of a workplace. This should include:</w:t>
            </w:r>
          </w:p>
          <w:p w:rsidR="00000000" w:rsidRPr="00856101" w:rsidP="00856101">
            <w:pPr>
              <w:pStyle w:val="ListBullet"/>
            </w:pPr>
            <w:r w:rsidRPr="00856101">
              <w:t>OHS policy and work procedures and instructions.</w:t>
            </w:r>
          </w:p>
          <w:p w:rsidR="00000000" w:rsidRPr="00856101" w:rsidP="00856101">
            <w:pPr>
              <w:pStyle w:val="ListBullet"/>
            </w:pPr>
            <w:r w:rsidRPr="00856101">
              <w:t>Suitable work environment, facilities, equipment and materials to undertake actual work as prescribed by this unit.</w:t>
            </w:r>
          </w:p>
          <w:p w:rsidR="00000000" w:rsidRPr="00856101" w:rsidP="00856101">
            <w:pPr>
              <w:pStyle w:val="BodyText"/>
            </w:pPr>
            <w:r w:rsidRPr="00856101">
              <w:t>These should be part of the formal learning/assessment environment.</w:t>
            </w:r>
          </w:p>
          <w:p w:rsidR="00000000" w:rsidRPr="00856101" w:rsidP="00856101">
            <w:pPr>
              <w:pStyle w:val="BodyText"/>
            </w:pPr>
            <w:r w:rsidRPr="00856101">
              <w:t>Note:</w:t>
            </w:r>
          </w:p>
          <w:p w:rsidR="00000000" w:rsidRPr="00856101" w:rsidP="00856101">
            <w:pPr>
              <w:pStyle w:val="BodyText"/>
            </w:pPr>
            <w:r w:rsidRPr="00856101">
              <w:t>Where simulation is considered a suitable strategy for assessment,</w:t>
            </w:r>
            <w:r w:rsidRPr="00856101">
              <w:t xml:space="preserve"> conditions must be authentic and as far as possible reproduce and replicate the workplace and be consistent with the approved industry simulation policy.</w:t>
            </w:r>
          </w:p>
          <w:p w:rsidR="00000000" w:rsidRPr="00856101" w:rsidP="00856101">
            <w:pPr>
              <w:pStyle w:val="BodyText"/>
            </w:pPr>
            <w:r w:rsidRPr="00856101">
              <w:t>The resources used for assessment should reflect current industry practices in relation to finding an</w:t>
            </w:r>
            <w:r w:rsidRPr="00856101">
              <w:t>d repairing faults in complex power supplies.</w:t>
            </w:r>
          </w:p>
        </w:tc>
      </w:tr>
    </w:tbl>
    <w:p w:rsidR="00000000" w:rsidRPr="00856101" w:rsidP="00856101">
      <w:pPr>
        <w:pStyle w:val="BodyText"/>
      </w:pPr>
    </w:p>
    <w:tbl>
      <w:tblPr>
        <w:tblW w:w="0" w:type="auto"/>
        <w:tblLayout w:type="fixed"/>
        <w:tblCellMar>
          <w:left w:w="62" w:type="dxa"/>
          <w:right w:w="62" w:type="dxa"/>
        </w:tblCellMar>
        <w:tblLook w:val="0000"/>
      </w:tblPr>
      <w:tblGrid>
        <w:gridCol w:w="1890"/>
        <w:gridCol w:w="6570"/>
      </w:tblGrid>
      <w:tr w:rsidTr="002242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9.4)</w:t>
            </w:r>
          </w:p>
        </w:tc>
      </w:tr>
      <w:tr w:rsidTr="002242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This unit shall be assessed by methods given in Volume 1, Part 3 ‘Assessment Guidelines’.</w:t>
            </w:r>
          </w:p>
          <w:p w:rsidR="00000000" w:rsidRPr="00856101" w:rsidP="00856101">
            <w:pPr>
              <w:pStyle w:val="BodyText"/>
            </w:pPr>
            <w:r w:rsidRPr="00856101">
              <w:t xml:space="preserve">Note: </w:t>
            </w:r>
          </w:p>
          <w:p w:rsidR="00000000" w:rsidRPr="00856101" w:rsidP="00856101">
            <w:pPr>
              <w:pStyle w:val="BodyText"/>
            </w:pPr>
            <w:r w:rsidRPr="00856101">
              <w:t xml:space="preserve">Competent performance with inherent safe working practices </w:t>
            </w:r>
            <w:r w:rsidRPr="00856101">
              <w:t>is expected in the industry to which this unit applies. This requires that the specified essential knowledge and associated skills are assessed in a structured environment which is primarily intended for learning/assessment and incorporates all necessary e</w:t>
            </w:r>
            <w:r w:rsidRPr="00856101">
              <w:t>quipment and facilities for learners to develop and demonstrate the essential knowledge and skills described in this unit.</w:t>
            </w:r>
          </w:p>
        </w:tc>
      </w:tr>
    </w:tbl>
    <w:p w:rsidR="00000000" w:rsidRPr="00856101" w:rsidP="00856101">
      <w:pPr>
        <w:pStyle w:val="BodyText"/>
      </w:pPr>
    </w:p>
    <w:tbl>
      <w:tblPr>
        <w:tblW w:w="0" w:type="auto"/>
        <w:tblLayout w:type="fixed"/>
        <w:tblCellMar>
          <w:left w:w="62" w:type="dxa"/>
          <w:right w:w="62" w:type="dxa"/>
        </w:tblCellMar>
        <w:tblLook w:val="0000"/>
      </w:tblPr>
      <w:tblGrid>
        <w:gridCol w:w="1890"/>
        <w:gridCol w:w="6570"/>
      </w:tblGrid>
      <w:tr w:rsidTr="002242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9.5)</w:t>
            </w:r>
          </w:p>
        </w:tc>
      </w:tr>
      <w:tr w:rsidTr="002242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There are no concurrent assessment recommendations for this unit.</w:t>
            </w:r>
          </w:p>
          <w:p w:rsidR="00000000" w:rsidRPr="00856101" w:rsidP="00856101">
            <w:pPr>
              <w:pStyle w:val="BodyText"/>
            </w:pPr>
            <w:r w:rsidRPr="00856101">
              <w:t>Th</w:t>
            </w:r>
            <w:r w:rsidRPr="00856101">
              <w:t>e critical aspects of occupational health and safety covered in unit UEENEEE101A and other discipline specific occupational health and safety units shall be incorporated in relation to this unit.</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11" w:name="O_587624"/>
      <w:bookmarkEnd w:id="11"/>
      <w:r w:rsidRPr="00856101">
        <w:t>Range Statement</w:t>
      </w:r>
    </w:p>
    <w:tbl>
      <w:tblPr>
        <w:tblW w:w="0" w:type="auto"/>
        <w:tblLayout w:type="fixed"/>
        <w:tblCellMar>
          <w:left w:w="62" w:type="dxa"/>
          <w:right w:w="62" w:type="dxa"/>
        </w:tblCellMar>
        <w:tblLook w:val="0000"/>
      </w:tblPr>
      <w:tblGrid>
        <w:gridCol w:w="8460"/>
      </w:tblGrid>
      <w:tr w:rsidTr="002242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RANGE STATEMENT</w:t>
            </w:r>
          </w:p>
        </w:tc>
      </w:tr>
      <w:tr w:rsidTr="002242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10)</w:t>
            </w:r>
            <w:r w:rsidRPr="00856101">
              <w:t xml:space="preserve"> This relates to the unit as a whole providing the range of contexts and conditions to which the performance criteria apply. It allows for different work environments and situations that will affect performance.</w:t>
            </w:r>
          </w:p>
          <w:p w:rsidR="00000000" w:rsidRPr="00856101" w:rsidP="00856101">
            <w:pPr>
              <w:pStyle w:val="BodyText"/>
            </w:pPr>
            <w:r w:rsidRPr="00856101">
              <w:t xml:space="preserve">This unit shall be demonstrated in relation </w:t>
            </w:r>
            <w:r w:rsidRPr="00856101">
              <w:t>to finding and repairing a range of faults in a representative range of regulated power supply and a switch mode power supply.</w:t>
            </w:r>
          </w:p>
          <w:p w:rsidR="00000000" w:rsidRPr="00856101" w:rsidP="00856101">
            <w:pPr>
              <w:pStyle w:val="BodyText"/>
            </w:pPr>
            <w:r w:rsidRPr="00856101">
              <w:t>Generic terms used throughout this Vocational Standard shall be regarded as part of the Range Statement in which competency is de</w:t>
            </w:r>
            <w:r w:rsidRPr="00856101">
              <w:t>monstrated. The definition of these and other terms that apply are given in Volume 2, Part 2.1.</w:t>
            </w:r>
          </w:p>
        </w:tc>
      </w:tr>
    </w:tbl>
    <w:p w:rsidR="00000000" w:rsidRPr="00856101" w:rsidP="00856101">
      <w:pPr>
        <w:pStyle w:val="BodyText"/>
      </w:pPr>
    </w:p>
    <w:p w:rsidR="00000000" w:rsidRPr="00856101" w:rsidP="00856101">
      <w:pPr>
        <w:pStyle w:val="AllowPageBreak"/>
      </w:pPr>
    </w:p>
    <w:p w:rsidR="00000000" w:rsidRPr="00856101" w:rsidP="00856101">
      <w:pPr>
        <w:pStyle w:val="Heading1"/>
      </w:pPr>
      <w:bookmarkStart w:id="12" w:name="O_587623"/>
      <w:bookmarkEnd w:id="12"/>
      <w:r w:rsidRPr="00856101">
        <w:t>Unit Sector(s)</w:t>
      </w:r>
    </w:p>
    <w:p w:rsidR="00000000" w:rsidRPr="00856101" w:rsidP="00856101">
      <w:pPr>
        <w:pStyle w:val="BodyText"/>
      </w:pPr>
      <w:r w:rsidRPr="00856101">
        <w:t>Not applicable.</w:t>
      </w:r>
    </w:p>
    <w:p w:rsidR="00000000" w:rsidRPr="00856101" w:rsidP="00856101">
      <w:pPr>
        <w:pStyle w:val="AllowPageBreak"/>
      </w:pPr>
    </w:p>
    <w:p w:rsidR="00000000" w:rsidRPr="00856101" w:rsidP="00856101">
      <w:pPr>
        <w:pStyle w:val="Heading1"/>
      </w:pPr>
      <w:bookmarkStart w:id="13" w:name="O_587622"/>
      <w:bookmarkEnd w:id="13"/>
      <w:r w:rsidRPr="00856101">
        <w:t>Competency Field</w:t>
      </w:r>
    </w:p>
    <w:tbl>
      <w:tblPr>
        <w:tblW w:w="0" w:type="auto"/>
        <w:tblLayout w:type="fixed"/>
        <w:tblCellMar>
          <w:left w:w="62" w:type="dxa"/>
          <w:right w:w="62" w:type="dxa"/>
        </w:tblCellMar>
        <w:tblLook w:val="0000"/>
      </w:tblPr>
      <w:tblGrid>
        <w:gridCol w:w="2700"/>
        <w:gridCol w:w="5760"/>
      </w:tblGrid>
      <w:tr w:rsidTr="002242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56101">
            <w:pPr>
              <w:pStyle w:val="BodyText"/>
              <w:rPr>
                <w:lang w:val="en-NZ"/>
              </w:rPr>
            </w:pPr>
            <w:r w:rsidRPr="00856101">
              <w:rPr>
                <w:rStyle w:val="SpecialBold"/>
              </w:rPr>
              <w:t xml:space="preserve">11) </w:t>
            </w:r>
          </w:p>
        </w:tc>
      </w:tr>
      <w:tr w:rsidTr="002242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6101" w:rsidP="00856101">
            <w:pPr>
              <w:pStyle w:val="BodyText"/>
            </w:pPr>
            <w:r w:rsidRPr="00856101">
              <w:t>Electronics</w:t>
            </w:r>
          </w:p>
        </w:tc>
      </w:tr>
    </w:tbl>
    <w:p w:rsidR="00000000" w:rsidRPr="00856101" w:rsidP="00856101">
      <w:pPr>
        <w:pStyle w:val="BodyText"/>
      </w:pPr>
    </w:p>
    <w:p w:rsidR="00000000" w:rsidRPr="00856101" w:rsidP="00856101"/>
    <w:sectPr w:rsidSect="008561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01" w:rsidRPr="0022426E" w:rsidP="00224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26E" w:rsidP="00856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2426E" w:rsidP="008561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2426E" w:rsidP="008561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01" w:rsidRPr="0022426E" w:rsidP="002242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26E" w:rsidRPr="002D2AF8" w:rsidP="00856101">
    <w:pPr>
      <w:pStyle w:val="Header"/>
      <w:framePr w:wrap="around"/>
    </w:pPr>
    <w:r>
      <w:fldChar w:fldCharType="begin"/>
    </w:r>
    <w:r>
      <w:instrText xml:space="preserve"> TITLE   \* MERGEFORMAT </w:instrText>
    </w:r>
    <w:r>
      <w:fldChar w:fldCharType="separate"/>
    </w:r>
    <w:r>
      <w:t>UEENEEH138A Fault find and repair complex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2426E" w:rsidP="008561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87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AD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F01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1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101"/>
    <w:pPr>
      <w:spacing w:before="360" w:after="60"/>
      <w:outlineLvl w:val="0"/>
    </w:pPr>
    <w:rPr>
      <w:sz w:val="32"/>
    </w:rPr>
  </w:style>
  <w:style w:type="paragraph" w:styleId="Heading2">
    <w:name w:val="heading 2"/>
    <w:basedOn w:val="HeadingBase"/>
    <w:next w:val="BodyText"/>
    <w:link w:val="Heading2Char"/>
    <w:qFormat/>
    <w:rsid w:val="00856101"/>
    <w:pPr>
      <w:keepLines/>
      <w:spacing w:before="240" w:after="120"/>
      <w:outlineLvl w:val="1"/>
    </w:pPr>
    <w:rPr>
      <w:sz w:val="28"/>
      <w:szCs w:val="40"/>
    </w:rPr>
  </w:style>
  <w:style w:type="paragraph" w:styleId="Heading3">
    <w:name w:val="heading 3"/>
    <w:basedOn w:val="HeadingBase"/>
    <w:next w:val="BodyText"/>
    <w:link w:val="Heading3Char"/>
    <w:qFormat/>
    <w:rsid w:val="00856101"/>
    <w:pPr>
      <w:spacing w:before="180" w:after="120"/>
      <w:outlineLvl w:val="2"/>
    </w:pPr>
    <w:rPr>
      <w:spacing w:val="-10"/>
      <w:kern w:val="32"/>
    </w:rPr>
  </w:style>
  <w:style w:type="paragraph" w:styleId="Heading4">
    <w:name w:val="heading 4"/>
    <w:basedOn w:val="HeadingBase"/>
    <w:next w:val="BodyText"/>
    <w:link w:val="Heading4Char"/>
    <w:qFormat/>
    <w:rsid w:val="00856101"/>
    <w:pPr>
      <w:spacing w:before="160" w:after="120"/>
      <w:outlineLvl w:val="3"/>
    </w:pPr>
    <w:rPr>
      <w:sz w:val="22"/>
    </w:rPr>
  </w:style>
  <w:style w:type="paragraph" w:styleId="Heading5">
    <w:name w:val="heading 5"/>
    <w:basedOn w:val="HeadingBase"/>
    <w:next w:val="Normal"/>
    <w:link w:val="Heading5Char"/>
    <w:qFormat/>
    <w:rsid w:val="00856101"/>
    <w:pPr>
      <w:spacing w:before="80"/>
      <w:outlineLvl w:val="4"/>
    </w:pPr>
    <w:rPr>
      <w:color w:val="918585"/>
      <w:sz w:val="20"/>
    </w:rPr>
  </w:style>
  <w:style w:type="paragraph" w:styleId="Heading6">
    <w:name w:val="heading 6"/>
    <w:basedOn w:val="HeadingBase"/>
    <w:next w:val="Normal"/>
    <w:link w:val="Heading6Char"/>
    <w:qFormat/>
    <w:rsid w:val="00856101"/>
    <w:pPr>
      <w:spacing w:before="60"/>
      <w:outlineLvl w:val="5"/>
    </w:pPr>
    <w:rPr>
      <w:color w:val="918585"/>
      <w:sz w:val="20"/>
    </w:rPr>
  </w:style>
  <w:style w:type="paragraph" w:styleId="Heading7">
    <w:name w:val="heading 7"/>
    <w:basedOn w:val="Normal"/>
    <w:next w:val="Normal"/>
    <w:link w:val="Heading7Char"/>
    <w:qFormat/>
    <w:rsid w:val="00856101"/>
    <w:pPr>
      <w:ind w:left="720"/>
      <w:outlineLvl w:val="6"/>
    </w:pPr>
    <w:rPr>
      <w:i/>
    </w:rPr>
  </w:style>
  <w:style w:type="paragraph" w:styleId="Heading8">
    <w:name w:val="heading 8"/>
    <w:basedOn w:val="Normal"/>
    <w:next w:val="Normal"/>
    <w:link w:val="Heading8Char"/>
    <w:qFormat/>
    <w:rsid w:val="00856101"/>
    <w:pPr>
      <w:ind w:left="720"/>
      <w:outlineLvl w:val="7"/>
    </w:pPr>
    <w:rPr>
      <w:i/>
    </w:rPr>
  </w:style>
  <w:style w:type="paragraph" w:styleId="Heading9">
    <w:name w:val="heading 9"/>
    <w:basedOn w:val="Normal"/>
    <w:next w:val="Normal"/>
    <w:link w:val="Heading9Char"/>
    <w:qFormat/>
    <w:rsid w:val="00856101"/>
    <w:pPr>
      <w:ind w:left="720"/>
      <w:outlineLvl w:val="8"/>
    </w:pPr>
    <w:rPr>
      <w:i/>
    </w:rPr>
  </w:style>
  <w:style w:type="character" w:default="1" w:styleId="DefaultParagraphFont">
    <w:name w:val="Default Paragraph Font"/>
    <w:uiPriority w:val="1"/>
    <w:unhideWhenUsed/>
    <w:rsid w:val="00856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101"/>
  </w:style>
  <w:style w:type="character" w:customStyle="1" w:styleId="Heading1Char">
    <w:name w:val="Heading 1 Char"/>
    <w:basedOn w:val="DefaultParagraphFont"/>
    <w:link w:val="Heading1"/>
    <w:rsid w:val="00856101"/>
    <w:rPr>
      <w:rFonts w:ascii="Times New Roman" w:eastAsia="Times New Roman" w:hAnsi="Times New Roman" w:cs="Times New Roman"/>
      <w:b/>
      <w:sz w:val="32"/>
      <w:szCs w:val="20"/>
      <w:lang w:eastAsia="en-US"/>
    </w:rPr>
  </w:style>
  <w:style w:type="paragraph" w:styleId="BodyText">
    <w:name w:val="Body Text"/>
    <w:basedOn w:val="Normal"/>
    <w:link w:val="BodyTextChar"/>
    <w:rsid w:val="008561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101"/>
    <w:rPr>
      <w:rFonts w:ascii="Times New Roman" w:eastAsia="Times New Roman" w:hAnsi="Times New Roman" w:cs="Times New Roman"/>
      <w:sz w:val="24"/>
      <w:lang w:eastAsia="en-US"/>
    </w:rPr>
  </w:style>
  <w:style w:type="paragraph" w:styleId="ListBullet">
    <w:name w:val="List Bullet"/>
    <w:basedOn w:val="List"/>
    <w:rsid w:val="00856101"/>
    <w:pPr>
      <w:numPr>
        <w:numId w:val="13"/>
      </w:numPr>
      <w:tabs>
        <w:tab w:val="clear" w:pos="340"/>
      </w:tabs>
      <w:spacing w:before="40" w:after="40"/>
    </w:pPr>
  </w:style>
  <w:style w:type="character" w:customStyle="1" w:styleId="SpecialBold">
    <w:name w:val="Special Bold"/>
    <w:basedOn w:val="DefaultParagraphFont"/>
    <w:rsid w:val="00856101"/>
    <w:rPr>
      <w:b/>
      <w:spacing w:val="0"/>
    </w:rPr>
  </w:style>
  <w:style w:type="paragraph" w:styleId="ListBullet2">
    <w:name w:val="List Bullet 2"/>
    <w:basedOn w:val="List2"/>
    <w:rsid w:val="00856101"/>
    <w:pPr>
      <w:numPr>
        <w:numId w:val="14"/>
      </w:numPr>
      <w:tabs>
        <w:tab w:val="clear" w:pos="680"/>
      </w:tabs>
    </w:pPr>
  </w:style>
  <w:style w:type="paragraph" w:customStyle="1" w:styleId="SuperHeading">
    <w:name w:val="SuperHeading"/>
    <w:basedOn w:val="Normal"/>
    <w:rsid w:val="00856101"/>
    <w:pPr>
      <w:spacing w:before="240" w:after="120"/>
      <w:outlineLvl w:val="0"/>
    </w:pPr>
    <w:rPr>
      <w:rFonts w:ascii="Times New Roman" w:hAnsi="Times New Roman"/>
      <w:b/>
      <w:sz w:val="32"/>
    </w:rPr>
  </w:style>
  <w:style w:type="paragraph" w:customStyle="1" w:styleId="AllowPageBreak">
    <w:name w:val="AllowPageBreak"/>
    <w:rsid w:val="008561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1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1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101"/>
    <w:rPr>
      <w:rFonts w:ascii="Courier New" w:eastAsia="Times New Roman" w:hAnsi="Courier New" w:cs="Times New Roman"/>
      <w:i/>
      <w:szCs w:val="20"/>
      <w:lang w:eastAsia="en-US"/>
    </w:rPr>
  </w:style>
  <w:style w:type="paragraph" w:customStyle="1" w:styleId="HeadingBase">
    <w:name w:val="Heading Base"/>
    <w:rsid w:val="00856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101"/>
    <w:pPr>
      <w:tabs>
        <w:tab w:val="right" w:leader="dot" w:pos="9072"/>
      </w:tabs>
      <w:ind w:left="567"/>
    </w:pPr>
    <w:rPr>
      <w:szCs w:val="22"/>
    </w:rPr>
  </w:style>
  <w:style w:type="paragraph" w:customStyle="1" w:styleId="TOCBase">
    <w:name w:val="TOC Base"/>
    <w:rsid w:val="00856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101"/>
    <w:pPr>
      <w:tabs>
        <w:tab w:val="right" w:leader="dot" w:pos="9072"/>
      </w:tabs>
      <w:spacing w:before="40" w:after="40"/>
      <w:ind w:left="284"/>
    </w:pPr>
    <w:rPr>
      <w:rFonts w:ascii="Times New Roman" w:hAnsi="Times New Roman"/>
    </w:rPr>
  </w:style>
  <w:style w:type="paragraph" w:styleId="TOC1">
    <w:name w:val="toc 1"/>
    <w:basedOn w:val="TOCBase"/>
    <w:next w:val="Normal"/>
    <w:rsid w:val="008561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101"/>
    <w:rPr>
      <w:rFonts w:ascii="Times New Roman" w:eastAsia="Times New Roman" w:hAnsi="Times New Roman" w:cs="Times New Roman"/>
      <w:sz w:val="16"/>
      <w:lang w:eastAsia="en-US"/>
    </w:rPr>
  </w:style>
  <w:style w:type="paragraph" w:styleId="Title">
    <w:name w:val="Title"/>
    <w:basedOn w:val="HeadingBase"/>
    <w:link w:val="TitleChar"/>
    <w:qFormat/>
    <w:rsid w:val="00856101"/>
    <w:pPr>
      <w:spacing w:before="5040"/>
      <w:jc w:val="center"/>
    </w:pPr>
    <w:rPr>
      <w:sz w:val="48"/>
      <w:szCs w:val="72"/>
      <w:lang w:val="en-US"/>
    </w:rPr>
  </w:style>
  <w:style w:type="character" w:customStyle="1" w:styleId="TitleChar">
    <w:name w:val="Title Char"/>
    <w:basedOn w:val="DefaultParagraphFont"/>
    <w:link w:val="Title"/>
    <w:rsid w:val="00856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101"/>
    <w:pPr>
      <w:tabs>
        <w:tab w:val="left" w:pos="3600"/>
        <w:tab w:val="left" w:pos="3958"/>
      </w:tabs>
    </w:pPr>
  </w:style>
  <w:style w:type="paragraph" w:styleId="List">
    <w:name w:val="List"/>
    <w:basedOn w:val="BodyText"/>
    <w:next w:val="BodyText"/>
    <w:rsid w:val="00856101"/>
    <w:pPr>
      <w:tabs>
        <w:tab w:val="left" w:pos="340"/>
      </w:tabs>
      <w:spacing w:before="60" w:after="60"/>
      <w:ind w:left="340" w:hanging="340"/>
    </w:pPr>
  </w:style>
  <w:style w:type="paragraph" w:customStyle="1" w:styleId="Note">
    <w:name w:val="Note"/>
    <w:basedOn w:val="BodyText"/>
    <w:rsid w:val="008561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101"/>
    <w:pPr>
      <w:framePr w:wrap="auto" w:hAnchor="text" w:y="6049"/>
    </w:pPr>
    <w:rPr>
      <w:color w:val="000000"/>
      <w:sz w:val="40"/>
    </w:rPr>
  </w:style>
  <w:style w:type="paragraph" w:customStyle="1" w:styleId="TOCTitle">
    <w:name w:val="TOCTitle"/>
    <w:basedOn w:val="Heading1"/>
    <w:rsid w:val="00856101"/>
    <w:pPr>
      <w:spacing w:after="240"/>
      <w:jc w:val="center"/>
      <w:outlineLvl w:val="9"/>
    </w:pPr>
    <w:rPr>
      <w:caps/>
    </w:rPr>
  </w:style>
  <w:style w:type="paragraph" w:customStyle="1" w:styleId="Version">
    <w:name w:val="Version"/>
    <w:rsid w:val="008561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101"/>
    <w:pPr>
      <w:keepNext w:val="0"/>
      <w:tabs>
        <w:tab w:val="right" w:pos="4176"/>
      </w:tabs>
      <w:ind w:left="198" w:hanging="198"/>
    </w:pPr>
    <w:rPr>
      <w:rFonts w:ascii="Garamond" w:hAnsi="Garamond"/>
    </w:rPr>
  </w:style>
  <w:style w:type="paragraph" w:styleId="IndexHeading">
    <w:name w:val="index heading"/>
    <w:basedOn w:val="Normal"/>
    <w:next w:val="Index1"/>
    <w:semiHidden/>
    <w:rsid w:val="00856101"/>
    <w:pPr>
      <w:spacing w:before="120" w:after="120"/>
    </w:pPr>
    <w:rPr>
      <w:rFonts w:ascii="Arial" w:hAnsi="Arial"/>
      <w:b/>
      <w:color w:val="918585"/>
      <w:sz w:val="24"/>
    </w:rPr>
  </w:style>
  <w:style w:type="paragraph" w:styleId="Header">
    <w:name w:val="header"/>
    <w:basedOn w:val="Normal"/>
    <w:link w:val="HeaderChar"/>
    <w:rsid w:val="00856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101"/>
    <w:rPr>
      <w:rFonts w:ascii="Times New Roman" w:eastAsia="Times New Roman" w:hAnsi="Times New Roman" w:cs="Times New Roman"/>
      <w:sz w:val="16"/>
      <w:szCs w:val="20"/>
      <w:lang w:val="en-GB" w:eastAsia="en-US"/>
    </w:rPr>
  </w:style>
  <w:style w:type="paragraph" w:customStyle="1" w:styleId="Chapter">
    <w:name w:val="Chapter"/>
    <w:basedOn w:val="Normal"/>
    <w:rsid w:val="00856101"/>
    <w:pPr>
      <w:spacing w:before="240"/>
    </w:pPr>
    <w:rPr>
      <w:rFonts w:ascii="Times New Roman" w:hAnsi="Times New Roman"/>
      <w:smallCaps/>
      <w:spacing w:val="80"/>
      <w:sz w:val="28"/>
    </w:rPr>
  </w:style>
  <w:style w:type="paragraph" w:customStyle="1" w:styleId="InChapter">
    <w:name w:val="InChapter"/>
    <w:basedOn w:val="Heading3"/>
    <w:rsid w:val="00856101"/>
    <w:pPr>
      <w:spacing w:after="240"/>
      <w:outlineLvl w:val="9"/>
    </w:pPr>
    <w:rPr>
      <w:noProof/>
    </w:rPr>
  </w:style>
  <w:style w:type="paragraph" w:styleId="Index2">
    <w:name w:val="index 2"/>
    <w:basedOn w:val="Normal"/>
    <w:next w:val="Normal"/>
    <w:semiHidden/>
    <w:rsid w:val="00856101"/>
    <w:pPr>
      <w:tabs>
        <w:tab w:val="right" w:pos="4176"/>
      </w:tabs>
      <w:ind w:left="568" w:hanging="284"/>
    </w:pPr>
    <w:rPr>
      <w:rFonts w:ascii="Garamond" w:hAnsi="Garamond"/>
    </w:rPr>
  </w:style>
  <w:style w:type="paragraph" w:customStyle="1" w:styleId="Byline">
    <w:name w:val="Byline"/>
    <w:rsid w:val="00856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101"/>
    <w:pPr>
      <w:tabs>
        <w:tab w:val="clear" w:pos="3600"/>
        <w:tab w:val="clear" w:pos="3958"/>
      </w:tabs>
      <w:jc w:val="right"/>
    </w:pPr>
  </w:style>
  <w:style w:type="character" w:styleId="Emphasis">
    <w:name w:val="Emphasis"/>
    <w:basedOn w:val="DefaultParagraphFont"/>
    <w:qFormat/>
    <w:rsid w:val="00856101"/>
    <w:rPr>
      <w:i/>
    </w:rPr>
  </w:style>
  <w:style w:type="paragraph" w:styleId="Caption">
    <w:name w:val="caption"/>
    <w:basedOn w:val="BodyText"/>
    <w:next w:val="Normal"/>
    <w:qFormat/>
    <w:rsid w:val="00856101"/>
    <w:pPr>
      <w:framePr w:w="2268" w:hSpace="181" w:vSpace="181" w:wrap="around" w:vAnchor="text" w:hAnchor="page" w:x="1135" w:y="285" w:anchorLock="1"/>
    </w:pPr>
    <w:rPr>
      <w:i/>
    </w:rPr>
  </w:style>
  <w:style w:type="paragraph" w:customStyle="1" w:styleId="MiniTOCTitle">
    <w:name w:val="MiniTOCTitle"/>
    <w:basedOn w:val="Heading4"/>
    <w:rsid w:val="00856101"/>
    <w:pPr>
      <w:spacing w:before="240"/>
      <w:outlineLvl w:val="9"/>
    </w:pPr>
    <w:rPr>
      <w:noProof/>
      <w:sz w:val="24"/>
    </w:rPr>
  </w:style>
  <w:style w:type="paragraph" w:customStyle="1" w:styleId="MiniTOCItem">
    <w:name w:val="MiniTOCItem"/>
    <w:basedOn w:val="ListBullet"/>
    <w:rsid w:val="00856101"/>
    <w:pPr>
      <w:numPr>
        <w:numId w:val="0"/>
      </w:numPr>
      <w:tabs>
        <w:tab w:val="right" w:leader="dot" w:pos="6521"/>
      </w:tabs>
      <w:spacing w:before="0" w:after="0"/>
    </w:pPr>
  </w:style>
  <w:style w:type="paragraph" w:customStyle="1" w:styleId="TOFTitle">
    <w:name w:val="TOFTitle"/>
    <w:basedOn w:val="TOCTitle"/>
    <w:rsid w:val="00856101"/>
  </w:style>
  <w:style w:type="paragraph" w:styleId="TableofFigures">
    <w:name w:val="table of figures"/>
    <w:basedOn w:val="Normal"/>
    <w:next w:val="Normal"/>
    <w:semiHidden/>
    <w:rsid w:val="00856101"/>
    <w:pPr>
      <w:tabs>
        <w:tab w:val="right" w:leader="dot" w:pos="9072"/>
      </w:tabs>
      <w:ind w:left="970" w:hanging="403"/>
    </w:pPr>
    <w:rPr>
      <w:rFonts w:ascii="Times New Roman" w:hAnsi="Times New Roman"/>
      <w:b/>
    </w:rPr>
  </w:style>
  <w:style w:type="paragraph" w:styleId="ListNumber">
    <w:name w:val="List Number"/>
    <w:basedOn w:val="List"/>
    <w:rsid w:val="00856101"/>
    <w:pPr>
      <w:numPr>
        <w:numId w:val="11"/>
      </w:numPr>
    </w:pPr>
  </w:style>
  <w:style w:type="character" w:customStyle="1" w:styleId="WingdingSymbols">
    <w:name w:val="Wingding Symbols"/>
    <w:rsid w:val="00856101"/>
    <w:rPr>
      <w:rFonts w:ascii="Wingdings" w:hAnsi="Wingdings"/>
    </w:rPr>
  </w:style>
  <w:style w:type="paragraph" w:customStyle="1" w:styleId="TableHeading">
    <w:name w:val="Table Heading"/>
    <w:basedOn w:val="HeadingBase"/>
    <w:rsid w:val="00856101"/>
    <w:pPr>
      <w:keepLines/>
      <w:pBdr>
        <w:bottom w:val="single" w:sz="6" w:space="1" w:color="918585"/>
      </w:pBdr>
      <w:spacing w:before="240"/>
    </w:pPr>
  </w:style>
  <w:style w:type="character" w:customStyle="1" w:styleId="HotSpot">
    <w:name w:val="HotSpot"/>
    <w:rsid w:val="00856101"/>
    <w:rPr>
      <w:color w:val="0033CC"/>
      <w:u w:val="none"/>
    </w:rPr>
  </w:style>
  <w:style w:type="paragraph" w:customStyle="1" w:styleId="BodyTextRight">
    <w:name w:val="Body Text Right"/>
    <w:basedOn w:val="BodyText"/>
    <w:rsid w:val="00856101"/>
    <w:pPr>
      <w:spacing w:before="0" w:after="0"/>
      <w:jc w:val="right"/>
    </w:pPr>
  </w:style>
  <w:style w:type="paragraph" w:styleId="Index3">
    <w:name w:val="index 3"/>
    <w:basedOn w:val="ListNumber2"/>
    <w:next w:val="Normal"/>
    <w:semiHidden/>
    <w:rsid w:val="00856101"/>
    <w:pPr>
      <w:numPr>
        <w:numId w:val="0"/>
      </w:numPr>
      <w:tabs>
        <w:tab w:val="right" w:leader="dot" w:pos="4176"/>
      </w:tabs>
    </w:pPr>
  </w:style>
  <w:style w:type="paragraph" w:styleId="ListNumber2">
    <w:name w:val="List Number 2"/>
    <w:basedOn w:val="List2"/>
    <w:rsid w:val="00856101"/>
    <w:pPr>
      <w:numPr>
        <w:numId w:val="10"/>
      </w:numPr>
      <w:tabs>
        <w:tab w:val="clear" w:pos="1060"/>
      </w:tabs>
    </w:pPr>
  </w:style>
  <w:style w:type="paragraph" w:customStyle="1" w:styleId="MarginNote">
    <w:name w:val="Margin Note"/>
    <w:basedOn w:val="BodyText"/>
    <w:rsid w:val="00856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1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101"/>
    <w:rPr>
      <w:sz w:val="32"/>
    </w:rPr>
  </w:style>
  <w:style w:type="paragraph" w:customStyle="1" w:styleId="HeadingProcedure">
    <w:name w:val="Heading Procedure"/>
    <w:basedOn w:val="HeadingBase"/>
    <w:next w:val="Normal"/>
    <w:rsid w:val="00856101"/>
    <w:pPr>
      <w:tabs>
        <w:tab w:val="left" w:pos="0"/>
      </w:tabs>
      <w:spacing w:before="120" w:after="60"/>
    </w:pPr>
    <w:rPr>
      <w:i/>
      <w:color w:val="918585"/>
      <w:sz w:val="22"/>
    </w:rPr>
  </w:style>
  <w:style w:type="paragraph" w:customStyle="1" w:styleId="TableBodyText">
    <w:name w:val="Table Body Text"/>
    <w:basedOn w:val="BodyText"/>
    <w:rsid w:val="00856101"/>
    <w:pPr>
      <w:spacing w:before="60" w:after="60"/>
    </w:pPr>
  </w:style>
  <w:style w:type="paragraph" w:styleId="ListContinue">
    <w:name w:val="List Continue"/>
    <w:basedOn w:val="List"/>
    <w:rsid w:val="00856101"/>
    <w:pPr>
      <w:ind w:firstLine="0"/>
    </w:pPr>
  </w:style>
  <w:style w:type="paragraph" w:customStyle="1" w:styleId="ListNote">
    <w:name w:val="List Note"/>
    <w:basedOn w:val="List"/>
    <w:rsid w:val="00856101"/>
    <w:pPr>
      <w:pBdr>
        <w:top w:val="single" w:sz="6" w:space="2" w:color="918585"/>
        <w:bottom w:val="single" w:sz="6" w:space="2" w:color="918585"/>
      </w:pBdr>
      <w:tabs>
        <w:tab w:val="left" w:pos="1021"/>
      </w:tabs>
      <w:ind w:firstLine="0"/>
    </w:pPr>
  </w:style>
  <w:style w:type="paragraph" w:customStyle="1" w:styleId="Warning">
    <w:name w:val="Warning"/>
    <w:basedOn w:val="BodyText"/>
    <w:rsid w:val="00856101"/>
    <w:pPr>
      <w:shd w:val="clear" w:color="auto" w:fill="D9D9D9"/>
      <w:tabs>
        <w:tab w:val="left" w:pos="992"/>
      </w:tabs>
      <w:ind w:left="119" w:right="119"/>
    </w:pPr>
    <w:rPr>
      <w:sz w:val="20"/>
    </w:rPr>
  </w:style>
  <w:style w:type="paragraph" w:customStyle="1" w:styleId="MarginIcons">
    <w:name w:val="Margin Icons"/>
    <w:basedOn w:val="BodyText"/>
    <w:rsid w:val="00856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101"/>
    <w:rPr>
      <w:rFonts w:ascii="Courier New" w:hAnsi="Courier New"/>
    </w:rPr>
  </w:style>
  <w:style w:type="paragraph" w:customStyle="1" w:styleId="NoteBullet">
    <w:name w:val="Note Bullet"/>
    <w:basedOn w:val="Note"/>
    <w:rsid w:val="00856101"/>
    <w:pPr>
      <w:tabs>
        <w:tab w:val="clear" w:pos="680"/>
      </w:tabs>
      <w:spacing w:before="60" w:after="60"/>
    </w:pPr>
  </w:style>
  <w:style w:type="paragraph" w:customStyle="1" w:styleId="SubHeading2">
    <w:name w:val="SubHeading2"/>
    <w:basedOn w:val="HeadingBase"/>
    <w:rsid w:val="00856101"/>
    <w:pPr>
      <w:spacing w:before="240" w:after="60"/>
    </w:pPr>
    <w:rPr>
      <w:sz w:val="20"/>
    </w:rPr>
  </w:style>
  <w:style w:type="paragraph" w:customStyle="1" w:styleId="SubHeading1">
    <w:name w:val="SubHeading1"/>
    <w:basedOn w:val="HeadingBase"/>
    <w:rsid w:val="00856101"/>
    <w:pPr>
      <w:spacing w:before="240" w:after="60"/>
    </w:pPr>
    <w:rPr>
      <w:color w:val="918585"/>
      <w:sz w:val="22"/>
    </w:rPr>
  </w:style>
  <w:style w:type="paragraph" w:customStyle="1" w:styleId="SideHeading">
    <w:name w:val="Side Heading"/>
    <w:basedOn w:val="HeadingBase"/>
    <w:rsid w:val="00856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101"/>
    <w:pPr>
      <w:numPr>
        <w:numId w:val="12"/>
      </w:numPr>
    </w:pPr>
  </w:style>
  <w:style w:type="paragraph" w:styleId="PlainText">
    <w:name w:val="Plain Text"/>
    <w:basedOn w:val="Normal"/>
    <w:link w:val="PlainTextChar"/>
    <w:rsid w:val="00856101"/>
    <w:rPr>
      <w:sz w:val="20"/>
    </w:rPr>
  </w:style>
  <w:style w:type="character" w:customStyle="1" w:styleId="PlainTextChar">
    <w:name w:val="Plain Text Char"/>
    <w:basedOn w:val="DefaultParagraphFont"/>
    <w:link w:val="PlainText"/>
    <w:rsid w:val="00856101"/>
    <w:rPr>
      <w:rFonts w:ascii="Courier New" w:eastAsia="Times New Roman" w:hAnsi="Courier New" w:cs="Times New Roman"/>
      <w:sz w:val="20"/>
      <w:szCs w:val="20"/>
      <w:lang w:eastAsia="en-US"/>
    </w:rPr>
  </w:style>
  <w:style w:type="character" w:customStyle="1" w:styleId="MenuOption">
    <w:name w:val="Menu Option"/>
    <w:basedOn w:val="DefaultParagraphFont"/>
    <w:rsid w:val="00856101"/>
    <w:rPr>
      <w:b/>
      <w:smallCaps/>
    </w:rPr>
  </w:style>
  <w:style w:type="paragraph" w:customStyle="1" w:styleId="TableListNumber">
    <w:name w:val="Table List Number"/>
    <w:basedOn w:val="ListNumber"/>
    <w:rsid w:val="00856101"/>
    <w:pPr>
      <w:numPr>
        <w:numId w:val="0"/>
      </w:numPr>
    </w:pPr>
  </w:style>
  <w:style w:type="paragraph" w:styleId="TOC4">
    <w:name w:val="toc 4"/>
    <w:basedOn w:val="TOCBase"/>
    <w:next w:val="Normal"/>
    <w:semiHidden/>
    <w:rsid w:val="00856101"/>
    <w:pPr>
      <w:tabs>
        <w:tab w:val="right" w:leader="dot" w:pos="9071"/>
      </w:tabs>
      <w:ind w:left="1701"/>
    </w:pPr>
  </w:style>
  <w:style w:type="paragraph" w:customStyle="1" w:styleId="ListAlpha">
    <w:name w:val="List Alpha"/>
    <w:basedOn w:val="List"/>
    <w:rsid w:val="00856101"/>
    <w:pPr>
      <w:numPr>
        <w:numId w:val="9"/>
      </w:numPr>
    </w:pPr>
  </w:style>
  <w:style w:type="paragraph" w:customStyle="1" w:styleId="ListAlpha2">
    <w:name w:val="List Alpha 2"/>
    <w:basedOn w:val="List2"/>
    <w:rsid w:val="00856101"/>
    <w:pPr>
      <w:numPr>
        <w:numId w:val="8"/>
      </w:numPr>
    </w:pPr>
  </w:style>
  <w:style w:type="paragraph" w:styleId="List2">
    <w:name w:val="List 2"/>
    <w:basedOn w:val="BodyText"/>
    <w:rsid w:val="00856101"/>
    <w:pPr>
      <w:tabs>
        <w:tab w:val="left" w:pos="680"/>
      </w:tabs>
      <w:spacing w:before="60" w:after="60"/>
      <w:ind w:left="680" w:hanging="340"/>
    </w:pPr>
  </w:style>
  <w:style w:type="paragraph" w:styleId="List3">
    <w:name w:val="List 3"/>
    <w:basedOn w:val="BodyText"/>
    <w:rsid w:val="00856101"/>
    <w:pPr>
      <w:tabs>
        <w:tab w:val="left" w:pos="1021"/>
      </w:tabs>
      <w:spacing w:before="60" w:after="60"/>
      <w:ind w:left="1020" w:hanging="340"/>
    </w:pPr>
  </w:style>
  <w:style w:type="paragraph" w:styleId="List4">
    <w:name w:val="List 4"/>
    <w:basedOn w:val="BodyText"/>
    <w:rsid w:val="00856101"/>
    <w:pPr>
      <w:tabs>
        <w:tab w:val="left" w:pos="1361"/>
      </w:tabs>
      <w:spacing w:before="60" w:after="60"/>
      <w:ind w:left="1361" w:hanging="340"/>
    </w:pPr>
  </w:style>
  <w:style w:type="paragraph" w:styleId="List5">
    <w:name w:val="List 5"/>
    <w:basedOn w:val="BodyText"/>
    <w:rsid w:val="00856101"/>
    <w:pPr>
      <w:tabs>
        <w:tab w:val="left" w:pos="1701"/>
      </w:tabs>
      <w:spacing w:before="60" w:after="60"/>
      <w:ind w:left="1701" w:hanging="340"/>
    </w:pPr>
  </w:style>
  <w:style w:type="paragraph" w:styleId="ListBullet3">
    <w:name w:val="List Bullet 3"/>
    <w:basedOn w:val="List3"/>
    <w:rsid w:val="00856101"/>
    <w:pPr>
      <w:numPr>
        <w:numId w:val="15"/>
      </w:numPr>
      <w:tabs>
        <w:tab w:val="clear" w:pos="1021"/>
      </w:tabs>
      <w:ind w:left="1037" w:hanging="357"/>
    </w:pPr>
  </w:style>
  <w:style w:type="paragraph" w:styleId="ListBullet4">
    <w:name w:val="List Bullet 4"/>
    <w:basedOn w:val="List4"/>
    <w:rsid w:val="00856101"/>
    <w:pPr>
      <w:numPr>
        <w:numId w:val="3"/>
      </w:numPr>
    </w:pPr>
  </w:style>
  <w:style w:type="paragraph" w:styleId="ListBullet5">
    <w:name w:val="List Bullet 5"/>
    <w:basedOn w:val="List5"/>
    <w:rsid w:val="00856101"/>
    <w:pPr>
      <w:numPr>
        <w:numId w:val="4"/>
      </w:numPr>
    </w:pPr>
  </w:style>
  <w:style w:type="paragraph" w:styleId="ListContinue2">
    <w:name w:val="List Continue 2"/>
    <w:basedOn w:val="List2"/>
    <w:rsid w:val="00856101"/>
    <w:pPr>
      <w:ind w:firstLine="0"/>
    </w:pPr>
  </w:style>
  <w:style w:type="paragraph" w:styleId="ListContinue3">
    <w:name w:val="List Continue 3"/>
    <w:basedOn w:val="List3"/>
    <w:rsid w:val="00856101"/>
    <w:pPr>
      <w:ind w:left="1021" w:firstLine="0"/>
    </w:pPr>
  </w:style>
  <w:style w:type="paragraph" w:styleId="ListContinue4">
    <w:name w:val="List Continue 4"/>
    <w:basedOn w:val="List4"/>
    <w:rsid w:val="00856101"/>
    <w:pPr>
      <w:ind w:firstLine="0"/>
    </w:pPr>
  </w:style>
  <w:style w:type="paragraph" w:styleId="ListContinue5">
    <w:name w:val="List Continue 5"/>
    <w:basedOn w:val="List5"/>
    <w:rsid w:val="00856101"/>
    <w:pPr>
      <w:ind w:firstLine="0"/>
    </w:pPr>
  </w:style>
  <w:style w:type="paragraph" w:styleId="ListNumber3">
    <w:name w:val="List Number 3"/>
    <w:basedOn w:val="List3"/>
    <w:rsid w:val="00856101"/>
    <w:pPr>
      <w:numPr>
        <w:numId w:val="5"/>
      </w:numPr>
    </w:pPr>
  </w:style>
  <w:style w:type="paragraph" w:styleId="ListNumber4">
    <w:name w:val="List Number 4"/>
    <w:basedOn w:val="List4"/>
    <w:rsid w:val="00856101"/>
    <w:pPr>
      <w:numPr>
        <w:numId w:val="6"/>
      </w:numPr>
    </w:pPr>
  </w:style>
  <w:style w:type="paragraph" w:styleId="ListNumber5">
    <w:name w:val="List Number 5"/>
    <w:basedOn w:val="List5"/>
    <w:rsid w:val="00856101"/>
    <w:pPr>
      <w:numPr>
        <w:numId w:val="7"/>
      </w:numPr>
    </w:pPr>
  </w:style>
  <w:style w:type="paragraph" w:styleId="BlockText">
    <w:name w:val="Block Text"/>
    <w:basedOn w:val="Normal"/>
    <w:rsid w:val="00856101"/>
    <w:pPr>
      <w:spacing w:after="120"/>
      <w:ind w:left="1440" w:right="1440"/>
    </w:pPr>
  </w:style>
  <w:style w:type="character" w:customStyle="1" w:styleId="Subscript">
    <w:name w:val="Subscript"/>
    <w:basedOn w:val="DefaultParagraphFont"/>
    <w:rsid w:val="00856101"/>
    <w:rPr>
      <w:sz w:val="16"/>
      <w:vertAlign w:val="subscript"/>
    </w:rPr>
  </w:style>
  <w:style w:type="character" w:customStyle="1" w:styleId="Superscript">
    <w:name w:val="Superscript"/>
    <w:basedOn w:val="DefaultParagraphFont"/>
    <w:rsid w:val="00856101"/>
    <w:rPr>
      <w:sz w:val="16"/>
      <w:vertAlign w:val="superscript"/>
    </w:rPr>
  </w:style>
  <w:style w:type="character" w:customStyle="1" w:styleId="Symbols">
    <w:name w:val="Symbols"/>
    <w:basedOn w:val="DefaultParagraphFont"/>
    <w:rsid w:val="00856101"/>
    <w:rPr>
      <w:rFonts w:ascii="Symbol" w:hAnsi="Symbol"/>
    </w:rPr>
  </w:style>
  <w:style w:type="character" w:customStyle="1" w:styleId="MenuOptions">
    <w:name w:val="Menu Options"/>
    <w:basedOn w:val="DefaultParagraphFont"/>
    <w:rsid w:val="00856101"/>
    <w:rPr>
      <w:rFonts w:ascii="Arial Narrow" w:hAnsi="Arial Narrow"/>
      <w:smallCaps/>
    </w:rPr>
  </w:style>
  <w:style w:type="character" w:customStyle="1" w:styleId="Buttons">
    <w:name w:val="Buttons"/>
    <w:basedOn w:val="DefaultParagraphFont"/>
    <w:rsid w:val="00856101"/>
    <w:rPr>
      <w:b/>
    </w:rPr>
  </w:style>
  <w:style w:type="character" w:customStyle="1" w:styleId="Underlined">
    <w:name w:val="Underlined"/>
    <w:basedOn w:val="DefaultParagraphFont"/>
    <w:rsid w:val="00856101"/>
    <w:rPr>
      <w:u w:val="single"/>
    </w:rPr>
  </w:style>
  <w:style w:type="paragraph" w:customStyle="1" w:styleId="TableBodyTextRight">
    <w:name w:val="Table Body Text Right"/>
    <w:basedOn w:val="TableBodyText"/>
    <w:rsid w:val="00856101"/>
    <w:pPr>
      <w:widowControl w:val="0"/>
      <w:autoSpaceDE w:val="0"/>
      <w:autoSpaceDN w:val="0"/>
      <w:adjustRightInd w:val="0"/>
      <w:jc w:val="right"/>
    </w:pPr>
    <w:rPr>
      <w:rFonts w:cs="Arial"/>
      <w:szCs w:val="18"/>
    </w:rPr>
  </w:style>
  <w:style w:type="paragraph" w:customStyle="1" w:styleId="CopyrightText">
    <w:name w:val="Copyright Text"/>
    <w:basedOn w:val="BodyText"/>
    <w:rsid w:val="00856101"/>
    <w:rPr>
      <w:sz w:val="18"/>
    </w:rPr>
  </w:style>
  <w:style w:type="paragraph" w:customStyle="1" w:styleId="BodySmallRight">
    <w:name w:val="Body Small Right"/>
    <w:basedOn w:val="BodyTextRight"/>
    <w:rsid w:val="00856101"/>
    <w:rPr>
      <w:sz w:val="18"/>
      <w:szCs w:val="18"/>
    </w:rPr>
  </w:style>
  <w:style w:type="paragraph" w:customStyle="1" w:styleId="MarginEdition">
    <w:name w:val="Margin Edition"/>
    <w:basedOn w:val="MarginNote"/>
    <w:rsid w:val="00856101"/>
    <w:pPr>
      <w:spacing w:before="0" w:after="0"/>
    </w:pPr>
    <w:rPr>
      <w:rFonts w:ascii="Times New Roman" w:hAnsi="Times New Roman"/>
      <w:color w:val="999999"/>
    </w:rPr>
  </w:style>
  <w:style w:type="paragraph" w:customStyle="1" w:styleId="Spacer">
    <w:name w:val="Spacer"/>
    <w:basedOn w:val="Normal"/>
    <w:rsid w:val="00856101"/>
    <w:rPr>
      <w:sz w:val="2"/>
      <w:szCs w:val="2"/>
    </w:rPr>
  </w:style>
  <w:style w:type="character" w:customStyle="1" w:styleId="Small">
    <w:name w:val="Small"/>
    <w:basedOn w:val="DefaultParagraphFont"/>
    <w:rsid w:val="00856101"/>
    <w:rPr>
      <w:sz w:val="16"/>
    </w:rPr>
  </w:style>
  <w:style w:type="paragraph" w:customStyle="1" w:styleId="WideTable">
    <w:name w:val="Wide Table"/>
    <w:basedOn w:val="Normal"/>
    <w:rsid w:val="00856101"/>
    <w:pPr>
      <w:ind w:left="-1418"/>
    </w:pPr>
    <w:rPr>
      <w:sz w:val="2"/>
      <w:szCs w:val="2"/>
    </w:rPr>
  </w:style>
  <w:style w:type="character" w:styleId="PageNumber">
    <w:name w:val="page number"/>
    <w:basedOn w:val="DefaultParagraphFont"/>
    <w:rsid w:val="00856101"/>
  </w:style>
  <w:style w:type="paragraph" w:styleId="Quote">
    <w:name w:val="Quote"/>
    <w:basedOn w:val="Heading1"/>
    <w:link w:val="QuoteChar"/>
    <w:qFormat/>
    <w:rsid w:val="00856101"/>
    <w:rPr>
      <w:b w:val="0"/>
      <w:sz w:val="72"/>
      <w:szCs w:val="72"/>
      <w:lang w:val="en-NZ"/>
    </w:rPr>
  </w:style>
  <w:style w:type="character" w:customStyle="1" w:styleId="QuoteChar">
    <w:name w:val="Quote Char"/>
    <w:basedOn w:val="DefaultParagraphFont"/>
    <w:link w:val="Quote"/>
    <w:rsid w:val="00856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101"/>
    <w:pPr>
      <w:pageBreakBefore/>
    </w:pPr>
  </w:style>
  <w:style w:type="paragraph" w:customStyle="1" w:styleId="Border">
    <w:name w:val="Border"/>
    <w:basedOn w:val="Normal"/>
    <w:qFormat/>
    <w:rsid w:val="00856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101"/>
    <w:rPr>
      <w:b/>
      <w:bCs/>
      <w:i/>
      <w:iCs/>
      <w:color w:val="auto"/>
    </w:rPr>
  </w:style>
  <w:style w:type="paragraph" w:styleId="IntenseQuote">
    <w:name w:val="Intense Quote"/>
    <w:basedOn w:val="Normal"/>
    <w:next w:val="Normal"/>
    <w:link w:val="IntenseQuoteChar"/>
    <w:uiPriority w:val="30"/>
    <w:qFormat/>
    <w:rsid w:val="00856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1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101"/>
    <w:rPr>
      <w:smallCaps/>
      <w:color w:val="auto"/>
      <w:u w:val="single"/>
    </w:rPr>
  </w:style>
  <w:style w:type="character" w:styleId="IntenseReference">
    <w:name w:val="Intense Reference"/>
    <w:basedOn w:val="DefaultParagraphFont"/>
    <w:uiPriority w:val="32"/>
    <w:qFormat/>
    <w:rsid w:val="00856101"/>
    <w:rPr>
      <w:b/>
      <w:bCs/>
      <w:smallCaps/>
      <w:color w:val="auto"/>
      <w:spacing w:val="5"/>
      <w:u w:val="single"/>
    </w:rPr>
  </w:style>
  <w:style w:type="paragraph" w:customStyle="1" w:styleId="2ColumnHeading">
    <w:name w:val="2Column Heading"/>
    <w:basedOn w:val="BodyText"/>
    <w:qFormat/>
    <w:rsid w:val="00856101"/>
    <w:pPr>
      <w:spacing w:after="60"/>
      <w:ind w:left="-2268"/>
    </w:pPr>
    <w:rPr>
      <w:b/>
    </w:rPr>
  </w:style>
  <w:style w:type="paragraph" w:customStyle="1" w:styleId="Heading1TOC">
    <w:name w:val="Heading1 TOC"/>
    <w:basedOn w:val="Normal"/>
    <w:qFormat/>
    <w:rsid w:val="00856101"/>
    <w:pPr>
      <w:spacing w:before="240" w:after="120"/>
    </w:pPr>
    <w:rPr>
      <w:rFonts w:ascii="Times New Roman" w:hAnsi="Times New Roman"/>
      <w:b/>
      <w:sz w:val="32"/>
    </w:rPr>
  </w:style>
  <w:style w:type="paragraph" w:customStyle="1" w:styleId="Heading2TOC">
    <w:name w:val="Heading2 TOC"/>
    <w:basedOn w:val="Normal"/>
    <w:qFormat/>
    <w:rsid w:val="00856101"/>
    <w:pPr>
      <w:spacing w:before="240" w:after="60"/>
    </w:pPr>
    <w:rPr>
      <w:rFonts w:ascii="Times New Roman" w:hAnsi="Times New Roman"/>
      <w:b/>
      <w:sz w:val="28"/>
    </w:rPr>
  </w:style>
  <w:style w:type="character" w:customStyle="1" w:styleId="Underline">
    <w:name w:val="Underline"/>
    <w:basedOn w:val="DefaultParagraphFont"/>
    <w:qFormat/>
    <w:rsid w:val="00856101"/>
    <w:rPr>
      <w:u w:val="single"/>
    </w:rPr>
  </w:style>
  <w:style w:type="character" w:customStyle="1" w:styleId="BoldandItalics">
    <w:name w:val="Bold and Italics"/>
    <w:qFormat/>
    <w:rsid w:val="00856101"/>
    <w:rPr>
      <w:b/>
      <w:i/>
      <w:u w:val="none"/>
    </w:rPr>
  </w:style>
  <w:style w:type="paragraph" w:styleId="BalloonText">
    <w:name w:val="Balloon Text"/>
    <w:basedOn w:val="Normal"/>
    <w:link w:val="BalloonTextChar"/>
    <w:rsid w:val="00856101"/>
    <w:rPr>
      <w:rFonts w:ascii="Tahoma" w:hAnsi="Tahoma" w:cs="Tahoma"/>
      <w:sz w:val="16"/>
      <w:szCs w:val="16"/>
    </w:rPr>
  </w:style>
  <w:style w:type="character" w:customStyle="1" w:styleId="BalloonTextChar">
    <w:name w:val="Balloon Text Char"/>
    <w:basedOn w:val="DefaultParagraphFont"/>
    <w:link w:val="BalloonText"/>
    <w:rsid w:val="008561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1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1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101"/>
    <w:rPr>
      <w:b/>
      <w:color w:val="660033"/>
      <w:spacing w:val="0"/>
    </w:rPr>
  </w:style>
  <w:style w:type="paragraph" w:customStyle="1" w:styleId="Nameditemlist">
    <w:name w:val="Named item list"/>
    <w:basedOn w:val="BodyText"/>
    <w:qFormat/>
    <w:rsid w:val="008561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2282</Words>
  <Characters>13592</Characters>
  <Application>Microsoft Office Word</Application>
  <DocSecurity>0</DocSecurity>
  <Lines>535</Lines>
  <Paragraphs>233</Paragraphs>
  <ScaleCrop>false</ScaleCrop>
  <Company>Author-it Software Corporation Ltd.</Company>
  <LinksUpToDate>false</LinksUpToDate>
  <CharactersWithSpaces>15744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UEENEEH138A Fault find and repair complex power supplies</dc:title>
  <dc:subject>Approved</dc:subject>
  <dc:creator>E-OZ Training Standards</dc:creator>
  <cp:keywords>Release: 2</cp:keywords>
  <dc:description>Review Date: 12 April 2008</dc:description>
  <cp:lastModifiedBy>HSD_TPCMSd.prod</cp:lastModifiedBy>
  <cp:revision>3</cp:revision>
  <dcterms:created xsi:type="dcterms:W3CDTF">2013-08-14T06:53:00Z</dcterms:created>
  <dcterms:modified xsi:type="dcterms:W3CDTF">2013-08-14T06:53:00Z</dcterms:modified>
</cp:coreProperties>
</file>