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ECA" w:rsidP="007B4ECA">
      <w:pPr>
        <w:pStyle w:val="Title"/>
      </w:pPr>
      <w:r>
        <w:fldChar w:fldCharType="begin"/>
      </w:r>
      <w:r>
        <w:instrText xml:space="preserve"> TITLE   \* MERGEFORMAT </w:instrText>
      </w:r>
      <w:r>
        <w:fldChar w:fldCharType="separate"/>
      </w:r>
      <w:r>
        <w:t>UEENEEH135A Design custom electronic equipment installations</w:t>
      </w:r>
      <w:r>
        <w:fldChar w:fldCharType="end"/>
      </w:r>
    </w:p>
    <w:p w:rsidR="007B4ECA" w:rsidP="007B4ECA">
      <w:pPr>
        <w:pStyle w:val="Version"/>
        <w:sectPr w:rsidSect="007F19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19D9" w:rsidP="007F19D9">
      <w:pPr>
        <w:pStyle w:val="SuperHeading"/>
      </w:pPr>
      <w:r w:rsidRPr="007F19D9">
        <w:t>UEENEEH135A Design custom electronic equipment installations</w:t>
      </w:r>
    </w:p>
    <w:p w:rsidR="00000000" w:rsidRPr="007F19D9" w:rsidP="007F19D9">
      <w:pPr>
        <w:pStyle w:val="Heading1"/>
      </w:pPr>
      <w:bookmarkStart w:id="1" w:name="O_587577"/>
      <w:bookmarkEnd w:id="1"/>
      <w:r w:rsidRPr="007F19D9">
        <w:t>Modification History</w:t>
      </w:r>
    </w:p>
    <w:p w:rsidR="00000000" w:rsidRPr="007F19D9" w:rsidP="007F19D9">
      <w:pPr>
        <w:pStyle w:val="BodyText"/>
      </w:pPr>
      <w:r w:rsidRPr="007F19D9">
        <w:t>Not applicable.</w:t>
      </w:r>
    </w:p>
    <w:p w:rsidR="00000000" w:rsidRPr="007F19D9" w:rsidP="007F19D9">
      <w:pPr>
        <w:pStyle w:val="AllowPageBreak"/>
      </w:pPr>
    </w:p>
    <w:p w:rsidR="00000000" w:rsidRPr="007F19D9" w:rsidP="007F19D9">
      <w:pPr>
        <w:pStyle w:val="Heading1"/>
      </w:pPr>
      <w:bookmarkStart w:id="2" w:name="O_587576"/>
      <w:bookmarkEnd w:id="2"/>
      <w:r w:rsidRPr="007F19D9">
        <w:t>Unit Descriptor</w:t>
      </w:r>
    </w:p>
    <w:tbl>
      <w:tblPr>
        <w:tblW w:w="0" w:type="auto"/>
        <w:tblLayout w:type="fixed"/>
        <w:tblCellMar>
          <w:left w:w="62" w:type="dxa"/>
          <w:right w:w="62" w:type="dxa"/>
        </w:tblCellMar>
        <w:tblLook w:val="0000"/>
      </w:tblPr>
      <w:tblGrid>
        <w:gridCol w:w="2700"/>
        <w:gridCol w:w="5760"/>
      </w:tblGrid>
      <w:tr w:rsidTr="007B4E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1)</w:t>
            </w:r>
            <w:r w:rsidRPr="007F19D9">
              <w:t xml:space="preserve"> </w:t>
            </w:r>
            <w:r w:rsidRPr="007F19D9">
              <w:rPr>
                <w:rStyle w:val="SpecialBold"/>
              </w:rPr>
              <w:t>Scope:</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F19D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1.1) Descriptor</w:t>
            </w:r>
          </w:p>
        </w:tc>
      </w:tr>
      <w:tr w:rsidTr="007B4EC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 xml:space="preserve">This unit covers the design of home entertainment aspects of custom electronic installations and energy control systems. It </w:t>
            </w:r>
            <w:r w:rsidRPr="007F19D9">
              <w:t xml:space="preserve">encompasses developing control scenarios based on a design brief, negotiating with architect/designer, builder and client and the like, applying knowledge of electronic audio/video components and home theatre acoustics and relevant electrical installation </w:t>
            </w:r>
            <w:r w:rsidRPr="007F19D9">
              <w:t>regulation, developing design drawings and obtaining approval for final design.</w:t>
            </w:r>
          </w:p>
        </w:tc>
      </w:tr>
    </w:tbl>
    <w:p w:rsidR="00000000" w:rsidRPr="007F19D9" w:rsidP="007F19D9">
      <w:pPr>
        <w:pStyle w:val="BodyText"/>
      </w:pPr>
    </w:p>
    <w:p w:rsidR="00000000" w:rsidRPr="007F19D9" w:rsidP="007F19D9">
      <w:pPr>
        <w:pStyle w:val="AllowPageBreak"/>
      </w:pPr>
    </w:p>
    <w:p w:rsidR="00000000" w:rsidRPr="007F19D9" w:rsidP="007F19D9">
      <w:pPr>
        <w:pStyle w:val="Heading1"/>
      </w:pPr>
      <w:bookmarkStart w:id="3" w:name="O_587575"/>
      <w:bookmarkEnd w:id="3"/>
      <w:r w:rsidRPr="007F19D9">
        <w:t>Application of the Unit</w:t>
      </w:r>
    </w:p>
    <w:tbl>
      <w:tblPr>
        <w:tblW w:w="0" w:type="auto"/>
        <w:tblLayout w:type="fixed"/>
        <w:tblCellMar>
          <w:left w:w="62" w:type="dxa"/>
          <w:right w:w="62" w:type="dxa"/>
        </w:tblCellMar>
        <w:tblLook w:val="0000"/>
      </w:tblPr>
      <w:tblGrid>
        <w:gridCol w:w="2672"/>
        <w:gridCol w:w="5699"/>
      </w:tblGrid>
      <w:tr w:rsidTr="007B4EC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2)</w:t>
            </w:r>
          </w:p>
        </w:tc>
      </w:tr>
      <w:tr w:rsidTr="007B4EC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This unit is intended for competency development entry-level employment based programs incorporated in approved contracts of training or approved training programs. It is intended to apply to any formal recognition for this standard at the aligned AQF 5 le</w:t>
            </w:r>
            <w:r w:rsidRPr="007F19D9">
              <w:t>vel or higher.</w:t>
            </w:r>
          </w:p>
        </w:tc>
      </w:tr>
    </w:tbl>
    <w:p w:rsidR="00000000" w:rsidRPr="007F19D9" w:rsidP="007F19D9">
      <w:pPr>
        <w:pStyle w:val="BodyText"/>
      </w:pPr>
    </w:p>
    <w:p w:rsidR="00000000" w:rsidRPr="007F19D9" w:rsidP="007F19D9">
      <w:pPr>
        <w:pStyle w:val="AllowPageBreak"/>
      </w:pPr>
    </w:p>
    <w:p w:rsidR="00000000" w:rsidRPr="007F19D9" w:rsidP="007F19D9">
      <w:pPr>
        <w:pStyle w:val="Heading1"/>
      </w:pPr>
      <w:bookmarkStart w:id="4" w:name="O_587574"/>
      <w:bookmarkEnd w:id="4"/>
      <w:r w:rsidRPr="007F19D9">
        <w:t>Licensing/Regulatory Information</w:t>
      </w:r>
    </w:p>
    <w:tbl>
      <w:tblPr>
        <w:tblW w:w="0" w:type="auto"/>
        <w:tblLayout w:type="fixed"/>
        <w:tblCellMar>
          <w:left w:w="62" w:type="dxa"/>
          <w:right w:w="62" w:type="dxa"/>
        </w:tblCellMar>
        <w:tblLook w:val="0000"/>
      </w:tblPr>
      <w:tblGrid>
        <w:gridCol w:w="2700"/>
        <w:gridCol w:w="5760"/>
      </w:tblGrid>
      <w:tr w:rsidTr="007B4E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 xml:space="preserve">3) </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 xml:space="preserve">The skills and knowledge described in this unit do not require a license to practice in the workplace. However, practice in this unit is subject </w:t>
            </w:r>
            <w:r w:rsidRPr="007F19D9">
              <w:t xml:space="preserve">to regulations directly related to occupational health and safety and where </w:t>
            </w:r>
            <w:r w:rsidRPr="007F19D9">
              <w:t>applicable contracts of training such as apprenticeships.</w:t>
            </w:r>
          </w:p>
        </w:tc>
      </w:tr>
    </w:tbl>
    <w:p w:rsidR="00000000" w:rsidRPr="007F19D9" w:rsidP="007F19D9">
      <w:pPr>
        <w:pStyle w:val="BodyText"/>
      </w:pPr>
    </w:p>
    <w:p w:rsidR="00000000" w:rsidRPr="007F19D9" w:rsidP="007F19D9">
      <w:pPr>
        <w:pStyle w:val="AllowPageBreak"/>
      </w:pPr>
    </w:p>
    <w:p w:rsidR="00000000" w:rsidRPr="007F19D9" w:rsidP="007F19D9">
      <w:pPr>
        <w:pStyle w:val="Heading1"/>
      </w:pPr>
      <w:bookmarkStart w:id="5" w:name="O_587573"/>
      <w:bookmarkEnd w:id="5"/>
      <w:r w:rsidRPr="007F19D9">
        <w:t>Pre-Requisites</w:t>
      </w:r>
    </w:p>
    <w:tbl>
      <w:tblPr>
        <w:tblW w:w="0" w:type="auto"/>
        <w:tblLayout w:type="fixed"/>
        <w:tblCellMar>
          <w:left w:w="62" w:type="dxa"/>
          <w:right w:w="62" w:type="dxa"/>
        </w:tblCellMar>
        <w:tblLook w:val="0000"/>
      </w:tblPr>
      <w:tblGrid>
        <w:gridCol w:w="2700"/>
        <w:gridCol w:w="1440"/>
        <w:gridCol w:w="4320"/>
      </w:tblGrid>
      <w:tr w:rsidTr="007B4E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 xml:space="preserve">4) </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4.1)</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Granting competency in this unit shall be made only after competency in the following unit(s) has/have been confirmed.</w:t>
            </w:r>
          </w:p>
        </w:tc>
      </w:tr>
      <w:tr w:rsidTr="007B4EC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UEENEEE101A</w:t>
            </w:r>
          </w:p>
        </w:tc>
        <w:tc>
          <w:tcPr>
            <w:tcW w:w="432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Apply Occupational Health and Safety regulations, codes and practices in the workplace</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Fabricate, dismantle, assemble of utilities industry components</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UEENEEE105A</w:t>
            </w:r>
          </w:p>
        </w:tc>
        <w:tc>
          <w:tcPr>
            <w:tcW w:w="432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Fix and secure electrotechnology equipment</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UEENEEE107A</w:t>
            </w:r>
          </w:p>
        </w:tc>
        <w:tc>
          <w:tcPr>
            <w:tcW w:w="432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Use drawings, diagrams, schedules, standards, codes and specifications</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UEENEEE108A</w:t>
            </w:r>
          </w:p>
        </w:tc>
        <w:tc>
          <w:tcPr>
            <w:tcW w:w="432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Lay wiring/cabling and terminate acc</w:t>
            </w:r>
            <w:r w:rsidRPr="007F19D9">
              <w:t>essories for extra-low voltage (ELV) circuits</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UEENEEH105A</w:t>
            </w:r>
          </w:p>
        </w:tc>
        <w:tc>
          <w:tcPr>
            <w:tcW w:w="432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 xml:space="preserve">Verify functionality and compliance of custom electronic installations </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 xml:space="preserve">UEENEEH106A </w:t>
            </w:r>
          </w:p>
        </w:tc>
        <w:tc>
          <w:tcPr>
            <w:tcW w:w="432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Assemble and set up fixed video/audio components and systems in buildings and premises</w:t>
            </w:r>
          </w:p>
        </w:tc>
      </w:tr>
    </w:tbl>
    <w:p w:rsidR="00000000" w:rsidRPr="007F19D9" w:rsidP="007F19D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B4EC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 xml:space="preserve">4.2) </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Participants are best equipped to achieve competency in this unit if they have reading, writing and numeracy skills indicated by the following scales. Description of each scale is given in Volume 2, Part 3 ‘</w:t>
            </w:r>
            <w:r w:rsidRPr="007F19D9">
              <w:t xml:space="preserve">Literacy and </w:t>
            </w:r>
            <w:r w:rsidRPr="007F19D9">
              <w:t>Numeracy’</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Reading</w:t>
            </w:r>
          </w:p>
        </w:tc>
        <w:tc>
          <w:tcPr>
            <w:tcW w:w="81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5</w:t>
            </w:r>
          </w:p>
        </w:tc>
        <w:tc>
          <w:tcPr>
            <w:tcW w:w="99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Writing</w:t>
            </w:r>
          </w:p>
        </w:tc>
        <w:tc>
          <w:tcPr>
            <w:tcW w:w="90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5</w:t>
            </w:r>
          </w:p>
        </w:tc>
        <w:tc>
          <w:tcPr>
            <w:tcW w:w="126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Numeracy</w:t>
            </w:r>
          </w:p>
        </w:tc>
        <w:tc>
          <w:tcPr>
            <w:tcW w:w="72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5</w:t>
            </w:r>
          </w:p>
        </w:tc>
      </w:tr>
    </w:tbl>
    <w:p w:rsidR="00000000" w:rsidRPr="007F19D9" w:rsidP="007F19D9">
      <w:pPr>
        <w:pStyle w:val="BodyText"/>
      </w:pPr>
    </w:p>
    <w:p w:rsidR="00000000" w:rsidRPr="007F19D9" w:rsidP="007F19D9">
      <w:pPr>
        <w:pStyle w:val="AllowPageBreak"/>
      </w:pPr>
    </w:p>
    <w:p w:rsidR="00000000" w:rsidRPr="007F19D9" w:rsidP="007F19D9">
      <w:pPr>
        <w:pStyle w:val="Heading1"/>
      </w:pPr>
      <w:bookmarkStart w:id="6" w:name="O_587572"/>
      <w:bookmarkEnd w:id="6"/>
      <w:r w:rsidRPr="007F19D9">
        <w:t>Employability Skills Information</w:t>
      </w:r>
    </w:p>
    <w:tbl>
      <w:tblPr>
        <w:tblW w:w="0" w:type="auto"/>
        <w:tblLayout w:type="fixed"/>
        <w:tblCellMar>
          <w:left w:w="62" w:type="dxa"/>
          <w:right w:w="62" w:type="dxa"/>
        </w:tblCellMar>
        <w:tblLook w:val="0000"/>
      </w:tblPr>
      <w:tblGrid>
        <w:gridCol w:w="2700"/>
        <w:gridCol w:w="5760"/>
      </w:tblGrid>
      <w:tr w:rsidTr="007B4E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 xml:space="preserve">5) </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This unit contains Employability Skills</w:t>
            </w:r>
          </w:p>
          <w:p w:rsidR="00000000" w:rsidRPr="007F19D9" w:rsidP="007F19D9">
            <w:pPr>
              <w:pStyle w:val="BodyText"/>
            </w:pPr>
            <w:r w:rsidRPr="007F19D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F19D9">
              <w:t>requirements.</w:t>
            </w:r>
          </w:p>
        </w:tc>
      </w:tr>
    </w:tbl>
    <w:p w:rsidR="00000000" w:rsidRPr="007F19D9" w:rsidP="007F19D9">
      <w:pPr>
        <w:pStyle w:val="BodyText"/>
      </w:pPr>
    </w:p>
    <w:p w:rsidR="00000000" w:rsidRPr="007F19D9" w:rsidP="007F19D9">
      <w:pPr>
        <w:pStyle w:val="AllowPageBreak"/>
      </w:pPr>
    </w:p>
    <w:p w:rsidR="00000000" w:rsidRPr="007F19D9" w:rsidP="007F19D9">
      <w:pPr>
        <w:pStyle w:val="Heading1"/>
      </w:pPr>
      <w:bookmarkStart w:id="7" w:name="O_587571"/>
      <w:bookmarkEnd w:id="7"/>
      <w:r w:rsidRPr="007F19D9">
        <w:t>Elements and Performance Criteria Pre-Content</w:t>
      </w:r>
    </w:p>
    <w:tbl>
      <w:tblPr>
        <w:tblW w:w="0" w:type="auto"/>
        <w:tblLayout w:type="fixed"/>
        <w:tblCellMar>
          <w:left w:w="62" w:type="dxa"/>
          <w:right w:w="62" w:type="dxa"/>
        </w:tblCellMar>
        <w:tblLook w:val="0000"/>
      </w:tblPr>
      <w:tblGrid>
        <w:gridCol w:w="2700"/>
        <w:gridCol w:w="5760"/>
      </w:tblGrid>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6)</w:t>
            </w:r>
            <w:r w:rsidRPr="007F19D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Performance Criteria describe the required performance needed to demonstrate achievement of the element. Assessment of performance is to be consistent with the Evidence Guide.</w:t>
            </w:r>
          </w:p>
        </w:tc>
      </w:tr>
    </w:tbl>
    <w:p w:rsidR="00000000" w:rsidRPr="007F19D9" w:rsidP="007F19D9">
      <w:pPr>
        <w:pStyle w:val="BodyText"/>
      </w:pPr>
    </w:p>
    <w:p w:rsidR="00000000" w:rsidRPr="007F19D9" w:rsidP="007F19D9">
      <w:pPr>
        <w:pStyle w:val="AllowPageBreak"/>
      </w:pPr>
    </w:p>
    <w:p w:rsidR="00000000" w:rsidRPr="007F19D9" w:rsidP="007F19D9">
      <w:pPr>
        <w:pStyle w:val="Heading1"/>
      </w:pPr>
      <w:bookmarkStart w:id="8" w:name="O_587570"/>
      <w:bookmarkEnd w:id="8"/>
      <w:r w:rsidRPr="007F19D9">
        <w:t>Elements and Performance Criteria</w:t>
      </w:r>
    </w:p>
    <w:tbl>
      <w:tblPr>
        <w:tblW w:w="0" w:type="auto"/>
        <w:tblLayout w:type="fixed"/>
        <w:tblCellMar>
          <w:left w:w="62" w:type="dxa"/>
          <w:right w:w="62" w:type="dxa"/>
        </w:tblCellMar>
        <w:tblLook w:val="0000"/>
      </w:tblPr>
      <w:tblGrid>
        <w:gridCol w:w="434"/>
        <w:gridCol w:w="2167"/>
        <w:gridCol w:w="99"/>
        <w:gridCol w:w="768"/>
        <w:gridCol w:w="4679"/>
        <w:gridCol w:w="313"/>
      </w:tblGrid>
      <w:tr w:rsidTr="007B4ECA">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PERFORMANCE CRITE</w:t>
            </w:r>
            <w:r w:rsidRPr="007F19D9">
              <w:rPr>
                <w:rStyle w:val="SpecialBold"/>
              </w:rPr>
              <w:t>RIA</w:t>
            </w:r>
          </w:p>
        </w:tc>
      </w:tr>
      <w:tr w:rsidTr="007B4ECA">
        <w:tblPrEx>
          <w:tblW w:w="0" w:type="auto"/>
          <w:tblLayout w:type="fixed"/>
          <w:tblCellMar>
            <w:left w:w="62" w:type="dxa"/>
            <w:right w:w="62" w:type="dxa"/>
          </w:tblCellMar>
          <w:tblLook w:val="0000"/>
        </w:tblPrEx>
        <w:trPr>
          <w:gridAfter w:val="1"/>
          <w:wAfter w:w="313" w:type="dxa"/>
          <w:trHeight w:val="686"/>
        </w:trPr>
        <w:tc>
          <w:tcPr>
            <w:tcW w:w="434"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1</w:t>
            </w:r>
          </w:p>
        </w:tc>
        <w:tc>
          <w:tcPr>
            <w:tcW w:w="2167" w:type="dxa"/>
            <w:vMerge w:val="restart"/>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Prepare to design custom electronic installations.</w:t>
            </w: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1.1</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OHS processes and procedures for a given work area are obtained and understood.</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1.2</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Established OHS risk control measures and procedures are followed in preparation for the work.</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1.3</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The extent of the proposed custom electronic installation is determined from the design brief or in consultations with appropriate person(s).</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1.4</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Design development work is planned to meet scheduled timelines in consultation with others involved on the</w:t>
            </w:r>
            <w:r w:rsidRPr="007F19D9">
              <w:t xml:space="preserve"> work site.</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2</w:t>
            </w:r>
          </w:p>
        </w:tc>
        <w:tc>
          <w:tcPr>
            <w:tcW w:w="2167" w:type="dxa"/>
            <w:vMerge w:val="restart"/>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Develop installation design.</w:t>
            </w: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2.1</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Knowledge of audio/video components, home theatre acoustics and regulations is applied to the design.</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2.2</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Alternative arrangements for the installation design are considered based on the requirements outlined in the design brief.</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2.3</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Safety, functional and budgetary considerations are incorporated in the installation design.</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2.4</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Installation design draft is checked for compliance with the design brief and regulatory requirements.</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2.5</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Installation design is documented for submission to appropriate person(s) for approval.</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2.6</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Solutions to unplanned situation are provided consistent with organisation policy.</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3</w:t>
            </w:r>
          </w:p>
        </w:tc>
        <w:tc>
          <w:tcPr>
            <w:tcW w:w="2167"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Obtain approval for installation design.</w:t>
            </w: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3.1</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Installation design is presented and explained to client and/or other relevant person(s).</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3.2</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Requests for alterations to the design are negotiated with relevant person(s) within the constraints of organisation policy.</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3.3</w:t>
            </w:r>
          </w:p>
        </w:tc>
        <w:tc>
          <w:tcPr>
            <w:tcW w:w="4679"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Final design is documented and approval obtained from appropriate person(s).</w:t>
            </w:r>
          </w:p>
        </w:tc>
      </w:tr>
      <w:tr w:rsidTr="007B4ECA">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3.4</w:t>
            </w:r>
          </w:p>
        </w:tc>
        <w:tc>
          <w:tcPr>
            <w:tcW w:w="4679"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Quality of work is monitored against personal performance agreement and/or established organizational or professional standards.</w:t>
            </w:r>
          </w:p>
        </w:tc>
      </w:tr>
    </w:tbl>
    <w:p w:rsidR="00000000" w:rsidRPr="007F19D9" w:rsidP="007F19D9">
      <w:pPr>
        <w:pStyle w:val="BodyText"/>
      </w:pPr>
    </w:p>
    <w:p w:rsidR="00000000" w:rsidRPr="007F19D9" w:rsidP="007F19D9">
      <w:pPr>
        <w:pStyle w:val="AllowPageBreak"/>
      </w:pPr>
    </w:p>
    <w:p w:rsidR="00000000" w:rsidRPr="007F19D9" w:rsidP="007F19D9">
      <w:pPr>
        <w:pStyle w:val="Heading1"/>
      </w:pPr>
      <w:bookmarkStart w:id="9" w:name="O_587569"/>
      <w:bookmarkEnd w:id="9"/>
      <w:r w:rsidRPr="007F19D9">
        <w:t>Required Skills and Knowledge</w:t>
      </w:r>
    </w:p>
    <w:tbl>
      <w:tblPr>
        <w:tblW w:w="0" w:type="auto"/>
        <w:tblLayout w:type="fixed"/>
        <w:tblCellMar>
          <w:left w:w="62" w:type="dxa"/>
          <w:right w:w="62" w:type="dxa"/>
        </w:tblCellMar>
        <w:tblLook w:val="0000"/>
      </w:tblPr>
      <w:tblGrid>
        <w:gridCol w:w="8460"/>
      </w:tblGrid>
      <w:tr w:rsidTr="007B4E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REQUIRED SKILLS AND KNOWLEDGE</w:t>
            </w:r>
          </w:p>
        </w:tc>
      </w:tr>
      <w:tr w:rsidTr="007B4EC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8)</w:t>
            </w:r>
            <w:r w:rsidRPr="007F19D9">
              <w:t xml:space="preserve"> This describes </w:t>
            </w:r>
            <w:r w:rsidRPr="007F19D9">
              <w:t>the essential skills and knowledge and their level, required for this unit.</w:t>
            </w:r>
          </w:p>
          <w:p w:rsidR="00000000" w:rsidRPr="007F19D9" w:rsidP="007F19D9">
            <w:pPr>
              <w:pStyle w:val="BodyText"/>
            </w:pPr>
            <w:r w:rsidRPr="007F19D9">
              <w:t xml:space="preserve">Evidence shall show that knowledge has been acquired of safe working practices and designing custom electronic installations. </w:t>
            </w:r>
          </w:p>
          <w:p w:rsidR="00000000" w:rsidRPr="007F19D9" w:rsidP="007F19D9">
            <w:pPr>
              <w:pStyle w:val="BodyText"/>
            </w:pPr>
            <w:r w:rsidRPr="007F19D9">
              <w:t>All knowledge and skills detailed in this unit should</w:t>
            </w:r>
            <w:r w:rsidRPr="007F19D9">
              <w:t xml:space="preserve"> be contextualised to current industry practices and technologies.</w:t>
            </w:r>
          </w:p>
          <w:p w:rsidR="00000000" w:rsidRPr="007F19D9" w:rsidP="007F19D9">
            <w:pPr>
              <w:pStyle w:val="BodyText"/>
            </w:pPr>
            <w:r w:rsidRPr="007F19D9">
              <w:rPr>
                <w:rStyle w:val="SpecialBold"/>
              </w:rPr>
              <w:t>KS01-EH135A</w:t>
            </w:r>
            <w:r w:rsidRPr="007F19D9">
              <w:rPr>
                <w:rStyle w:val="SpecialBold"/>
              </w:rPr>
              <w:tab/>
              <w:t xml:space="preserve">              Custom electronic equipment installation design</w:t>
            </w:r>
          </w:p>
          <w:p w:rsidR="00000000" w:rsidRPr="007F19D9" w:rsidP="007F19D9">
            <w:pPr>
              <w:pStyle w:val="BodyText"/>
            </w:pPr>
            <w:r w:rsidRPr="007F19D9">
              <w:t>Evidence shall show an under</w:t>
            </w:r>
            <w:r w:rsidRPr="007F19D9">
              <w:t>standing of custom electronic equipment installation design, applying safe working practices and relevant Standards, Codes and Regulations to an extent indicated by the following aspects:</w:t>
            </w:r>
          </w:p>
          <w:p w:rsidR="00000000" w:rsidRPr="007F19D9" w:rsidP="007F19D9">
            <w:pPr>
              <w:pStyle w:val="BodyText"/>
            </w:pPr>
            <w:r w:rsidRPr="007F19D9">
              <w:t>T1.</w:t>
            </w:r>
            <w:r w:rsidRPr="007F19D9">
              <w:tab/>
              <w:t>Integrated audio systems</w:t>
            </w:r>
          </w:p>
          <w:p w:rsidR="00000000" w:rsidRPr="007F19D9" w:rsidP="007F19D9">
            <w:pPr>
              <w:pStyle w:val="ListBullet"/>
            </w:pPr>
            <w:r w:rsidRPr="007F19D9">
              <w:t>Types of audio control and switching d</w:t>
            </w:r>
            <w:r w:rsidRPr="007F19D9">
              <w:t>evices</w:t>
            </w:r>
          </w:p>
          <w:p w:rsidR="00000000" w:rsidRPr="007F19D9" w:rsidP="007F19D9">
            <w:pPr>
              <w:pStyle w:val="ListBullet"/>
            </w:pPr>
            <w:r w:rsidRPr="007F19D9">
              <w:t>Types of surround sound systems</w:t>
            </w:r>
          </w:p>
          <w:p w:rsidR="00000000" w:rsidRPr="007F19D9" w:rsidP="007F19D9">
            <w:pPr>
              <w:pStyle w:val="ListBullet"/>
            </w:pPr>
            <w:r w:rsidRPr="007F19D9">
              <w:t>Operation of system control circuits, including the remote device</w:t>
            </w:r>
          </w:p>
          <w:p w:rsidR="00000000" w:rsidRPr="007F19D9" w:rsidP="007F19D9">
            <w:pPr>
              <w:pStyle w:val="BodyText"/>
            </w:pPr>
            <w:r w:rsidRPr="007F19D9">
              <w:t>T2.</w:t>
            </w:r>
            <w:r w:rsidRPr="007F19D9">
              <w:tab/>
              <w:t>Video and display set up</w:t>
            </w:r>
          </w:p>
          <w:p w:rsidR="00000000" w:rsidRPr="007F19D9" w:rsidP="007F19D9">
            <w:pPr>
              <w:pStyle w:val="ListBullet"/>
            </w:pPr>
            <w:r w:rsidRPr="007F19D9">
              <w:t>Projectors encompassing:</w:t>
            </w:r>
          </w:p>
          <w:p w:rsidR="00000000" w:rsidRPr="007F19D9" w:rsidP="007F19D9">
            <w:pPr>
              <w:pStyle w:val="ListBullet2"/>
            </w:pPr>
            <w:r w:rsidRPr="007F19D9">
              <w:t>Aspect ratio</w:t>
            </w:r>
          </w:p>
          <w:p w:rsidR="00000000" w:rsidRPr="007F19D9" w:rsidP="007F19D9">
            <w:pPr>
              <w:pStyle w:val="ListBullet2"/>
            </w:pPr>
            <w:r w:rsidRPr="007F19D9">
              <w:t>Screen size</w:t>
            </w:r>
          </w:p>
          <w:p w:rsidR="00000000" w:rsidRPr="007F19D9" w:rsidP="007F19D9">
            <w:pPr>
              <w:pStyle w:val="ListBullet2"/>
            </w:pPr>
            <w:r w:rsidRPr="007F19D9">
              <w:t>Orientation</w:t>
            </w:r>
          </w:p>
          <w:p w:rsidR="00000000" w:rsidRPr="007F19D9" w:rsidP="007F19D9">
            <w:pPr>
              <w:pStyle w:val="ListBullet2"/>
            </w:pPr>
            <w:r w:rsidRPr="007F19D9">
              <w:t>Throw distance, vertical elevation and horizontal orientat</w:t>
            </w:r>
            <w:r w:rsidRPr="007F19D9">
              <w:t>ion</w:t>
            </w:r>
          </w:p>
          <w:p w:rsidR="00000000" w:rsidRPr="007F19D9" w:rsidP="007F19D9">
            <w:pPr>
              <w:pStyle w:val="ListBullet"/>
            </w:pPr>
            <w:r w:rsidRPr="007F19D9">
              <w:t>Direct view monitors adjustments</w:t>
            </w:r>
          </w:p>
          <w:p w:rsidR="00000000" w:rsidRPr="007F19D9" w:rsidP="007F19D9">
            <w:pPr>
              <w:pStyle w:val="BodyText"/>
            </w:pPr>
            <w:r w:rsidRPr="007F19D9">
              <w:t>T3.</w:t>
            </w:r>
            <w:r w:rsidRPr="007F19D9">
              <w:tab/>
              <w:t>Audio/video control equipment</w:t>
            </w:r>
          </w:p>
          <w:p w:rsidR="00000000" w:rsidRPr="007F19D9" w:rsidP="007F19D9">
            <w:pPr>
              <w:pStyle w:val="ListBullet"/>
            </w:pPr>
            <w:r w:rsidRPr="007F19D9">
              <w:t>Types of control devices and their operating principles</w:t>
            </w:r>
          </w:p>
          <w:p w:rsidR="00000000" w:rsidRPr="007F19D9" w:rsidP="007F19D9">
            <w:pPr>
              <w:pStyle w:val="ListBullet"/>
            </w:pPr>
            <w:r w:rsidRPr="007F19D9">
              <w:t>Control equipment arrangement in an audio/video system</w:t>
            </w:r>
          </w:p>
          <w:p w:rsidR="00000000" w:rsidRPr="007F19D9" w:rsidP="007F19D9">
            <w:pPr>
              <w:pStyle w:val="BodyText"/>
            </w:pPr>
            <w:r w:rsidRPr="007F19D9">
              <w:t>T4.</w:t>
            </w:r>
            <w:r w:rsidRPr="007F19D9">
              <w:tab/>
            </w:r>
            <w:r w:rsidRPr="007F19D9">
              <w:t>Technical standards, regulations and codes for extra-low voltage work</w:t>
            </w:r>
          </w:p>
          <w:p w:rsidR="00000000" w:rsidRPr="007F19D9" w:rsidP="007F19D9">
            <w:pPr>
              <w:pStyle w:val="ListBullet"/>
            </w:pPr>
            <w:r w:rsidRPr="007F19D9">
              <w:t>Limitation imposed by regulations</w:t>
            </w:r>
          </w:p>
          <w:p w:rsidR="00000000" w:rsidRPr="007F19D9" w:rsidP="007F19D9">
            <w:pPr>
              <w:pStyle w:val="ListBullet"/>
            </w:pPr>
            <w:r w:rsidRPr="007F19D9">
              <w:t>How to read and apply a standard</w:t>
            </w:r>
          </w:p>
          <w:p w:rsidR="00000000" w:rsidRPr="007F19D9" w:rsidP="007F19D9">
            <w:pPr>
              <w:pStyle w:val="ListBullet"/>
            </w:pPr>
            <w:r w:rsidRPr="007F19D9">
              <w:t>Aspects of technical Standards that apply to extra-low voltage work</w:t>
            </w:r>
          </w:p>
          <w:p w:rsidR="00000000" w:rsidRPr="007F19D9" w:rsidP="007F19D9">
            <w:pPr>
              <w:pStyle w:val="BodyText"/>
            </w:pPr>
            <w:r w:rsidRPr="007F19D9">
              <w:t>T5.</w:t>
            </w:r>
            <w:r w:rsidRPr="007F19D9">
              <w:tab/>
              <w:t>Environmental and heritage awareness</w:t>
            </w:r>
          </w:p>
          <w:p w:rsidR="00000000" w:rsidRPr="007F19D9" w:rsidP="007F19D9">
            <w:pPr>
              <w:pStyle w:val="ListBullet"/>
            </w:pPr>
            <w:r w:rsidRPr="007F19D9">
              <w:t xml:space="preserve">Purpose </w:t>
            </w:r>
            <w:r w:rsidRPr="007F19D9">
              <w:t>of environmental and heritage regulation</w:t>
            </w:r>
          </w:p>
          <w:p w:rsidR="00000000" w:rsidRPr="007F19D9" w:rsidP="007F19D9">
            <w:pPr>
              <w:pStyle w:val="ListBullet"/>
            </w:pPr>
            <w:r w:rsidRPr="007F19D9">
              <w:t>Typical issues affecting electrotechnology services and systems</w:t>
            </w:r>
          </w:p>
          <w:p w:rsidR="00000000" w:rsidRPr="007F19D9" w:rsidP="007F19D9">
            <w:pPr>
              <w:pStyle w:val="ListBullet"/>
            </w:pPr>
            <w:r w:rsidRPr="007F19D9">
              <w:t>Meeting requirements</w:t>
            </w:r>
          </w:p>
          <w:p w:rsidR="00000000" w:rsidRPr="007F19D9" w:rsidP="007F19D9">
            <w:pPr>
              <w:pStyle w:val="BodyText"/>
            </w:pPr>
            <w:r w:rsidRPr="007F19D9">
              <w:t>T6.</w:t>
            </w:r>
            <w:r w:rsidRPr="007F19D9">
              <w:tab/>
              <w:t>Acoustics, spatial treatment and sound reproduction</w:t>
            </w:r>
          </w:p>
          <w:p w:rsidR="00000000" w:rsidRPr="007F19D9" w:rsidP="007F19D9">
            <w:pPr>
              <w:pStyle w:val="ListBullet"/>
            </w:pPr>
            <w:r w:rsidRPr="007F19D9">
              <w:t>Effects of room dimensions, spatial shape and surface textures on acousti</w:t>
            </w:r>
            <w:r w:rsidRPr="007F19D9">
              <w:t>cs</w:t>
            </w:r>
          </w:p>
          <w:p w:rsidR="00000000" w:rsidRPr="007F19D9" w:rsidP="007F19D9">
            <w:pPr>
              <w:pStyle w:val="ListBullet"/>
            </w:pPr>
            <w:r w:rsidRPr="007F19D9">
              <w:t>Ideal acoustic for specific purposes - speech, solo or small group music, rock music orchestral music, choral music, cinema and the like.</w:t>
            </w:r>
          </w:p>
          <w:p w:rsidR="00000000" w:rsidRPr="007F19D9" w:rsidP="007F19D9">
            <w:pPr>
              <w:pStyle w:val="ListBullet"/>
            </w:pPr>
            <w:r w:rsidRPr="007F19D9">
              <w:t>Measuring room response</w:t>
            </w:r>
          </w:p>
          <w:p w:rsidR="00000000" w:rsidRPr="007F19D9" w:rsidP="007F19D9">
            <w:pPr>
              <w:pStyle w:val="ListBullet"/>
            </w:pPr>
            <w:r w:rsidRPr="007F19D9">
              <w:t>Speaker placement and room response</w:t>
            </w:r>
          </w:p>
          <w:p w:rsidR="00000000" w:rsidRPr="007F19D9" w:rsidP="007F19D9">
            <w:pPr>
              <w:pStyle w:val="ListBullet"/>
            </w:pPr>
            <w:r w:rsidRPr="007F19D9">
              <w:t>Room treatment methods to improve acoustic response</w:t>
            </w:r>
          </w:p>
          <w:p w:rsidR="00000000" w:rsidRPr="007F19D9" w:rsidP="007F19D9">
            <w:pPr>
              <w:pStyle w:val="ListBullet"/>
            </w:pPr>
            <w:r w:rsidRPr="007F19D9">
              <w:t>Act</w:t>
            </w:r>
            <w:r w:rsidRPr="007F19D9">
              <w:t>ive methods to improve acoustic response</w:t>
            </w:r>
          </w:p>
          <w:p w:rsidR="00000000" w:rsidRPr="007F19D9" w:rsidP="007F19D9">
            <w:pPr>
              <w:pStyle w:val="BodyText"/>
            </w:pPr>
            <w:r w:rsidRPr="007F19D9">
              <w:t>T7.</w:t>
            </w:r>
            <w:r w:rsidRPr="007F19D9">
              <w:tab/>
              <w:t>Equipment installation design</w:t>
            </w:r>
          </w:p>
          <w:p w:rsidR="00000000" w:rsidRPr="007F19D9" w:rsidP="007F19D9">
            <w:pPr>
              <w:pStyle w:val="ListBullet"/>
            </w:pPr>
            <w:r w:rsidRPr="007F19D9">
              <w:t>Requirements</w:t>
            </w:r>
          </w:p>
          <w:p w:rsidR="00000000" w:rsidRPr="007F19D9" w:rsidP="007F19D9">
            <w:pPr>
              <w:pStyle w:val="ListBullet"/>
            </w:pPr>
            <w:r w:rsidRPr="007F19D9">
              <w:t>Limitations</w:t>
            </w:r>
          </w:p>
          <w:p w:rsidR="00000000" w:rsidRPr="007F19D9" w:rsidP="007F19D9">
            <w:pPr>
              <w:pStyle w:val="ListBullet"/>
            </w:pPr>
            <w:r w:rsidRPr="007F19D9">
              <w:t>Procedures</w:t>
            </w:r>
          </w:p>
          <w:p w:rsidR="00000000" w:rsidRPr="007F19D9" w:rsidP="007F19D9">
            <w:pPr>
              <w:pStyle w:val="ListBullet"/>
            </w:pPr>
            <w:r w:rsidRPr="007F19D9">
              <w:t>Documentation</w:t>
            </w:r>
          </w:p>
        </w:tc>
      </w:tr>
    </w:tbl>
    <w:p w:rsidR="00000000" w:rsidRPr="007F19D9" w:rsidP="007F19D9">
      <w:pPr>
        <w:pStyle w:val="BodyText"/>
      </w:pPr>
    </w:p>
    <w:p w:rsidR="00000000" w:rsidRPr="007F19D9" w:rsidP="007F19D9">
      <w:pPr>
        <w:pStyle w:val="AllowPageBreak"/>
      </w:pPr>
    </w:p>
    <w:p w:rsidR="00000000" w:rsidRPr="007F19D9" w:rsidP="007F19D9">
      <w:pPr>
        <w:pStyle w:val="Heading1"/>
      </w:pPr>
      <w:bookmarkStart w:id="10" w:name="O_587568"/>
      <w:bookmarkEnd w:id="10"/>
      <w:r w:rsidRPr="007F19D9">
        <w:t>Evidence Guide</w:t>
      </w:r>
    </w:p>
    <w:tbl>
      <w:tblPr>
        <w:tblW w:w="0" w:type="auto"/>
        <w:tblLayout w:type="fixed"/>
        <w:tblCellMar>
          <w:left w:w="62" w:type="dxa"/>
          <w:right w:w="62" w:type="dxa"/>
        </w:tblCellMar>
        <w:tblLook w:val="0000"/>
      </w:tblPr>
      <w:tblGrid>
        <w:gridCol w:w="8460"/>
      </w:tblGrid>
      <w:tr w:rsidTr="007B4E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EVIDENCE GUIDE</w:t>
            </w:r>
          </w:p>
        </w:tc>
      </w:tr>
      <w:tr w:rsidTr="007B4E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9)</w:t>
            </w:r>
            <w:r w:rsidRPr="007F19D9">
              <w:t xml:space="preserve"> The evidence guide provides advice on assessment and must be read in conjunction with the Performance Criteria, Required Skills and Knowledge, the Range Statement and the Assessment Guidelines for this Training Package. .</w:t>
            </w:r>
          </w:p>
          <w:p w:rsidR="00000000" w:rsidRPr="007F19D9" w:rsidP="007F19D9">
            <w:pPr>
              <w:pStyle w:val="BodyText"/>
            </w:pPr>
            <w:r w:rsidRPr="007F19D9">
              <w:t>The Evidence Guide forms an integ</w:t>
            </w:r>
            <w:r w:rsidRPr="007F19D9">
              <w:t>ral part of this unit. It must be used in conjunction with all parts of the unit and performed in accordance with the Assessment Guidelines of this Training Package.</w:t>
            </w:r>
          </w:p>
        </w:tc>
      </w:tr>
    </w:tbl>
    <w:p w:rsidR="00000000" w:rsidRPr="007F19D9" w:rsidP="007F19D9">
      <w:pPr>
        <w:pStyle w:val="BodyText"/>
      </w:pPr>
    </w:p>
    <w:tbl>
      <w:tblPr>
        <w:tblW w:w="0" w:type="auto"/>
        <w:tblLayout w:type="fixed"/>
        <w:tblCellMar>
          <w:left w:w="62" w:type="dxa"/>
          <w:right w:w="62" w:type="dxa"/>
        </w:tblCellMar>
        <w:tblLook w:val="0000"/>
      </w:tblPr>
      <w:tblGrid>
        <w:gridCol w:w="1890"/>
        <w:gridCol w:w="6570"/>
      </w:tblGrid>
      <w:tr w:rsidTr="007B4E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9.1)</w:t>
            </w:r>
          </w:p>
        </w:tc>
      </w:tr>
      <w:tr w:rsidTr="007B4E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Longitudinal competency development approaches to assessme</w:t>
            </w:r>
            <w:r w:rsidRPr="007F19D9">
              <w:t>nt, such as Profiling, require data to be reliably gathered in a form that can be consistently interpreted over time. This approach is best utilised in Apprenticeship programs and reduces assessment intervention. It is the Industry-preferred model for appr</w:t>
            </w:r>
            <w:r w:rsidRPr="007F19D9">
              <w:t>enticeships. However, where summative (or final) assessment is used it must include the application of the competency in the normal work environment or, at a minimum, the application of the competency in a realistically simulated work environment. It is re</w:t>
            </w:r>
            <w:r w:rsidRPr="007F19D9">
              <w:t>cognised that, in some circumstances, assessment in part or full can occur outside the workplace. However, it must be in accord with industry and regulatory policy.</w:t>
            </w:r>
          </w:p>
          <w:p w:rsidR="00000000" w:rsidRPr="007F19D9" w:rsidP="007F19D9">
            <w:pPr>
              <w:pStyle w:val="BodyText"/>
            </w:pPr>
            <w:r w:rsidRPr="007F19D9">
              <w:t>Methods chosen for a particular assessment will be influenced by various factors. These inc</w:t>
            </w:r>
            <w:r w:rsidRPr="007F19D9">
              <w:t>lude the extent of the assessment, the most effective locations for the assessment activities to take place, access to physical resources, additional safety measures that may be required and the critical nature of the competencies being assessed.</w:t>
            </w:r>
          </w:p>
          <w:p w:rsidR="00000000" w:rsidRPr="007F19D9" w:rsidP="007F19D9">
            <w:pPr>
              <w:pStyle w:val="BodyText"/>
            </w:pPr>
            <w:r w:rsidRPr="007F19D9">
              <w:t>The criti</w:t>
            </w:r>
            <w:r w:rsidRPr="007F19D9">
              <w:t>cal safety nature of working with electricity, electrical equipment, gas or any other hazardous substance/material carries risk in deeming a person competent. Sources of evidence need to be ‘rich’ in nature to minimise error in judgment.</w:t>
            </w:r>
          </w:p>
          <w:p w:rsidR="00000000" w:rsidRPr="007F19D9" w:rsidP="007F19D9">
            <w:pPr>
              <w:pStyle w:val="BodyText"/>
            </w:pPr>
            <w:r w:rsidRPr="007F19D9">
              <w:t>Activities associated with normal everyday work influence decisions about how/how much the data gathered will contribute to its ‘richness’. Some skills are more critical to safety and operational requirements while the same skills may be more or less frequ</w:t>
            </w:r>
            <w:r w:rsidRPr="007F19D9">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7F19D9" w:rsidP="007F19D9">
      <w:pPr>
        <w:pStyle w:val="BodyText"/>
      </w:pPr>
    </w:p>
    <w:tbl>
      <w:tblPr>
        <w:tblW w:w="9842" w:type="dxa"/>
        <w:tblLayout w:type="fixed"/>
        <w:tblCellMar>
          <w:left w:w="62" w:type="dxa"/>
          <w:right w:w="62" w:type="dxa"/>
        </w:tblCellMar>
        <w:tblLook w:val="0000"/>
      </w:tblPr>
      <w:tblGrid>
        <w:gridCol w:w="1852"/>
        <w:gridCol w:w="38"/>
        <w:gridCol w:w="6062"/>
        <w:gridCol w:w="508"/>
        <w:gridCol w:w="1382"/>
      </w:tblGrid>
      <w:tr w:rsidTr="007B4ECA">
        <w:tblPrEx>
          <w:tblW w:w="9842" w:type="dxa"/>
          <w:tblLayout w:type="fixed"/>
          <w:tblCellMar>
            <w:left w:w="62" w:type="dxa"/>
            <w:right w:w="62" w:type="dxa"/>
          </w:tblCellMar>
          <w:tblLook w:val="0000"/>
        </w:tblPrEx>
        <w:trPr>
          <w:gridAfter w:val="1"/>
          <w:wAfter w:w="1382" w:type="dxa"/>
        </w:trPr>
        <w:tc>
          <w:tcPr>
            <w:tcW w:w="1890" w:type="dxa"/>
            <w:gridSpan w:val="2"/>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9.2)</w:t>
            </w:r>
          </w:p>
        </w:tc>
      </w:tr>
      <w:tr w:rsidTr="007B4ECA">
        <w:tblPrEx>
          <w:tblW w:w="9842" w:type="dxa"/>
          <w:tblLayout w:type="fixed"/>
          <w:tblCellMar>
            <w:left w:w="62" w:type="dxa"/>
            <w:right w:w="62" w:type="dxa"/>
          </w:tblCellMar>
          <w:tblLook w:val="0000"/>
        </w:tblPrEx>
        <w:trPr>
          <w:gridAfter w:val="1"/>
          <w:wAfter w:w="1382"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Before the critical aspects of evidence are considered all prerequisites shall be met.</w:t>
            </w:r>
          </w:p>
          <w:p w:rsidR="00000000" w:rsidRPr="007F19D9" w:rsidP="007F19D9">
            <w:pPr>
              <w:pStyle w:val="BodyText"/>
            </w:pPr>
            <w:r w:rsidRPr="007F19D9">
              <w:t>Evidence for competence in this unit shall be considered holistically.  Each Elem</w:t>
            </w:r>
            <w:r w:rsidRPr="007F19D9">
              <w:t>ent and associated performance criteria shall be demonstrated on at least two occasions in accordance with the ‘Assessment Guidelines – UEE11’.  Evidence shall also comprise:</w:t>
            </w:r>
          </w:p>
          <w:p w:rsidR="00000000" w:rsidRPr="007F19D9" w:rsidP="007F19D9">
            <w:pPr>
              <w:pStyle w:val="ListBullet"/>
            </w:pPr>
            <w:r w:rsidRPr="007F19D9">
              <w:t>A representative body of work performance demonstrated within the timeframes typ</w:t>
            </w:r>
            <w:r w:rsidRPr="007F19D9">
              <w:t>ically expected of the discipline, work function and industrial environment. In particular this shall incorporate evidence that shows a candidate is able to:</w:t>
            </w:r>
          </w:p>
          <w:p w:rsidR="00000000" w:rsidRPr="007F19D9" w:rsidP="007F19D9">
            <w:pPr>
              <w:pStyle w:val="ListBullet2"/>
            </w:pPr>
            <w:r w:rsidRPr="007F19D9">
              <w:t xml:space="preserve">Implement Occupational Health and Safety workplace procedures and practices, including </w:t>
            </w:r>
            <w:r w:rsidRPr="007F19D9">
              <w:t>the use of risk control measures as specified in the performance criteria and range statement</w:t>
            </w:r>
          </w:p>
          <w:p w:rsidR="00000000" w:rsidRPr="007F19D9" w:rsidP="007F19D9">
            <w:pPr>
              <w:pStyle w:val="ListBullet2"/>
            </w:pPr>
            <w:r w:rsidRPr="007F19D9">
              <w:t>Apply sustainable energy principles and practices as specified in the performance criteria and range statement</w:t>
            </w:r>
          </w:p>
          <w:p w:rsidR="00000000" w:rsidRPr="007F19D9" w:rsidP="007F19D9">
            <w:pPr>
              <w:pStyle w:val="ListBullet2"/>
            </w:pPr>
            <w:r w:rsidRPr="007F19D9">
              <w:t>Demonstrate an understanding of the essential knowl</w:t>
            </w:r>
            <w:r w:rsidRPr="007F19D9">
              <w:t>edge and associated skills as described in this unit.  It may be required by some jurisdictions that RTOs provide a percentile graded result for the purpose of regulatory or licensing requirements.</w:t>
            </w:r>
          </w:p>
          <w:p w:rsidR="00000000" w:rsidRPr="007F19D9" w:rsidP="007F19D9">
            <w:pPr>
              <w:pStyle w:val="ListBullet2"/>
            </w:pPr>
            <w:r w:rsidRPr="007F19D9">
              <w:t>Demonstrate an appropriate level of skills enabling employ</w:t>
            </w:r>
            <w:r w:rsidRPr="007F19D9">
              <w:t>ment</w:t>
            </w:r>
          </w:p>
          <w:p w:rsidR="00000000" w:rsidRPr="007F19D9" w:rsidP="007F19D9">
            <w:pPr>
              <w:pStyle w:val="ListBullet2"/>
            </w:pPr>
            <w:r w:rsidRPr="007F19D9">
              <w:t>Conduct work observing the relevant Anti Discrimination legislation, regulations, polices and workplace procedures</w:t>
            </w:r>
          </w:p>
          <w:p w:rsidR="00000000" w:rsidRPr="007F19D9" w:rsidP="007F19D9">
            <w:pPr>
              <w:pStyle w:val="ListBullet"/>
            </w:pPr>
            <w:r w:rsidRPr="007F19D9">
              <w:t>Demonstrated consistent performance across a representative range of contexts from the prescribed items below:</w:t>
            </w:r>
          </w:p>
          <w:p w:rsidR="00000000" w:rsidP="007F19D9">
            <w:pPr>
              <w:pStyle w:val="ListBullet2"/>
              <w:rPr>
                <w:lang w:val="en-NZ"/>
              </w:rPr>
            </w:pPr>
            <w:r w:rsidRPr="007F19D9">
              <w:t>Design custom electroni</w:t>
            </w:r>
            <w:r w:rsidRPr="007F19D9">
              <w:t>c installations as described in 8) and including:</w:t>
            </w:r>
          </w:p>
        </w:tc>
      </w:tr>
      <w:tr w:rsidTr="007B4ECA">
        <w:tblPrEx>
          <w:tblW w:w="9842" w:type="dxa"/>
          <w:tblLayout w:type="fixed"/>
          <w:tblCellMar>
            <w:left w:w="62" w:type="dxa"/>
            <w:right w:w="62" w:type="dxa"/>
          </w:tblCellMar>
          <w:tblLook w:val="0000"/>
        </w:tblPrEx>
        <w:trPr>
          <w:gridAfter w:val="2"/>
          <w:wAfter w:w="1890" w:type="dxa"/>
        </w:trPr>
        <w:tc>
          <w:tcPr>
            <w:tcW w:w="1852"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A</w:t>
            </w:r>
          </w:p>
        </w:tc>
        <w:tc>
          <w:tcPr>
            <w:tcW w:w="6100"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Developing outlines of alternative designs.</w:t>
            </w:r>
          </w:p>
        </w:tc>
      </w:tr>
      <w:tr w:rsidTr="007B4ECA">
        <w:tblPrEx>
          <w:tblW w:w="9842" w:type="dxa"/>
          <w:tblLayout w:type="fixed"/>
          <w:tblCellMar>
            <w:left w:w="62" w:type="dxa"/>
            <w:right w:w="62" w:type="dxa"/>
          </w:tblCellMar>
          <w:tblLook w:val="0000"/>
        </w:tblPrEx>
        <w:trPr>
          <w:gridAfter w:val="2"/>
          <w:wAfter w:w="1890" w:type="dxa"/>
        </w:trPr>
        <w:tc>
          <w:tcPr>
            <w:tcW w:w="1852"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B</w:t>
            </w:r>
          </w:p>
        </w:tc>
        <w:tc>
          <w:tcPr>
            <w:tcW w:w="6100"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Developing the design within the safety and functional requirements and budget limitations.</w:t>
            </w:r>
          </w:p>
        </w:tc>
      </w:tr>
      <w:tr w:rsidTr="007B4ECA">
        <w:tblPrEx>
          <w:tblW w:w="9842" w:type="dxa"/>
          <w:tblLayout w:type="fixed"/>
          <w:tblCellMar>
            <w:left w:w="62" w:type="dxa"/>
            <w:right w:w="62" w:type="dxa"/>
          </w:tblCellMar>
          <w:tblLook w:val="0000"/>
        </w:tblPrEx>
        <w:trPr>
          <w:gridAfter w:val="2"/>
          <w:wAfter w:w="1890" w:type="dxa"/>
        </w:trPr>
        <w:tc>
          <w:tcPr>
            <w:tcW w:w="1852"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C</w:t>
            </w:r>
          </w:p>
        </w:tc>
        <w:tc>
          <w:tcPr>
            <w:tcW w:w="6100"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Documenting and presenting design effectively.</w:t>
            </w:r>
          </w:p>
        </w:tc>
      </w:tr>
      <w:tr w:rsidTr="007B4ECA">
        <w:tblPrEx>
          <w:tblW w:w="9842" w:type="dxa"/>
          <w:tblLayout w:type="fixed"/>
          <w:tblCellMar>
            <w:left w:w="62" w:type="dxa"/>
            <w:right w:w="62" w:type="dxa"/>
          </w:tblCellMar>
          <w:tblLook w:val="0000"/>
        </w:tblPrEx>
        <w:trPr>
          <w:gridAfter w:val="2"/>
          <w:wAfter w:w="1890" w:type="dxa"/>
        </w:trPr>
        <w:tc>
          <w:tcPr>
            <w:tcW w:w="1852"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D</w:t>
            </w:r>
          </w:p>
        </w:tc>
        <w:tc>
          <w:tcPr>
            <w:tcW w:w="6100"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Successf</w:t>
            </w:r>
            <w:r w:rsidRPr="007F19D9">
              <w:t>ully negotiating design alteration requests.</w:t>
            </w:r>
          </w:p>
        </w:tc>
      </w:tr>
      <w:tr w:rsidTr="007B4ECA">
        <w:tblPrEx>
          <w:tblW w:w="9842" w:type="dxa"/>
          <w:tblLayout w:type="fixed"/>
          <w:tblCellMar>
            <w:left w:w="62" w:type="dxa"/>
            <w:right w:w="62" w:type="dxa"/>
          </w:tblCellMar>
          <w:tblLook w:val="0000"/>
        </w:tblPrEx>
        <w:trPr>
          <w:gridAfter w:val="2"/>
          <w:wAfter w:w="1890" w:type="dxa"/>
        </w:trPr>
        <w:tc>
          <w:tcPr>
            <w:tcW w:w="1852"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E</w:t>
            </w:r>
          </w:p>
        </w:tc>
        <w:tc>
          <w:tcPr>
            <w:tcW w:w="6100"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Obtaining approval for final design.</w:t>
            </w:r>
          </w:p>
        </w:tc>
      </w:tr>
      <w:tr w:rsidTr="007B4ECA">
        <w:tblPrEx>
          <w:tblW w:w="9842" w:type="dxa"/>
          <w:tblLayout w:type="fixed"/>
          <w:tblCellMar>
            <w:left w:w="62" w:type="dxa"/>
            <w:right w:w="62" w:type="dxa"/>
          </w:tblCellMar>
          <w:tblLook w:val="0000"/>
        </w:tblPrEx>
        <w:trPr>
          <w:gridAfter w:val="2"/>
          <w:wAfter w:w="1890" w:type="dxa"/>
        </w:trPr>
        <w:tc>
          <w:tcPr>
            <w:tcW w:w="1852"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F</w:t>
            </w:r>
          </w:p>
        </w:tc>
        <w:tc>
          <w:tcPr>
            <w:tcW w:w="6100" w:type="dxa"/>
            <w:gridSpan w:val="2"/>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t xml:space="preserve">Dealing with unplanned events by drawing on essential knowledge and skills to provide appropriate solutions incorporated in a holistic assessment with the above listed </w:t>
            </w:r>
            <w:r w:rsidRPr="007F19D9">
              <w:t>items.</w:t>
            </w:r>
          </w:p>
        </w:tc>
      </w:tr>
      <w:tr w:rsidTr="007B4ECA">
        <w:tblPrEx>
          <w:tblW w:w="9842" w:type="dxa"/>
          <w:tblLayout w:type="fixed"/>
          <w:tblCellMar>
            <w:left w:w="62" w:type="dxa"/>
            <w:right w:w="62" w:type="dxa"/>
          </w:tblCellMar>
          <w:tblLook w:val="0000"/>
        </w:tblPrEx>
        <w:tc>
          <w:tcPr>
            <w:tcW w:w="9842" w:type="dxa"/>
            <w:gridSpan w:val="5"/>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 xml:space="preserve">Note: </w:t>
            </w:r>
          </w:p>
          <w:p w:rsidR="00000000" w:rsidRPr="007F19D9" w:rsidP="007F19D9">
            <w:pPr>
              <w:pStyle w:val="BodyText"/>
            </w:pPr>
            <w:r w:rsidRPr="007F19D9">
              <w:t>Successful completion of relevant vendor training may be used to contribute to evidence on which competency is deemed. In these cases the alignment of outcomes of vendor training with performance criteria and critical aspects of evidence shall be clearly i</w:t>
            </w:r>
            <w:r w:rsidRPr="007F19D9">
              <w:t>dentified.</w:t>
            </w:r>
          </w:p>
        </w:tc>
      </w:tr>
    </w:tbl>
    <w:p w:rsidR="00000000" w:rsidRPr="007F19D9" w:rsidP="007F19D9">
      <w:pPr>
        <w:pStyle w:val="BodyText"/>
      </w:pPr>
    </w:p>
    <w:tbl>
      <w:tblPr>
        <w:tblW w:w="0" w:type="auto"/>
        <w:tblLayout w:type="fixed"/>
        <w:tblCellMar>
          <w:left w:w="62" w:type="dxa"/>
          <w:right w:w="62" w:type="dxa"/>
        </w:tblCellMar>
        <w:tblLook w:val="0000"/>
      </w:tblPr>
      <w:tblGrid>
        <w:gridCol w:w="1890"/>
        <w:gridCol w:w="6570"/>
      </w:tblGrid>
      <w:tr w:rsidTr="007B4EC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9.3)</w:t>
            </w:r>
          </w:p>
        </w:tc>
      </w:tr>
      <w:tr w:rsidTr="007B4EC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This unit should be assessed as it relates to normal work practice using procedures, information and resources typical of a workplace. This should include:</w:t>
            </w:r>
          </w:p>
          <w:p w:rsidR="00000000" w:rsidRPr="007F19D9" w:rsidP="007F19D9">
            <w:pPr>
              <w:pStyle w:val="ListBullet"/>
            </w:pPr>
            <w:r w:rsidRPr="007F19D9">
              <w:t>OHS policy and work procedures and instructions.</w:t>
            </w:r>
          </w:p>
          <w:p w:rsidR="00000000" w:rsidRPr="007F19D9" w:rsidP="007F19D9">
            <w:pPr>
              <w:pStyle w:val="ListBullet"/>
            </w:pPr>
            <w:r w:rsidRPr="007F19D9">
              <w:t>Suitable work environment, facilities, equipment and materials to undertake actual work as prescribed by this unit.</w:t>
            </w:r>
          </w:p>
          <w:p w:rsidR="00000000" w:rsidRPr="007F19D9" w:rsidP="007F19D9">
            <w:pPr>
              <w:pStyle w:val="BodyText"/>
            </w:pPr>
            <w:r w:rsidRPr="007F19D9">
              <w:t>Resources required to assess this unit are listed above in Context of assessment’, which sh</w:t>
            </w:r>
            <w:r w:rsidRPr="007F19D9">
              <w:t>ould also be used in the formal learning/assessment environment.</w:t>
            </w:r>
          </w:p>
          <w:p w:rsidR="00000000" w:rsidRPr="007F19D9" w:rsidP="007F19D9">
            <w:pPr>
              <w:pStyle w:val="BodyText"/>
            </w:pPr>
            <w:r w:rsidRPr="007F19D9">
              <w:t xml:space="preserve">Note: </w:t>
            </w:r>
          </w:p>
          <w:p w:rsidR="00000000" w:rsidRPr="007F19D9" w:rsidP="007F19D9">
            <w:pPr>
              <w:pStyle w:val="BodyText"/>
            </w:pPr>
            <w:r w:rsidRPr="007F19D9">
              <w:t xml:space="preserve">Where simulation is considered a suitable strategy for assessment, conditions must be authentic and as far as possible reproduce and replicate the workplace and be consistent with the </w:t>
            </w:r>
            <w:r w:rsidRPr="007F19D9">
              <w:t>approved industry simulation policy.</w:t>
            </w:r>
          </w:p>
          <w:p w:rsidR="00000000" w:rsidRPr="007F19D9" w:rsidP="007F19D9">
            <w:pPr>
              <w:pStyle w:val="BodyText"/>
            </w:pPr>
            <w:r w:rsidRPr="007F19D9">
              <w:t>The resources used for assessment should reflect current industry practices in relation to designing custom electronic installations.</w:t>
            </w:r>
          </w:p>
        </w:tc>
      </w:tr>
    </w:tbl>
    <w:p w:rsidR="00000000" w:rsidRPr="007F19D9" w:rsidP="007F19D9">
      <w:pPr>
        <w:pStyle w:val="BodyText"/>
      </w:pPr>
    </w:p>
    <w:tbl>
      <w:tblPr>
        <w:tblW w:w="0" w:type="auto"/>
        <w:tblLayout w:type="fixed"/>
        <w:tblCellMar>
          <w:left w:w="62" w:type="dxa"/>
          <w:right w:w="62" w:type="dxa"/>
        </w:tblCellMar>
        <w:tblLook w:val="0000"/>
      </w:tblPr>
      <w:tblGrid>
        <w:gridCol w:w="1890"/>
        <w:gridCol w:w="6570"/>
      </w:tblGrid>
      <w:tr w:rsidTr="007B4E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9.4)</w:t>
            </w:r>
          </w:p>
        </w:tc>
      </w:tr>
      <w:tr w:rsidTr="007B4E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This unit shall be assessed by methods given in Volume 1, Part 3 ‘Assessment Guidelines’.</w:t>
            </w:r>
          </w:p>
          <w:p w:rsidR="00000000" w:rsidRPr="007F19D9" w:rsidP="007F19D9">
            <w:pPr>
              <w:pStyle w:val="BodyText"/>
            </w:pPr>
            <w:r w:rsidRPr="007F19D9">
              <w:t xml:space="preserve">Note: </w:t>
            </w:r>
          </w:p>
          <w:p w:rsidR="00000000" w:rsidRPr="007F19D9" w:rsidP="007F19D9">
            <w:pPr>
              <w:pStyle w:val="BodyText"/>
            </w:pPr>
            <w:r w:rsidRPr="007F19D9">
              <w:t>Competent performance with inherent safe working practices is expected in the industry to which this unit applies. This requires that the specified essential k</w:t>
            </w:r>
            <w:r w:rsidRPr="007F19D9">
              <w:t>nowledge and associated skills are assessed in a structured environment which is primarily intended for learning/assessment and incorporates all necessary equipment and facilities for learners to develop and demonstrate the essential knowledge and skills d</w:t>
            </w:r>
            <w:r w:rsidRPr="007F19D9">
              <w:t>escribed in this unit.</w:t>
            </w:r>
          </w:p>
        </w:tc>
      </w:tr>
    </w:tbl>
    <w:p w:rsidR="00000000" w:rsidRPr="007F19D9" w:rsidP="007F19D9">
      <w:pPr>
        <w:pStyle w:val="BodyText"/>
      </w:pPr>
    </w:p>
    <w:tbl>
      <w:tblPr>
        <w:tblW w:w="0" w:type="auto"/>
        <w:tblLayout w:type="fixed"/>
        <w:tblCellMar>
          <w:left w:w="62" w:type="dxa"/>
          <w:right w:w="62" w:type="dxa"/>
        </w:tblCellMar>
        <w:tblLook w:val="0000"/>
      </w:tblPr>
      <w:tblGrid>
        <w:gridCol w:w="1890"/>
        <w:gridCol w:w="6570"/>
      </w:tblGrid>
      <w:tr w:rsidTr="007B4E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9.5)</w:t>
            </w:r>
          </w:p>
        </w:tc>
      </w:tr>
      <w:tr w:rsidTr="007B4EC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There are no concurrent assessment recommendations for this unit.</w:t>
            </w:r>
          </w:p>
          <w:p w:rsidR="00000000" w:rsidRPr="007F19D9" w:rsidP="007F19D9">
            <w:pPr>
              <w:pStyle w:val="BodyText"/>
            </w:pPr>
            <w:r w:rsidRPr="007F19D9">
              <w:t>The critical aspects of occupational health and safety covered in unit UEENEEE101A and other disciplin</w:t>
            </w:r>
            <w:r w:rsidRPr="007F19D9">
              <w:t>e specific occupational health and safety units shall be incorporated in relation to this unit.</w:t>
            </w:r>
          </w:p>
        </w:tc>
      </w:tr>
    </w:tbl>
    <w:p w:rsidR="00000000" w:rsidRPr="007F19D9" w:rsidP="007F19D9">
      <w:pPr>
        <w:pStyle w:val="BodyText"/>
      </w:pPr>
    </w:p>
    <w:p w:rsidR="00000000" w:rsidRPr="007F19D9" w:rsidP="007F19D9">
      <w:pPr>
        <w:pStyle w:val="AllowPageBreak"/>
      </w:pPr>
    </w:p>
    <w:p w:rsidR="00000000" w:rsidRPr="007F19D9" w:rsidP="007F19D9">
      <w:pPr>
        <w:pStyle w:val="Heading1"/>
      </w:pPr>
      <w:bookmarkStart w:id="11" w:name="O_587567"/>
      <w:bookmarkEnd w:id="11"/>
      <w:r w:rsidRPr="007F19D9">
        <w:t>Range Statement</w:t>
      </w:r>
    </w:p>
    <w:tbl>
      <w:tblPr>
        <w:tblW w:w="0" w:type="auto"/>
        <w:tblLayout w:type="fixed"/>
        <w:tblCellMar>
          <w:left w:w="62" w:type="dxa"/>
          <w:right w:w="62" w:type="dxa"/>
        </w:tblCellMar>
        <w:tblLook w:val="0000"/>
      </w:tblPr>
      <w:tblGrid>
        <w:gridCol w:w="8460"/>
      </w:tblGrid>
      <w:tr w:rsidTr="007B4E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RANGE STATEMENT</w:t>
            </w:r>
          </w:p>
        </w:tc>
      </w:tr>
      <w:tr w:rsidTr="007B4E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10)</w:t>
            </w:r>
            <w:r w:rsidRPr="007F19D9">
              <w:t xml:space="preserve"> This relates to the unit as a whole providing the range of contexts and conditions to which the </w:t>
            </w:r>
            <w:r w:rsidRPr="007F19D9">
              <w:t>performance criteria apply. It allows for different work environments and situations that will affect performance.</w:t>
            </w:r>
          </w:p>
          <w:p w:rsidR="00000000" w:rsidRPr="007F19D9" w:rsidP="007F19D9">
            <w:pPr>
              <w:pStyle w:val="BodyText"/>
            </w:pPr>
            <w:r w:rsidRPr="007F19D9">
              <w:t>This unit shall be demonstrated by designing the entertainment aspects of a representative range of two custom electronic installations one o</w:t>
            </w:r>
            <w:r w:rsidRPr="007F19D9">
              <w:t>f which shall incorporated dedicated home theatre.</w:t>
            </w:r>
          </w:p>
          <w:p w:rsidR="00000000" w:rsidRPr="007F19D9" w:rsidP="007F19D9">
            <w:pPr>
              <w:pStyle w:val="BodyText"/>
            </w:pPr>
            <w:r w:rsidRPr="007F19D9">
              <w:t xml:space="preserve">Generic terms used throughout this Vocational Standard shall be regarded as part of the Range Statement in which competency is demonstrated. The definition of these and other terms that apply are given in </w:t>
            </w:r>
            <w:r w:rsidRPr="007F19D9">
              <w:t>Volume 2, Part 2.1.</w:t>
            </w:r>
          </w:p>
        </w:tc>
      </w:tr>
    </w:tbl>
    <w:p w:rsidR="00000000" w:rsidRPr="007F19D9" w:rsidP="007F19D9">
      <w:pPr>
        <w:pStyle w:val="BodyText"/>
      </w:pPr>
    </w:p>
    <w:p w:rsidR="00000000" w:rsidRPr="007F19D9" w:rsidP="007F19D9">
      <w:pPr>
        <w:pStyle w:val="AllowPageBreak"/>
      </w:pPr>
    </w:p>
    <w:p w:rsidR="00000000" w:rsidRPr="007F19D9" w:rsidP="007F19D9">
      <w:pPr>
        <w:pStyle w:val="Heading1"/>
      </w:pPr>
      <w:bookmarkStart w:id="12" w:name="O_587566"/>
      <w:bookmarkEnd w:id="12"/>
      <w:r w:rsidRPr="007F19D9">
        <w:t>Unit Sector(s)</w:t>
      </w:r>
    </w:p>
    <w:p w:rsidR="00000000" w:rsidRPr="007F19D9" w:rsidP="007F19D9">
      <w:pPr>
        <w:pStyle w:val="BodyText"/>
      </w:pPr>
      <w:r w:rsidRPr="007F19D9">
        <w:t>Not applicable.</w:t>
      </w:r>
    </w:p>
    <w:p w:rsidR="00000000" w:rsidRPr="007F19D9" w:rsidP="007F19D9">
      <w:pPr>
        <w:pStyle w:val="AllowPageBreak"/>
      </w:pPr>
    </w:p>
    <w:p w:rsidR="00000000" w:rsidRPr="007F19D9" w:rsidP="007F19D9">
      <w:pPr>
        <w:pStyle w:val="Heading1"/>
      </w:pPr>
      <w:bookmarkStart w:id="13" w:name="O_587565"/>
      <w:bookmarkEnd w:id="13"/>
      <w:r w:rsidRPr="007F19D9">
        <w:t>Competency Field</w:t>
      </w:r>
    </w:p>
    <w:tbl>
      <w:tblPr>
        <w:tblW w:w="0" w:type="auto"/>
        <w:tblLayout w:type="fixed"/>
        <w:tblCellMar>
          <w:left w:w="62" w:type="dxa"/>
          <w:right w:w="62" w:type="dxa"/>
        </w:tblCellMar>
        <w:tblLook w:val="0000"/>
      </w:tblPr>
      <w:tblGrid>
        <w:gridCol w:w="2700"/>
        <w:gridCol w:w="5760"/>
      </w:tblGrid>
      <w:tr w:rsidTr="007B4E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F19D9">
            <w:pPr>
              <w:pStyle w:val="BodyText"/>
              <w:rPr>
                <w:lang w:val="en-NZ"/>
              </w:rPr>
            </w:pPr>
            <w:r w:rsidRPr="007F19D9">
              <w:rPr>
                <w:rStyle w:val="SpecialBold"/>
              </w:rPr>
              <w:t xml:space="preserve">11) </w:t>
            </w:r>
          </w:p>
        </w:tc>
      </w:tr>
      <w:tr w:rsidTr="007B4E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19D9" w:rsidP="007F19D9">
            <w:pPr>
              <w:pStyle w:val="BodyText"/>
            </w:pPr>
            <w:r w:rsidRPr="007F19D9">
              <w:t>Electronics</w:t>
            </w:r>
          </w:p>
        </w:tc>
      </w:tr>
    </w:tbl>
    <w:p w:rsidR="00000000" w:rsidRPr="007F19D9" w:rsidP="007F19D9">
      <w:pPr>
        <w:pStyle w:val="BodyText"/>
      </w:pPr>
    </w:p>
    <w:p w:rsidR="00000000" w:rsidRPr="007F19D9" w:rsidP="007F19D9"/>
    <w:sectPr w:rsidSect="007F19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9" w:rsidRPr="007B4ECA" w:rsidP="007B4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ECA" w:rsidP="007F1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B4ECA" w:rsidP="007F19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B4ECA" w:rsidP="007F19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9" w:rsidRPr="007B4ECA" w:rsidP="007B4E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ECA" w:rsidRPr="002D2AF8" w:rsidP="007F19D9">
    <w:pPr>
      <w:pStyle w:val="Header"/>
      <w:framePr w:wrap="around"/>
    </w:pPr>
    <w:r>
      <w:fldChar w:fldCharType="begin"/>
    </w:r>
    <w:r>
      <w:instrText xml:space="preserve"> TITLE   \* MERGEFORMAT </w:instrText>
    </w:r>
    <w:r>
      <w:fldChar w:fldCharType="separate"/>
    </w:r>
    <w:r>
      <w:t>UEENEEH135A Design custom electronic equipment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B4ECA" w:rsidP="007F19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7C3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4F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AB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9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9D9"/>
    <w:pPr>
      <w:spacing w:before="360" w:after="60"/>
      <w:outlineLvl w:val="0"/>
    </w:pPr>
    <w:rPr>
      <w:sz w:val="32"/>
    </w:rPr>
  </w:style>
  <w:style w:type="paragraph" w:styleId="Heading2">
    <w:name w:val="heading 2"/>
    <w:basedOn w:val="HeadingBase"/>
    <w:next w:val="BodyText"/>
    <w:link w:val="Heading2Char"/>
    <w:qFormat/>
    <w:rsid w:val="007F19D9"/>
    <w:pPr>
      <w:keepLines/>
      <w:spacing w:before="240" w:after="120"/>
      <w:outlineLvl w:val="1"/>
    </w:pPr>
    <w:rPr>
      <w:sz w:val="28"/>
      <w:szCs w:val="40"/>
    </w:rPr>
  </w:style>
  <w:style w:type="paragraph" w:styleId="Heading3">
    <w:name w:val="heading 3"/>
    <w:basedOn w:val="HeadingBase"/>
    <w:next w:val="BodyText"/>
    <w:link w:val="Heading3Char"/>
    <w:qFormat/>
    <w:rsid w:val="007F19D9"/>
    <w:pPr>
      <w:spacing w:before="180" w:after="120"/>
      <w:outlineLvl w:val="2"/>
    </w:pPr>
    <w:rPr>
      <w:spacing w:val="-10"/>
      <w:kern w:val="32"/>
    </w:rPr>
  </w:style>
  <w:style w:type="paragraph" w:styleId="Heading4">
    <w:name w:val="heading 4"/>
    <w:basedOn w:val="HeadingBase"/>
    <w:next w:val="BodyText"/>
    <w:link w:val="Heading4Char"/>
    <w:qFormat/>
    <w:rsid w:val="007F19D9"/>
    <w:pPr>
      <w:spacing w:before="160" w:after="120"/>
      <w:outlineLvl w:val="3"/>
    </w:pPr>
    <w:rPr>
      <w:sz w:val="22"/>
    </w:rPr>
  </w:style>
  <w:style w:type="paragraph" w:styleId="Heading5">
    <w:name w:val="heading 5"/>
    <w:basedOn w:val="HeadingBase"/>
    <w:next w:val="Normal"/>
    <w:link w:val="Heading5Char"/>
    <w:qFormat/>
    <w:rsid w:val="007F19D9"/>
    <w:pPr>
      <w:spacing w:before="80"/>
      <w:outlineLvl w:val="4"/>
    </w:pPr>
    <w:rPr>
      <w:color w:val="918585"/>
      <w:sz w:val="20"/>
    </w:rPr>
  </w:style>
  <w:style w:type="paragraph" w:styleId="Heading6">
    <w:name w:val="heading 6"/>
    <w:basedOn w:val="HeadingBase"/>
    <w:next w:val="Normal"/>
    <w:link w:val="Heading6Char"/>
    <w:qFormat/>
    <w:rsid w:val="007F19D9"/>
    <w:pPr>
      <w:spacing w:before="60"/>
      <w:outlineLvl w:val="5"/>
    </w:pPr>
    <w:rPr>
      <w:color w:val="918585"/>
      <w:sz w:val="20"/>
    </w:rPr>
  </w:style>
  <w:style w:type="paragraph" w:styleId="Heading7">
    <w:name w:val="heading 7"/>
    <w:basedOn w:val="Normal"/>
    <w:next w:val="Normal"/>
    <w:link w:val="Heading7Char"/>
    <w:qFormat/>
    <w:rsid w:val="007F19D9"/>
    <w:pPr>
      <w:ind w:left="720"/>
      <w:outlineLvl w:val="6"/>
    </w:pPr>
    <w:rPr>
      <w:i/>
    </w:rPr>
  </w:style>
  <w:style w:type="paragraph" w:styleId="Heading8">
    <w:name w:val="heading 8"/>
    <w:basedOn w:val="Normal"/>
    <w:next w:val="Normal"/>
    <w:link w:val="Heading8Char"/>
    <w:qFormat/>
    <w:rsid w:val="007F19D9"/>
    <w:pPr>
      <w:ind w:left="720"/>
      <w:outlineLvl w:val="7"/>
    </w:pPr>
    <w:rPr>
      <w:i/>
    </w:rPr>
  </w:style>
  <w:style w:type="paragraph" w:styleId="Heading9">
    <w:name w:val="heading 9"/>
    <w:basedOn w:val="Normal"/>
    <w:next w:val="Normal"/>
    <w:link w:val="Heading9Char"/>
    <w:qFormat/>
    <w:rsid w:val="007F19D9"/>
    <w:pPr>
      <w:ind w:left="720"/>
      <w:outlineLvl w:val="8"/>
    </w:pPr>
    <w:rPr>
      <w:i/>
    </w:rPr>
  </w:style>
  <w:style w:type="character" w:default="1" w:styleId="DefaultParagraphFont">
    <w:name w:val="Default Paragraph Font"/>
    <w:uiPriority w:val="1"/>
    <w:unhideWhenUsed/>
    <w:rsid w:val="007F1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9D9"/>
  </w:style>
  <w:style w:type="character" w:customStyle="1" w:styleId="Heading1Char">
    <w:name w:val="Heading 1 Char"/>
    <w:basedOn w:val="DefaultParagraphFont"/>
    <w:link w:val="Heading1"/>
    <w:rsid w:val="007F19D9"/>
    <w:rPr>
      <w:rFonts w:ascii="Times New Roman" w:eastAsia="Times New Roman" w:hAnsi="Times New Roman" w:cs="Times New Roman"/>
      <w:b/>
      <w:sz w:val="32"/>
      <w:szCs w:val="20"/>
      <w:lang w:eastAsia="en-US"/>
    </w:rPr>
  </w:style>
  <w:style w:type="paragraph" w:styleId="BodyText">
    <w:name w:val="Body Text"/>
    <w:basedOn w:val="Normal"/>
    <w:link w:val="BodyTextChar"/>
    <w:rsid w:val="007F19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19D9"/>
    <w:rPr>
      <w:rFonts w:ascii="Times New Roman" w:eastAsia="Times New Roman" w:hAnsi="Times New Roman" w:cs="Times New Roman"/>
      <w:sz w:val="24"/>
      <w:lang w:eastAsia="en-US"/>
    </w:rPr>
  </w:style>
  <w:style w:type="paragraph" w:styleId="ListBullet">
    <w:name w:val="List Bullet"/>
    <w:basedOn w:val="List"/>
    <w:rsid w:val="007F19D9"/>
    <w:pPr>
      <w:numPr>
        <w:numId w:val="13"/>
      </w:numPr>
      <w:tabs>
        <w:tab w:val="clear" w:pos="340"/>
      </w:tabs>
      <w:spacing w:before="40" w:after="40"/>
    </w:pPr>
  </w:style>
  <w:style w:type="character" w:customStyle="1" w:styleId="SpecialBold">
    <w:name w:val="Special Bold"/>
    <w:basedOn w:val="DefaultParagraphFont"/>
    <w:rsid w:val="007F19D9"/>
    <w:rPr>
      <w:b/>
      <w:spacing w:val="0"/>
    </w:rPr>
  </w:style>
  <w:style w:type="paragraph" w:styleId="ListBullet2">
    <w:name w:val="List Bullet 2"/>
    <w:basedOn w:val="List2"/>
    <w:rsid w:val="007F19D9"/>
    <w:pPr>
      <w:numPr>
        <w:numId w:val="14"/>
      </w:numPr>
      <w:tabs>
        <w:tab w:val="clear" w:pos="680"/>
      </w:tabs>
    </w:pPr>
  </w:style>
  <w:style w:type="paragraph" w:customStyle="1" w:styleId="SuperHeading">
    <w:name w:val="SuperHeading"/>
    <w:basedOn w:val="Normal"/>
    <w:rsid w:val="007F19D9"/>
    <w:pPr>
      <w:spacing w:before="240" w:after="120"/>
      <w:outlineLvl w:val="0"/>
    </w:pPr>
    <w:rPr>
      <w:rFonts w:ascii="Times New Roman" w:hAnsi="Times New Roman"/>
      <w:b/>
      <w:sz w:val="32"/>
    </w:rPr>
  </w:style>
  <w:style w:type="paragraph" w:customStyle="1" w:styleId="AllowPageBreak">
    <w:name w:val="AllowPageBreak"/>
    <w:rsid w:val="007F19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9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9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9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9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9D9"/>
    <w:rPr>
      <w:rFonts w:ascii="Courier New" w:eastAsia="Times New Roman" w:hAnsi="Courier New" w:cs="Times New Roman"/>
      <w:i/>
      <w:szCs w:val="20"/>
      <w:lang w:eastAsia="en-US"/>
    </w:rPr>
  </w:style>
  <w:style w:type="paragraph" w:customStyle="1" w:styleId="HeadingBase">
    <w:name w:val="Heading Base"/>
    <w:rsid w:val="007F1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9D9"/>
    <w:pPr>
      <w:tabs>
        <w:tab w:val="right" w:leader="dot" w:pos="9072"/>
      </w:tabs>
      <w:ind w:left="567"/>
    </w:pPr>
    <w:rPr>
      <w:szCs w:val="22"/>
    </w:rPr>
  </w:style>
  <w:style w:type="paragraph" w:customStyle="1" w:styleId="TOCBase">
    <w:name w:val="TOC Base"/>
    <w:rsid w:val="007F1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9D9"/>
    <w:pPr>
      <w:tabs>
        <w:tab w:val="right" w:leader="dot" w:pos="9072"/>
      </w:tabs>
      <w:spacing w:before="40" w:after="40"/>
      <w:ind w:left="284"/>
    </w:pPr>
    <w:rPr>
      <w:rFonts w:ascii="Times New Roman" w:hAnsi="Times New Roman"/>
    </w:rPr>
  </w:style>
  <w:style w:type="paragraph" w:styleId="TOC1">
    <w:name w:val="toc 1"/>
    <w:basedOn w:val="TOCBase"/>
    <w:next w:val="Normal"/>
    <w:rsid w:val="007F19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9D9"/>
    <w:rPr>
      <w:rFonts w:ascii="Times New Roman" w:eastAsia="Times New Roman" w:hAnsi="Times New Roman" w:cs="Times New Roman"/>
      <w:sz w:val="16"/>
      <w:lang w:eastAsia="en-US"/>
    </w:rPr>
  </w:style>
  <w:style w:type="paragraph" w:styleId="Title">
    <w:name w:val="Title"/>
    <w:basedOn w:val="HeadingBase"/>
    <w:link w:val="TitleChar"/>
    <w:qFormat/>
    <w:rsid w:val="007F19D9"/>
    <w:pPr>
      <w:spacing w:before="5040"/>
      <w:jc w:val="center"/>
    </w:pPr>
    <w:rPr>
      <w:sz w:val="48"/>
      <w:szCs w:val="72"/>
      <w:lang w:val="en-US"/>
    </w:rPr>
  </w:style>
  <w:style w:type="character" w:customStyle="1" w:styleId="TitleChar">
    <w:name w:val="Title Char"/>
    <w:basedOn w:val="DefaultParagraphFont"/>
    <w:link w:val="Title"/>
    <w:rsid w:val="007F1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9D9"/>
    <w:pPr>
      <w:tabs>
        <w:tab w:val="left" w:pos="3600"/>
        <w:tab w:val="left" w:pos="3958"/>
      </w:tabs>
    </w:pPr>
  </w:style>
  <w:style w:type="paragraph" w:styleId="List">
    <w:name w:val="List"/>
    <w:basedOn w:val="BodyText"/>
    <w:next w:val="BodyText"/>
    <w:rsid w:val="007F19D9"/>
    <w:pPr>
      <w:tabs>
        <w:tab w:val="left" w:pos="340"/>
      </w:tabs>
      <w:spacing w:before="60" w:after="60"/>
      <w:ind w:left="340" w:hanging="340"/>
    </w:pPr>
  </w:style>
  <w:style w:type="paragraph" w:customStyle="1" w:styleId="Note">
    <w:name w:val="Note"/>
    <w:basedOn w:val="BodyText"/>
    <w:rsid w:val="007F1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9D9"/>
    <w:pPr>
      <w:framePr w:wrap="auto" w:hAnchor="text" w:y="6049"/>
    </w:pPr>
    <w:rPr>
      <w:color w:val="000000"/>
      <w:sz w:val="40"/>
    </w:rPr>
  </w:style>
  <w:style w:type="paragraph" w:customStyle="1" w:styleId="TOCTitle">
    <w:name w:val="TOCTitle"/>
    <w:basedOn w:val="Heading1"/>
    <w:rsid w:val="007F19D9"/>
    <w:pPr>
      <w:spacing w:after="240"/>
      <w:jc w:val="center"/>
      <w:outlineLvl w:val="9"/>
    </w:pPr>
    <w:rPr>
      <w:caps/>
    </w:rPr>
  </w:style>
  <w:style w:type="paragraph" w:customStyle="1" w:styleId="Version">
    <w:name w:val="Version"/>
    <w:rsid w:val="007F19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9D9"/>
    <w:pPr>
      <w:keepNext w:val="0"/>
      <w:tabs>
        <w:tab w:val="right" w:pos="4176"/>
      </w:tabs>
      <w:ind w:left="198" w:hanging="198"/>
    </w:pPr>
    <w:rPr>
      <w:rFonts w:ascii="Garamond" w:hAnsi="Garamond"/>
    </w:rPr>
  </w:style>
  <w:style w:type="paragraph" w:styleId="IndexHeading">
    <w:name w:val="index heading"/>
    <w:basedOn w:val="Normal"/>
    <w:next w:val="Index1"/>
    <w:semiHidden/>
    <w:rsid w:val="007F19D9"/>
    <w:pPr>
      <w:spacing w:before="120" w:after="120"/>
    </w:pPr>
    <w:rPr>
      <w:rFonts w:ascii="Arial" w:hAnsi="Arial"/>
      <w:b/>
      <w:color w:val="918585"/>
      <w:sz w:val="24"/>
    </w:rPr>
  </w:style>
  <w:style w:type="paragraph" w:styleId="Header">
    <w:name w:val="header"/>
    <w:basedOn w:val="Normal"/>
    <w:link w:val="HeaderChar"/>
    <w:rsid w:val="007F1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9D9"/>
    <w:rPr>
      <w:rFonts w:ascii="Times New Roman" w:eastAsia="Times New Roman" w:hAnsi="Times New Roman" w:cs="Times New Roman"/>
      <w:sz w:val="16"/>
      <w:szCs w:val="20"/>
      <w:lang w:val="en-GB" w:eastAsia="en-US"/>
    </w:rPr>
  </w:style>
  <w:style w:type="paragraph" w:customStyle="1" w:styleId="Chapter">
    <w:name w:val="Chapter"/>
    <w:basedOn w:val="Normal"/>
    <w:rsid w:val="007F19D9"/>
    <w:pPr>
      <w:spacing w:before="240"/>
    </w:pPr>
    <w:rPr>
      <w:rFonts w:ascii="Times New Roman" w:hAnsi="Times New Roman"/>
      <w:smallCaps/>
      <w:spacing w:val="80"/>
      <w:sz w:val="28"/>
    </w:rPr>
  </w:style>
  <w:style w:type="paragraph" w:customStyle="1" w:styleId="InChapter">
    <w:name w:val="InChapter"/>
    <w:basedOn w:val="Heading3"/>
    <w:rsid w:val="007F19D9"/>
    <w:pPr>
      <w:spacing w:after="240"/>
      <w:outlineLvl w:val="9"/>
    </w:pPr>
    <w:rPr>
      <w:noProof/>
    </w:rPr>
  </w:style>
  <w:style w:type="paragraph" w:styleId="Index2">
    <w:name w:val="index 2"/>
    <w:basedOn w:val="Normal"/>
    <w:next w:val="Normal"/>
    <w:semiHidden/>
    <w:rsid w:val="007F19D9"/>
    <w:pPr>
      <w:tabs>
        <w:tab w:val="right" w:pos="4176"/>
      </w:tabs>
      <w:ind w:left="568" w:hanging="284"/>
    </w:pPr>
    <w:rPr>
      <w:rFonts w:ascii="Garamond" w:hAnsi="Garamond"/>
    </w:rPr>
  </w:style>
  <w:style w:type="paragraph" w:customStyle="1" w:styleId="Byline">
    <w:name w:val="Byline"/>
    <w:rsid w:val="007F1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9D9"/>
    <w:pPr>
      <w:tabs>
        <w:tab w:val="clear" w:pos="3600"/>
        <w:tab w:val="clear" w:pos="3958"/>
      </w:tabs>
      <w:jc w:val="right"/>
    </w:pPr>
  </w:style>
  <w:style w:type="character" w:styleId="Emphasis">
    <w:name w:val="Emphasis"/>
    <w:basedOn w:val="DefaultParagraphFont"/>
    <w:qFormat/>
    <w:rsid w:val="007F19D9"/>
    <w:rPr>
      <w:i/>
    </w:rPr>
  </w:style>
  <w:style w:type="paragraph" w:styleId="Caption">
    <w:name w:val="caption"/>
    <w:basedOn w:val="BodyText"/>
    <w:next w:val="Normal"/>
    <w:qFormat/>
    <w:rsid w:val="007F19D9"/>
    <w:pPr>
      <w:framePr w:w="2268" w:hSpace="181" w:vSpace="181" w:wrap="around" w:vAnchor="text" w:hAnchor="page" w:x="1135" w:y="285" w:anchorLock="1"/>
    </w:pPr>
    <w:rPr>
      <w:i/>
    </w:rPr>
  </w:style>
  <w:style w:type="paragraph" w:customStyle="1" w:styleId="MiniTOCTitle">
    <w:name w:val="MiniTOCTitle"/>
    <w:basedOn w:val="Heading4"/>
    <w:rsid w:val="007F19D9"/>
    <w:pPr>
      <w:spacing w:before="240"/>
      <w:outlineLvl w:val="9"/>
    </w:pPr>
    <w:rPr>
      <w:noProof/>
      <w:sz w:val="24"/>
    </w:rPr>
  </w:style>
  <w:style w:type="paragraph" w:customStyle="1" w:styleId="MiniTOCItem">
    <w:name w:val="MiniTOCItem"/>
    <w:basedOn w:val="ListBullet"/>
    <w:rsid w:val="007F19D9"/>
    <w:pPr>
      <w:numPr>
        <w:numId w:val="0"/>
      </w:numPr>
      <w:tabs>
        <w:tab w:val="right" w:leader="dot" w:pos="6521"/>
      </w:tabs>
      <w:spacing w:before="0" w:after="0"/>
    </w:pPr>
  </w:style>
  <w:style w:type="paragraph" w:customStyle="1" w:styleId="TOFTitle">
    <w:name w:val="TOFTitle"/>
    <w:basedOn w:val="TOCTitle"/>
    <w:rsid w:val="007F19D9"/>
  </w:style>
  <w:style w:type="paragraph" w:styleId="TableofFigures">
    <w:name w:val="table of figures"/>
    <w:basedOn w:val="Normal"/>
    <w:next w:val="Normal"/>
    <w:semiHidden/>
    <w:rsid w:val="007F19D9"/>
    <w:pPr>
      <w:tabs>
        <w:tab w:val="right" w:leader="dot" w:pos="9072"/>
      </w:tabs>
      <w:ind w:left="970" w:hanging="403"/>
    </w:pPr>
    <w:rPr>
      <w:rFonts w:ascii="Times New Roman" w:hAnsi="Times New Roman"/>
      <w:b/>
    </w:rPr>
  </w:style>
  <w:style w:type="paragraph" w:styleId="ListNumber">
    <w:name w:val="List Number"/>
    <w:basedOn w:val="List"/>
    <w:rsid w:val="007F19D9"/>
    <w:pPr>
      <w:numPr>
        <w:numId w:val="11"/>
      </w:numPr>
    </w:pPr>
  </w:style>
  <w:style w:type="character" w:customStyle="1" w:styleId="WingdingSymbols">
    <w:name w:val="Wingding Symbols"/>
    <w:rsid w:val="007F19D9"/>
    <w:rPr>
      <w:rFonts w:ascii="Wingdings" w:hAnsi="Wingdings"/>
    </w:rPr>
  </w:style>
  <w:style w:type="paragraph" w:customStyle="1" w:styleId="TableHeading">
    <w:name w:val="Table Heading"/>
    <w:basedOn w:val="HeadingBase"/>
    <w:rsid w:val="007F19D9"/>
    <w:pPr>
      <w:keepLines/>
      <w:pBdr>
        <w:bottom w:val="single" w:sz="6" w:space="1" w:color="918585"/>
      </w:pBdr>
      <w:spacing w:before="240"/>
    </w:pPr>
  </w:style>
  <w:style w:type="character" w:customStyle="1" w:styleId="HotSpot">
    <w:name w:val="HotSpot"/>
    <w:rsid w:val="007F19D9"/>
    <w:rPr>
      <w:color w:val="0033CC"/>
      <w:u w:val="none"/>
    </w:rPr>
  </w:style>
  <w:style w:type="paragraph" w:customStyle="1" w:styleId="BodyTextRight">
    <w:name w:val="Body Text Right"/>
    <w:basedOn w:val="BodyText"/>
    <w:rsid w:val="007F19D9"/>
    <w:pPr>
      <w:spacing w:before="0" w:after="0"/>
      <w:jc w:val="right"/>
    </w:pPr>
  </w:style>
  <w:style w:type="paragraph" w:styleId="Index3">
    <w:name w:val="index 3"/>
    <w:basedOn w:val="ListNumber2"/>
    <w:next w:val="Normal"/>
    <w:semiHidden/>
    <w:rsid w:val="007F19D9"/>
    <w:pPr>
      <w:numPr>
        <w:numId w:val="0"/>
      </w:numPr>
      <w:tabs>
        <w:tab w:val="right" w:leader="dot" w:pos="4176"/>
      </w:tabs>
    </w:pPr>
  </w:style>
  <w:style w:type="paragraph" w:styleId="ListNumber2">
    <w:name w:val="List Number 2"/>
    <w:basedOn w:val="List2"/>
    <w:rsid w:val="007F19D9"/>
    <w:pPr>
      <w:numPr>
        <w:numId w:val="10"/>
      </w:numPr>
      <w:tabs>
        <w:tab w:val="clear" w:pos="1060"/>
      </w:tabs>
    </w:pPr>
  </w:style>
  <w:style w:type="paragraph" w:customStyle="1" w:styleId="MarginNote">
    <w:name w:val="Margin Note"/>
    <w:basedOn w:val="BodyText"/>
    <w:rsid w:val="007F1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9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9D9"/>
    <w:rPr>
      <w:sz w:val="32"/>
    </w:rPr>
  </w:style>
  <w:style w:type="paragraph" w:customStyle="1" w:styleId="HeadingProcedure">
    <w:name w:val="Heading Procedure"/>
    <w:basedOn w:val="HeadingBase"/>
    <w:next w:val="Normal"/>
    <w:rsid w:val="007F19D9"/>
    <w:pPr>
      <w:tabs>
        <w:tab w:val="left" w:pos="0"/>
      </w:tabs>
      <w:spacing w:before="120" w:after="60"/>
    </w:pPr>
    <w:rPr>
      <w:i/>
      <w:color w:val="918585"/>
      <w:sz w:val="22"/>
    </w:rPr>
  </w:style>
  <w:style w:type="paragraph" w:customStyle="1" w:styleId="TableBodyText">
    <w:name w:val="Table Body Text"/>
    <w:basedOn w:val="BodyText"/>
    <w:rsid w:val="007F19D9"/>
    <w:pPr>
      <w:spacing w:before="60" w:after="60"/>
    </w:pPr>
  </w:style>
  <w:style w:type="paragraph" w:styleId="ListContinue">
    <w:name w:val="List Continue"/>
    <w:basedOn w:val="List"/>
    <w:rsid w:val="007F19D9"/>
    <w:pPr>
      <w:ind w:firstLine="0"/>
    </w:pPr>
  </w:style>
  <w:style w:type="paragraph" w:customStyle="1" w:styleId="ListNote">
    <w:name w:val="List Note"/>
    <w:basedOn w:val="List"/>
    <w:rsid w:val="007F19D9"/>
    <w:pPr>
      <w:pBdr>
        <w:top w:val="single" w:sz="6" w:space="2" w:color="918585"/>
        <w:bottom w:val="single" w:sz="6" w:space="2" w:color="918585"/>
      </w:pBdr>
      <w:tabs>
        <w:tab w:val="left" w:pos="1021"/>
      </w:tabs>
      <w:ind w:firstLine="0"/>
    </w:pPr>
  </w:style>
  <w:style w:type="paragraph" w:customStyle="1" w:styleId="Warning">
    <w:name w:val="Warning"/>
    <w:basedOn w:val="BodyText"/>
    <w:rsid w:val="007F19D9"/>
    <w:pPr>
      <w:shd w:val="clear" w:color="auto" w:fill="D9D9D9"/>
      <w:tabs>
        <w:tab w:val="left" w:pos="992"/>
      </w:tabs>
      <w:ind w:left="119" w:right="119"/>
    </w:pPr>
    <w:rPr>
      <w:sz w:val="20"/>
    </w:rPr>
  </w:style>
  <w:style w:type="paragraph" w:customStyle="1" w:styleId="MarginIcons">
    <w:name w:val="Margin Icons"/>
    <w:basedOn w:val="BodyText"/>
    <w:rsid w:val="007F1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9D9"/>
    <w:rPr>
      <w:rFonts w:ascii="Courier New" w:hAnsi="Courier New"/>
    </w:rPr>
  </w:style>
  <w:style w:type="paragraph" w:customStyle="1" w:styleId="NoteBullet">
    <w:name w:val="Note Bullet"/>
    <w:basedOn w:val="Note"/>
    <w:rsid w:val="007F19D9"/>
    <w:pPr>
      <w:tabs>
        <w:tab w:val="clear" w:pos="680"/>
      </w:tabs>
      <w:spacing w:before="60" w:after="60"/>
    </w:pPr>
  </w:style>
  <w:style w:type="paragraph" w:customStyle="1" w:styleId="SubHeading2">
    <w:name w:val="SubHeading2"/>
    <w:basedOn w:val="HeadingBase"/>
    <w:rsid w:val="007F19D9"/>
    <w:pPr>
      <w:spacing w:before="240" w:after="60"/>
    </w:pPr>
    <w:rPr>
      <w:sz w:val="20"/>
    </w:rPr>
  </w:style>
  <w:style w:type="paragraph" w:customStyle="1" w:styleId="SubHeading1">
    <w:name w:val="SubHeading1"/>
    <w:basedOn w:val="HeadingBase"/>
    <w:rsid w:val="007F19D9"/>
    <w:pPr>
      <w:spacing w:before="240" w:after="60"/>
    </w:pPr>
    <w:rPr>
      <w:color w:val="918585"/>
      <w:sz w:val="22"/>
    </w:rPr>
  </w:style>
  <w:style w:type="paragraph" w:customStyle="1" w:styleId="SideHeading">
    <w:name w:val="Side Heading"/>
    <w:basedOn w:val="HeadingBase"/>
    <w:rsid w:val="007F1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9D9"/>
    <w:pPr>
      <w:numPr>
        <w:numId w:val="12"/>
      </w:numPr>
    </w:pPr>
  </w:style>
  <w:style w:type="paragraph" w:styleId="PlainText">
    <w:name w:val="Plain Text"/>
    <w:basedOn w:val="Normal"/>
    <w:link w:val="PlainTextChar"/>
    <w:rsid w:val="007F19D9"/>
    <w:rPr>
      <w:sz w:val="20"/>
    </w:rPr>
  </w:style>
  <w:style w:type="character" w:customStyle="1" w:styleId="PlainTextChar">
    <w:name w:val="Plain Text Char"/>
    <w:basedOn w:val="DefaultParagraphFont"/>
    <w:link w:val="PlainText"/>
    <w:rsid w:val="007F19D9"/>
    <w:rPr>
      <w:rFonts w:ascii="Courier New" w:eastAsia="Times New Roman" w:hAnsi="Courier New" w:cs="Times New Roman"/>
      <w:sz w:val="20"/>
      <w:szCs w:val="20"/>
      <w:lang w:eastAsia="en-US"/>
    </w:rPr>
  </w:style>
  <w:style w:type="character" w:customStyle="1" w:styleId="MenuOption">
    <w:name w:val="Menu Option"/>
    <w:basedOn w:val="DefaultParagraphFont"/>
    <w:rsid w:val="007F19D9"/>
    <w:rPr>
      <w:b/>
      <w:smallCaps/>
    </w:rPr>
  </w:style>
  <w:style w:type="paragraph" w:customStyle="1" w:styleId="TableListNumber">
    <w:name w:val="Table List Number"/>
    <w:basedOn w:val="ListNumber"/>
    <w:rsid w:val="007F19D9"/>
    <w:pPr>
      <w:numPr>
        <w:numId w:val="0"/>
      </w:numPr>
    </w:pPr>
  </w:style>
  <w:style w:type="paragraph" w:styleId="TOC4">
    <w:name w:val="toc 4"/>
    <w:basedOn w:val="TOCBase"/>
    <w:next w:val="Normal"/>
    <w:semiHidden/>
    <w:rsid w:val="007F19D9"/>
    <w:pPr>
      <w:tabs>
        <w:tab w:val="right" w:leader="dot" w:pos="9071"/>
      </w:tabs>
      <w:ind w:left="1701"/>
    </w:pPr>
  </w:style>
  <w:style w:type="paragraph" w:customStyle="1" w:styleId="ListAlpha">
    <w:name w:val="List Alpha"/>
    <w:basedOn w:val="List"/>
    <w:rsid w:val="007F19D9"/>
    <w:pPr>
      <w:numPr>
        <w:numId w:val="9"/>
      </w:numPr>
    </w:pPr>
  </w:style>
  <w:style w:type="paragraph" w:customStyle="1" w:styleId="ListAlpha2">
    <w:name w:val="List Alpha 2"/>
    <w:basedOn w:val="List2"/>
    <w:rsid w:val="007F19D9"/>
    <w:pPr>
      <w:numPr>
        <w:numId w:val="8"/>
      </w:numPr>
    </w:pPr>
  </w:style>
  <w:style w:type="paragraph" w:styleId="List2">
    <w:name w:val="List 2"/>
    <w:basedOn w:val="BodyText"/>
    <w:rsid w:val="007F19D9"/>
    <w:pPr>
      <w:tabs>
        <w:tab w:val="left" w:pos="680"/>
      </w:tabs>
      <w:spacing w:before="60" w:after="60"/>
      <w:ind w:left="680" w:hanging="340"/>
    </w:pPr>
  </w:style>
  <w:style w:type="paragraph" w:styleId="List3">
    <w:name w:val="List 3"/>
    <w:basedOn w:val="BodyText"/>
    <w:rsid w:val="007F19D9"/>
    <w:pPr>
      <w:tabs>
        <w:tab w:val="left" w:pos="1021"/>
      </w:tabs>
      <w:spacing w:before="60" w:after="60"/>
      <w:ind w:left="1020" w:hanging="340"/>
    </w:pPr>
  </w:style>
  <w:style w:type="paragraph" w:styleId="List4">
    <w:name w:val="List 4"/>
    <w:basedOn w:val="BodyText"/>
    <w:rsid w:val="007F19D9"/>
    <w:pPr>
      <w:tabs>
        <w:tab w:val="left" w:pos="1361"/>
      </w:tabs>
      <w:spacing w:before="60" w:after="60"/>
      <w:ind w:left="1361" w:hanging="340"/>
    </w:pPr>
  </w:style>
  <w:style w:type="paragraph" w:styleId="List5">
    <w:name w:val="List 5"/>
    <w:basedOn w:val="BodyText"/>
    <w:rsid w:val="007F19D9"/>
    <w:pPr>
      <w:tabs>
        <w:tab w:val="left" w:pos="1701"/>
      </w:tabs>
      <w:spacing w:before="60" w:after="60"/>
      <w:ind w:left="1701" w:hanging="340"/>
    </w:pPr>
  </w:style>
  <w:style w:type="paragraph" w:styleId="ListBullet3">
    <w:name w:val="List Bullet 3"/>
    <w:basedOn w:val="List3"/>
    <w:rsid w:val="007F19D9"/>
    <w:pPr>
      <w:numPr>
        <w:numId w:val="15"/>
      </w:numPr>
      <w:tabs>
        <w:tab w:val="clear" w:pos="1021"/>
      </w:tabs>
      <w:ind w:left="1037" w:hanging="357"/>
    </w:pPr>
  </w:style>
  <w:style w:type="paragraph" w:styleId="ListBullet4">
    <w:name w:val="List Bullet 4"/>
    <w:basedOn w:val="List4"/>
    <w:rsid w:val="007F19D9"/>
    <w:pPr>
      <w:numPr>
        <w:numId w:val="3"/>
      </w:numPr>
    </w:pPr>
  </w:style>
  <w:style w:type="paragraph" w:styleId="ListBullet5">
    <w:name w:val="List Bullet 5"/>
    <w:basedOn w:val="List5"/>
    <w:rsid w:val="007F19D9"/>
    <w:pPr>
      <w:numPr>
        <w:numId w:val="4"/>
      </w:numPr>
    </w:pPr>
  </w:style>
  <w:style w:type="paragraph" w:styleId="ListContinue2">
    <w:name w:val="List Continue 2"/>
    <w:basedOn w:val="List2"/>
    <w:rsid w:val="007F19D9"/>
    <w:pPr>
      <w:ind w:firstLine="0"/>
    </w:pPr>
  </w:style>
  <w:style w:type="paragraph" w:styleId="ListContinue3">
    <w:name w:val="List Continue 3"/>
    <w:basedOn w:val="List3"/>
    <w:rsid w:val="007F19D9"/>
    <w:pPr>
      <w:ind w:left="1021" w:firstLine="0"/>
    </w:pPr>
  </w:style>
  <w:style w:type="paragraph" w:styleId="ListContinue4">
    <w:name w:val="List Continue 4"/>
    <w:basedOn w:val="List4"/>
    <w:rsid w:val="007F19D9"/>
    <w:pPr>
      <w:ind w:firstLine="0"/>
    </w:pPr>
  </w:style>
  <w:style w:type="paragraph" w:styleId="ListContinue5">
    <w:name w:val="List Continue 5"/>
    <w:basedOn w:val="List5"/>
    <w:rsid w:val="007F19D9"/>
    <w:pPr>
      <w:ind w:firstLine="0"/>
    </w:pPr>
  </w:style>
  <w:style w:type="paragraph" w:styleId="ListNumber3">
    <w:name w:val="List Number 3"/>
    <w:basedOn w:val="List3"/>
    <w:rsid w:val="007F19D9"/>
    <w:pPr>
      <w:numPr>
        <w:numId w:val="5"/>
      </w:numPr>
    </w:pPr>
  </w:style>
  <w:style w:type="paragraph" w:styleId="ListNumber4">
    <w:name w:val="List Number 4"/>
    <w:basedOn w:val="List4"/>
    <w:rsid w:val="007F19D9"/>
    <w:pPr>
      <w:numPr>
        <w:numId w:val="6"/>
      </w:numPr>
    </w:pPr>
  </w:style>
  <w:style w:type="paragraph" w:styleId="ListNumber5">
    <w:name w:val="List Number 5"/>
    <w:basedOn w:val="List5"/>
    <w:rsid w:val="007F19D9"/>
    <w:pPr>
      <w:numPr>
        <w:numId w:val="7"/>
      </w:numPr>
    </w:pPr>
  </w:style>
  <w:style w:type="paragraph" w:styleId="BlockText">
    <w:name w:val="Block Text"/>
    <w:basedOn w:val="Normal"/>
    <w:rsid w:val="007F19D9"/>
    <w:pPr>
      <w:spacing w:after="120"/>
      <w:ind w:left="1440" w:right="1440"/>
    </w:pPr>
  </w:style>
  <w:style w:type="character" w:customStyle="1" w:styleId="Subscript">
    <w:name w:val="Subscript"/>
    <w:basedOn w:val="DefaultParagraphFont"/>
    <w:rsid w:val="007F19D9"/>
    <w:rPr>
      <w:sz w:val="16"/>
      <w:vertAlign w:val="subscript"/>
    </w:rPr>
  </w:style>
  <w:style w:type="character" w:customStyle="1" w:styleId="Superscript">
    <w:name w:val="Superscript"/>
    <w:basedOn w:val="DefaultParagraphFont"/>
    <w:rsid w:val="007F19D9"/>
    <w:rPr>
      <w:sz w:val="16"/>
      <w:vertAlign w:val="superscript"/>
    </w:rPr>
  </w:style>
  <w:style w:type="character" w:customStyle="1" w:styleId="Symbols">
    <w:name w:val="Symbols"/>
    <w:basedOn w:val="DefaultParagraphFont"/>
    <w:rsid w:val="007F19D9"/>
    <w:rPr>
      <w:rFonts w:ascii="Symbol" w:hAnsi="Symbol"/>
    </w:rPr>
  </w:style>
  <w:style w:type="character" w:customStyle="1" w:styleId="MenuOptions">
    <w:name w:val="Menu Options"/>
    <w:basedOn w:val="DefaultParagraphFont"/>
    <w:rsid w:val="007F19D9"/>
    <w:rPr>
      <w:rFonts w:ascii="Arial Narrow" w:hAnsi="Arial Narrow"/>
      <w:smallCaps/>
    </w:rPr>
  </w:style>
  <w:style w:type="character" w:customStyle="1" w:styleId="Buttons">
    <w:name w:val="Buttons"/>
    <w:basedOn w:val="DefaultParagraphFont"/>
    <w:rsid w:val="007F19D9"/>
    <w:rPr>
      <w:b/>
    </w:rPr>
  </w:style>
  <w:style w:type="character" w:customStyle="1" w:styleId="Underlined">
    <w:name w:val="Underlined"/>
    <w:basedOn w:val="DefaultParagraphFont"/>
    <w:rsid w:val="007F19D9"/>
    <w:rPr>
      <w:u w:val="single"/>
    </w:rPr>
  </w:style>
  <w:style w:type="paragraph" w:customStyle="1" w:styleId="TableBodyTextRight">
    <w:name w:val="Table Body Text Right"/>
    <w:basedOn w:val="TableBodyText"/>
    <w:rsid w:val="007F19D9"/>
    <w:pPr>
      <w:widowControl w:val="0"/>
      <w:autoSpaceDE w:val="0"/>
      <w:autoSpaceDN w:val="0"/>
      <w:adjustRightInd w:val="0"/>
      <w:jc w:val="right"/>
    </w:pPr>
    <w:rPr>
      <w:rFonts w:cs="Arial"/>
      <w:szCs w:val="18"/>
    </w:rPr>
  </w:style>
  <w:style w:type="paragraph" w:customStyle="1" w:styleId="CopyrightText">
    <w:name w:val="Copyright Text"/>
    <w:basedOn w:val="BodyText"/>
    <w:rsid w:val="007F19D9"/>
    <w:rPr>
      <w:sz w:val="18"/>
    </w:rPr>
  </w:style>
  <w:style w:type="paragraph" w:customStyle="1" w:styleId="BodySmallRight">
    <w:name w:val="Body Small Right"/>
    <w:basedOn w:val="BodyTextRight"/>
    <w:rsid w:val="007F19D9"/>
    <w:rPr>
      <w:sz w:val="18"/>
      <w:szCs w:val="18"/>
    </w:rPr>
  </w:style>
  <w:style w:type="paragraph" w:customStyle="1" w:styleId="MarginEdition">
    <w:name w:val="Margin Edition"/>
    <w:basedOn w:val="MarginNote"/>
    <w:rsid w:val="007F19D9"/>
    <w:pPr>
      <w:spacing w:before="0" w:after="0"/>
    </w:pPr>
    <w:rPr>
      <w:rFonts w:ascii="Times New Roman" w:hAnsi="Times New Roman"/>
      <w:color w:val="999999"/>
    </w:rPr>
  </w:style>
  <w:style w:type="paragraph" w:customStyle="1" w:styleId="Spacer">
    <w:name w:val="Spacer"/>
    <w:basedOn w:val="Normal"/>
    <w:rsid w:val="007F19D9"/>
    <w:rPr>
      <w:sz w:val="2"/>
      <w:szCs w:val="2"/>
    </w:rPr>
  </w:style>
  <w:style w:type="character" w:customStyle="1" w:styleId="Small">
    <w:name w:val="Small"/>
    <w:basedOn w:val="DefaultParagraphFont"/>
    <w:rsid w:val="007F19D9"/>
    <w:rPr>
      <w:sz w:val="16"/>
    </w:rPr>
  </w:style>
  <w:style w:type="paragraph" w:customStyle="1" w:styleId="WideTable">
    <w:name w:val="Wide Table"/>
    <w:basedOn w:val="Normal"/>
    <w:rsid w:val="007F19D9"/>
    <w:pPr>
      <w:ind w:left="-1418"/>
    </w:pPr>
    <w:rPr>
      <w:sz w:val="2"/>
      <w:szCs w:val="2"/>
    </w:rPr>
  </w:style>
  <w:style w:type="character" w:styleId="PageNumber">
    <w:name w:val="page number"/>
    <w:basedOn w:val="DefaultParagraphFont"/>
    <w:rsid w:val="007F19D9"/>
  </w:style>
  <w:style w:type="paragraph" w:styleId="Quote">
    <w:name w:val="Quote"/>
    <w:basedOn w:val="Heading1"/>
    <w:link w:val="QuoteChar"/>
    <w:qFormat/>
    <w:rsid w:val="007F19D9"/>
    <w:rPr>
      <w:b w:val="0"/>
      <w:sz w:val="72"/>
      <w:szCs w:val="72"/>
      <w:lang w:val="en-NZ"/>
    </w:rPr>
  </w:style>
  <w:style w:type="character" w:customStyle="1" w:styleId="QuoteChar">
    <w:name w:val="Quote Char"/>
    <w:basedOn w:val="DefaultParagraphFont"/>
    <w:link w:val="Quote"/>
    <w:rsid w:val="007F1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9D9"/>
    <w:pPr>
      <w:pageBreakBefore/>
    </w:pPr>
  </w:style>
  <w:style w:type="paragraph" w:customStyle="1" w:styleId="Border">
    <w:name w:val="Border"/>
    <w:basedOn w:val="Normal"/>
    <w:qFormat/>
    <w:rsid w:val="007F1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9D9"/>
    <w:rPr>
      <w:b/>
      <w:bCs/>
      <w:i/>
      <w:iCs/>
      <w:color w:val="auto"/>
    </w:rPr>
  </w:style>
  <w:style w:type="paragraph" w:styleId="IntenseQuote">
    <w:name w:val="Intense Quote"/>
    <w:basedOn w:val="Normal"/>
    <w:next w:val="Normal"/>
    <w:link w:val="IntenseQuoteChar"/>
    <w:uiPriority w:val="30"/>
    <w:qFormat/>
    <w:rsid w:val="007F1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9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9D9"/>
    <w:rPr>
      <w:smallCaps/>
      <w:color w:val="auto"/>
      <w:u w:val="single"/>
    </w:rPr>
  </w:style>
  <w:style w:type="character" w:styleId="IntenseReference">
    <w:name w:val="Intense Reference"/>
    <w:basedOn w:val="DefaultParagraphFont"/>
    <w:uiPriority w:val="32"/>
    <w:qFormat/>
    <w:rsid w:val="007F19D9"/>
    <w:rPr>
      <w:b/>
      <w:bCs/>
      <w:smallCaps/>
      <w:color w:val="auto"/>
      <w:spacing w:val="5"/>
      <w:u w:val="single"/>
    </w:rPr>
  </w:style>
  <w:style w:type="paragraph" w:customStyle="1" w:styleId="2ColumnHeading">
    <w:name w:val="2Column Heading"/>
    <w:basedOn w:val="BodyText"/>
    <w:qFormat/>
    <w:rsid w:val="007F19D9"/>
    <w:pPr>
      <w:spacing w:after="60"/>
      <w:ind w:left="-2268"/>
    </w:pPr>
    <w:rPr>
      <w:b/>
    </w:rPr>
  </w:style>
  <w:style w:type="paragraph" w:customStyle="1" w:styleId="Heading1TOC">
    <w:name w:val="Heading1 TOC"/>
    <w:basedOn w:val="Normal"/>
    <w:qFormat/>
    <w:rsid w:val="007F19D9"/>
    <w:pPr>
      <w:spacing w:before="240" w:after="120"/>
    </w:pPr>
    <w:rPr>
      <w:rFonts w:ascii="Times New Roman" w:hAnsi="Times New Roman"/>
      <w:b/>
      <w:sz w:val="32"/>
    </w:rPr>
  </w:style>
  <w:style w:type="paragraph" w:customStyle="1" w:styleId="Heading2TOC">
    <w:name w:val="Heading2 TOC"/>
    <w:basedOn w:val="Normal"/>
    <w:qFormat/>
    <w:rsid w:val="007F19D9"/>
    <w:pPr>
      <w:spacing w:before="240" w:after="60"/>
    </w:pPr>
    <w:rPr>
      <w:rFonts w:ascii="Times New Roman" w:hAnsi="Times New Roman"/>
      <w:b/>
      <w:sz w:val="28"/>
    </w:rPr>
  </w:style>
  <w:style w:type="character" w:customStyle="1" w:styleId="Underline">
    <w:name w:val="Underline"/>
    <w:basedOn w:val="DefaultParagraphFont"/>
    <w:qFormat/>
    <w:rsid w:val="007F19D9"/>
    <w:rPr>
      <w:u w:val="single"/>
    </w:rPr>
  </w:style>
  <w:style w:type="character" w:customStyle="1" w:styleId="BoldandItalics">
    <w:name w:val="Bold and Italics"/>
    <w:qFormat/>
    <w:rsid w:val="007F19D9"/>
    <w:rPr>
      <w:b/>
      <w:i/>
      <w:u w:val="none"/>
    </w:rPr>
  </w:style>
  <w:style w:type="paragraph" w:styleId="BalloonText">
    <w:name w:val="Balloon Text"/>
    <w:basedOn w:val="Normal"/>
    <w:link w:val="BalloonTextChar"/>
    <w:rsid w:val="007F19D9"/>
    <w:rPr>
      <w:rFonts w:ascii="Tahoma" w:hAnsi="Tahoma" w:cs="Tahoma"/>
      <w:sz w:val="16"/>
      <w:szCs w:val="16"/>
    </w:rPr>
  </w:style>
  <w:style w:type="character" w:customStyle="1" w:styleId="BalloonTextChar">
    <w:name w:val="Balloon Text Char"/>
    <w:basedOn w:val="DefaultParagraphFont"/>
    <w:link w:val="BalloonText"/>
    <w:rsid w:val="007F19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9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19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9D9"/>
    <w:rPr>
      <w:b/>
      <w:color w:val="660033"/>
      <w:spacing w:val="0"/>
    </w:rPr>
  </w:style>
  <w:style w:type="paragraph" w:customStyle="1" w:styleId="Nameditemlist">
    <w:name w:val="Named item list"/>
    <w:basedOn w:val="BodyText"/>
    <w:qFormat/>
    <w:rsid w:val="007F19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1959</Words>
  <Characters>12046</Characters>
  <Application>Microsoft Office Word</Application>
  <DocSecurity>0</DocSecurity>
  <Lines>451</Lines>
  <Paragraphs>198</Paragraphs>
  <ScaleCrop>false</ScaleCrop>
  <Company>Author-it Software Corporation Ltd.</Company>
  <LinksUpToDate>false</LinksUpToDate>
  <CharactersWithSpaces>13873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UEENEEH135A Design custom electronic equipment installations</dc:title>
  <dc:subject>Approved</dc:subject>
  <dc:creator>E-OZ Training Standards</dc:creator>
  <cp:keywords>Release: 2</cp:keywords>
  <dc:description>Review Date: 12 April 2008</dc:description>
  <cp:lastModifiedBy>TPCMS</cp:lastModifiedBy>
  <cp:revision>3</cp:revision>
  <dcterms:created xsi:type="dcterms:W3CDTF">2013-08-14T07:09:00Z</dcterms:created>
  <dcterms:modified xsi:type="dcterms:W3CDTF">2013-08-14T07:09:00Z</dcterms:modified>
</cp:coreProperties>
</file>