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43A" w:rsidP="00EB543A">
      <w:pPr>
        <w:pStyle w:val="Title"/>
      </w:pPr>
      <w:r>
        <w:fldChar w:fldCharType="begin"/>
      </w:r>
      <w:r>
        <w:instrText xml:space="preserve"> TITLE   \* MERGEFORMAT </w:instrText>
      </w:r>
      <w:r>
        <w:fldChar w:fldCharType="separate"/>
      </w:r>
      <w:r>
        <w:t>UEENEEH133A Fault find and repair telecommunication apparatus and systems</w:t>
      </w:r>
      <w:r>
        <w:fldChar w:fldCharType="end"/>
      </w:r>
    </w:p>
    <w:p w:rsidR="00EB543A" w:rsidP="00EB543A">
      <w:pPr>
        <w:pStyle w:val="Version"/>
        <w:sectPr w:rsidSect="00B07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07D54" w:rsidP="00B07D54">
      <w:pPr>
        <w:pStyle w:val="SuperHeading"/>
      </w:pPr>
      <w:r w:rsidRPr="00B07D54">
        <w:t>UEENEEH133A Fault find and repair telecommunication apparatus and systems</w:t>
      </w:r>
    </w:p>
    <w:p w:rsidR="00000000" w:rsidRPr="00B07D54" w:rsidP="00B07D54">
      <w:pPr>
        <w:pStyle w:val="Heading1"/>
      </w:pPr>
      <w:bookmarkStart w:id="1" w:name="O_705631"/>
      <w:bookmarkEnd w:id="1"/>
      <w:r w:rsidRPr="00B07D5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B543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D54">
            <w:pPr>
              <w:pStyle w:val="BodyText"/>
              <w:rPr>
                <w:lang w:val="en-NZ"/>
              </w:rPr>
            </w:pPr>
            <w:r w:rsidRPr="00B07D5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D54">
            <w:pPr>
              <w:pStyle w:val="BodyText"/>
              <w:rPr>
                <w:lang w:val="en-NZ"/>
              </w:rPr>
            </w:pPr>
            <w:r w:rsidRPr="00B07D5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D54">
            <w:pPr>
              <w:pStyle w:val="BodyText"/>
              <w:rPr>
                <w:lang w:val="en-NZ"/>
              </w:rPr>
            </w:pPr>
            <w:r w:rsidRPr="00B07D5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D54">
            <w:pPr>
              <w:pStyle w:val="BodyText"/>
              <w:rPr>
                <w:lang w:val="en-NZ"/>
              </w:rPr>
            </w:pPr>
            <w:r w:rsidRPr="00B07D5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D54">
            <w:pPr>
              <w:pStyle w:val="BodyText"/>
              <w:rPr>
                <w:lang w:val="en-NZ"/>
              </w:rPr>
            </w:pPr>
            <w:r w:rsidRPr="00B07D54">
              <w:t>Points</w:t>
            </w:r>
          </w:p>
        </w:tc>
      </w:tr>
      <w:tr w:rsidTr="00EB543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D54">
            <w:pPr>
              <w:pStyle w:val="BodyText"/>
              <w:rPr>
                <w:lang w:val="en-NZ"/>
              </w:rPr>
            </w:pPr>
            <w:r w:rsidRPr="00B07D5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D54">
            <w:pPr>
              <w:pStyle w:val="BodyText"/>
              <w:rPr>
                <w:lang w:val="en-NZ"/>
              </w:rPr>
            </w:pPr>
            <w:r w:rsidRPr="00B07D5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D54" w:rsidP="00B07D54">
            <w:pPr>
              <w:pStyle w:val="BodyText"/>
            </w:pPr>
            <w:r w:rsidRPr="00B07D54">
              <w:t>Correct Prerequisite title</w:t>
            </w:r>
          </w:p>
          <w:p w:rsidR="00000000" w:rsidP="00B07D54">
            <w:pPr>
              <w:pStyle w:val="BodyText"/>
              <w:rPr>
                <w:lang w:val="en-NZ"/>
              </w:rPr>
            </w:pPr>
            <w:r w:rsidRPr="00B07D54">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D54" w:rsidP="00B07D54">
            <w:pPr>
              <w:pStyle w:val="BodyText"/>
            </w:pP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2" w:name="O_705630"/>
      <w:bookmarkEnd w:id="2"/>
      <w:r w:rsidRPr="00B07D54">
        <w:t>Unit Descriptor</w:t>
      </w:r>
    </w:p>
    <w:tbl>
      <w:tblPr>
        <w:tblW w:w="0" w:type="auto"/>
        <w:tblLayout w:type="fixed"/>
        <w:tblCellMar>
          <w:left w:w="62" w:type="dxa"/>
          <w:right w:w="62" w:type="dxa"/>
        </w:tblCellMar>
        <w:tblLook w:val="0000"/>
      </w:tblPr>
      <w:tblGrid>
        <w:gridCol w:w="2700"/>
        <w:gridCol w:w="5760"/>
      </w:tblGrid>
      <w:tr w:rsidTr="00EB54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1)</w:t>
            </w:r>
            <w:r w:rsidRPr="00B07D54">
              <w:t xml:space="preserve"> </w:t>
            </w:r>
            <w:r w:rsidRPr="00B07D54">
              <w:rPr>
                <w:rStyle w:val="SpecialBold"/>
              </w:rPr>
              <w:t>Scope:</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7D5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1.1) Descriptor</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This unit covers fault find and repair telecommunication apparatus and systems. The unit encompasses safe working practices, interpreting diagrams, applying logical diagnostic methods and knowledge of telecommunication system components, rectifying faults,</w:t>
            </w:r>
            <w:r w:rsidRPr="00B07D54">
              <w:t xml:space="preserve"> safety and functional testing and completing the necessary service documentation.</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3" w:name="O_705629"/>
      <w:bookmarkEnd w:id="3"/>
      <w:r w:rsidRPr="00B07D54">
        <w:t>Application of the Unit</w:t>
      </w:r>
    </w:p>
    <w:tbl>
      <w:tblPr>
        <w:tblW w:w="0" w:type="auto"/>
        <w:tblLayout w:type="fixed"/>
        <w:tblCellMar>
          <w:left w:w="62" w:type="dxa"/>
          <w:right w:w="62" w:type="dxa"/>
        </w:tblCellMar>
        <w:tblLook w:val="0000"/>
      </w:tblPr>
      <w:tblGrid>
        <w:gridCol w:w="2672"/>
        <w:gridCol w:w="5699"/>
      </w:tblGrid>
      <w:tr w:rsidTr="00EB54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2)</w:t>
            </w:r>
          </w:p>
        </w:tc>
      </w:tr>
      <w:tr w:rsidTr="00EB54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This unit is intended as an additional competency to relevant competencies previously acquired. It is</w:t>
            </w:r>
            <w:r w:rsidRPr="00B07D54">
              <w:t xml:space="preserve"> suitable for employment-based programs under an approved contract of training at the aligned AQF 4 level or higher.</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4" w:name="O_705628"/>
      <w:bookmarkEnd w:id="4"/>
      <w:r w:rsidRPr="00B07D54">
        <w:t>Licensing/Regulatory Information</w:t>
      </w:r>
    </w:p>
    <w:tbl>
      <w:tblPr>
        <w:tblW w:w="0" w:type="auto"/>
        <w:tblLayout w:type="fixed"/>
        <w:tblCellMar>
          <w:left w:w="62" w:type="dxa"/>
          <w:right w:w="62" w:type="dxa"/>
        </w:tblCellMar>
        <w:tblLook w:val="0000"/>
      </w:tblPr>
      <w:tblGrid>
        <w:gridCol w:w="2700"/>
        <w:gridCol w:w="5760"/>
      </w:tblGrid>
      <w:tr w:rsidTr="00EB54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 xml:space="preserve">3) </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The skills and knowledge described in this unit require a license to practice in the workplace where plant and equipment operate at voltage above 50 V a.c. or 120 V d.c. However other conditions may apply in some jurisdictions subject to regulations relate</w:t>
            </w:r>
            <w:r w:rsidRPr="00B07D54">
              <w:t>d to electrical work. Practice in the workplace and during training is also subject to regulations directly related to occupational health and safety and where applicable contracts of training such as apprenticeships.</w:t>
            </w:r>
          </w:p>
          <w:p w:rsidR="00000000" w:rsidRPr="00B07D54" w:rsidP="00B07D54">
            <w:pPr>
              <w:pStyle w:val="BodyText"/>
            </w:pPr>
            <w:r w:rsidRPr="00B07D54">
              <w:t xml:space="preserve">Note: </w:t>
            </w:r>
          </w:p>
          <w:p w:rsidR="00000000" w:rsidRPr="00B07D54" w:rsidP="00B07D54">
            <w:pPr>
              <w:pStyle w:val="BodyText"/>
            </w:pPr>
            <w:r w:rsidRPr="00B07D54">
              <w:t xml:space="preserve">1. Compliance with permits may </w:t>
            </w:r>
            <w:r w:rsidRPr="00B07D54">
              <w:t>be required in various jurisdictions and typically relates to the operation of plant, machinery and equipment such as elevating work platforms, powder operated fixing tools, power operated tools, vehicles, road signage and traffic control, lifting equipmen</w:t>
            </w:r>
            <w:r w:rsidRPr="00B07D54">
              <w:t>t and the like. Permits may also be required for some work environments such as confined spaces, working aloft, near live electrical apparatus and site rehabilitation.</w:t>
            </w:r>
          </w:p>
          <w:p w:rsidR="00000000" w:rsidRPr="00B07D54" w:rsidP="00B07D54">
            <w:pPr>
              <w:pStyle w:val="BodyText"/>
            </w:pPr>
            <w:r w:rsidRPr="00B07D54">
              <w:t>2. Compliance may be required in various jurisdictions relating to currency in First Aid</w:t>
            </w:r>
            <w:r w:rsidRPr="00B07D54">
              <w:t>, confined space, lifting and risk safety measures.</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5" w:name="O_705627"/>
      <w:bookmarkEnd w:id="5"/>
      <w:r w:rsidRPr="00B07D54">
        <w:t>Pre-Requisites</w:t>
      </w:r>
    </w:p>
    <w:tbl>
      <w:tblPr>
        <w:tblW w:w="0" w:type="auto"/>
        <w:tblLayout w:type="fixed"/>
        <w:tblCellMar>
          <w:left w:w="62" w:type="dxa"/>
          <w:right w:w="62" w:type="dxa"/>
        </w:tblCellMar>
        <w:tblLook w:val="0000"/>
      </w:tblPr>
      <w:tblGrid>
        <w:gridCol w:w="2700"/>
        <w:gridCol w:w="1440"/>
        <w:gridCol w:w="4320"/>
      </w:tblGrid>
      <w:tr w:rsidTr="00EB54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 xml:space="preserve">4) </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4.1)</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Granting competency in this unit shall be made only after competency in the following unit(s) has/have been confirmed.</w:t>
            </w:r>
          </w:p>
        </w:tc>
      </w:tr>
      <w:tr w:rsidTr="00EB543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UEENEEE101A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Apply Occupational Health and Safety regulations, codes and practices in the workplace</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UEENEEE104A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Solve problems in d.c. circuits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w:t>
            </w:r>
            <w:r w:rsidRPr="00B07D54">
              <w:t>02A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 xml:space="preserve">Repair basic electronic apparatus faults by </w:t>
            </w:r>
            <w:r w:rsidRPr="00B07D54">
              <w:t>replacement of components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UEENEEH111A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Troubleshoot single phase input d.c. power supplies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UEENEEH112A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Troubleshoot digital sub-systems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UEENEEH113A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Troubleshoot amplifiers in an electronic apparatus</w:t>
            </w:r>
          </w:p>
        </w:tc>
      </w:tr>
      <w:tr w:rsidTr="00EB543A">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UEENEEH115A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 xml:space="preserve">Develop software solutions for microcontroller based systems </w:t>
            </w:r>
          </w:p>
        </w:tc>
      </w:tr>
      <w:tr w:rsidTr="00EB543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 xml:space="preserve">UEENEEH138A </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Fault find and repair complex power supplies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AND</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UEENEEH114A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Troubleshoot resonance circuits in an electronic apparatus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UEENEEH169A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Solve problems in basic electronic circuits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OR</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UEENEEG101A</w:t>
            </w:r>
          </w:p>
        </w:tc>
        <w:tc>
          <w:tcPr>
            <w:tcW w:w="432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Solve problems in electromagnetic devices and related circuits</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UEENEEG102A</w:t>
            </w:r>
          </w:p>
        </w:tc>
        <w:tc>
          <w:tcPr>
            <w:tcW w:w="432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Solve problems in low voltage a.c. circuits</w:t>
            </w:r>
          </w:p>
        </w:tc>
      </w:tr>
    </w:tbl>
    <w:p w:rsidR="00000000" w:rsidRPr="00B07D54" w:rsidP="00B07D5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B543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 xml:space="preserve">4.2) </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Participants are best equipped to achieve competency in this unit if they have reading, writing and numeracy skills indicated by the following scales. Description of each scale is given in Volume 2, Part 3 ‘Literacy and Numeracy’</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Reading</w:t>
            </w:r>
          </w:p>
        </w:tc>
        <w:tc>
          <w:tcPr>
            <w:tcW w:w="81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4</w:t>
            </w:r>
          </w:p>
        </w:tc>
        <w:tc>
          <w:tcPr>
            <w:tcW w:w="99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Writing</w:t>
            </w: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4</w:t>
            </w:r>
          </w:p>
        </w:tc>
        <w:tc>
          <w:tcPr>
            <w:tcW w:w="12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Numeracy</w:t>
            </w:r>
          </w:p>
        </w:tc>
        <w:tc>
          <w:tcPr>
            <w:tcW w:w="72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4</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6" w:name="O_705626"/>
      <w:bookmarkEnd w:id="6"/>
      <w:r w:rsidRPr="00B07D54">
        <w:t>Employability Skills Information</w:t>
      </w:r>
    </w:p>
    <w:tbl>
      <w:tblPr>
        <w:tblW w:w="0" w:type="auto"/>
        <w:tblLayout w:type="fixed"/>
        <w:tblCellMar>
          <w:left w:w="62" w:type="dxa"/>
          <w:right w:w="62" w:type="dxa"/>
        </w:tblCellMar>
        <w:tblLook w:val="0000"/>
      </w:tblPr>
      <w:tblGrid>
        <w:gridCol w:w="2700"/>
        <w:gridCol w:w="5760"/>
      </w:tblGrid>
      <w:tr w:rsidTr="00EB54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 xml:space="preserve">5) </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This unit contains Employability Skills</w:t>
            </w:r>
          </w:p>
          <w:p w:rsidR="00000000" w:rsidRPr="00B07D54" w:rsidP="00B07D54">
            <w:pPr>
              <w:pStyle w:val="BodyText"/>
            </w:pPr>
            <w:r w:rsidRPr="00B07D54">
              <w:t>The required outcomes described in this unit of competency contain applicable facets of Employability Skil</w:t>
            </w:r>
            <w:r w:rsidRPr="00B07D54">
              <w:t>ls. The Employability Skills Summary of the qualification in which this unit of competency is packaged will assist in identifying Employability Skill requirements.</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7" w:name="O_705625"/>
      <w:bookmarkEnd w:id="7"/>
      <w:r w:rsidRPr="00B07D54">
        <w:t>Elements and Performance Criteria Pre-Content</w:t>
      </w:r>
    </w:p>
    <w:tbl>
      <w:tblPr>
        <w:tblW w:w="0" w:type="auto"/>
        <w:tblLayout w:type="fixed"/>
        <w:tblCellMar>
          <w:left w:w="62" w:type="dxa"/>
          <w:right w:w="62" w:type="dxa"/>
        </w:tblCellMar>
        <w:tblLook w:val="0000"/>
      </w:tblPr>
      <w:tblGrid>
        <w:gridCol w:w="2700"/>
        <w:gridCol w:w="5760"/>
      </w:tblGrid>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6)</w:t>
            </w:r>
            <w:r w:rsidRPr="00B07D5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Performance Criteria describe the required performance needed to demonstrate achievement of the element. Assessment of performance is to be consistent with the Evidence Guide.</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8" w:name="O_705624"/>
      <w:bookmarkEnd w:id="8"/>
      <w:r w:rsidRPr="00B07D5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B543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PERFORMANCE CRITERIA</w:t>
            </w:r>
          </w:p>
        </w:tc>
      </w:tr>
      <w:tr w:rsidTr="00EB543A">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w:t>
            </w:r>
          </w:p>
        </w:tc>
        <w:tc>
          <w:tcPr>
            <w:tcW w:w="2296" w:type="dxa"/>
            <w:vMerge w:val="restart"/>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Prepare to fault find and repair</w:t>
            </w: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1.1</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OHS procedures for a given work area are obtained and understood.</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1.2</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Established OHS risk control measures and procedures are followed in preparation for the work.</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1.3</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 xml:space="preserve">Safety hazards that have not previously been identified are documented and risk control measures devised and implemented in consultation with </w:t>
            </w:r>
            <w:r w:rsidRPr="00B07D54">
              <w:t>appropriate personnel.</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1.4</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The extent of faults is determined from reports and other documentation and from discussion with appropriate personnel.</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1.5</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Appropriate personnel are consulted to ensure the work is co-ordinated effectively with others invo</w:t>
            </w:r>
            <w:r w:rsidRPr="00B07D54">
              <w:t>lved on the work site.</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1.6</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Tools, equipment and testing devices needed to diagnose faults are obtained in accordance with established procedures and checked for correct operation and safety.</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w:t>
            </w:r>
          </w:p>
        </w:tc>
        <w:tc>
          <w:tcPr>
            <w:tcW w:w="2296" w:type="dxa"/>
            <w:vMerge w:val="restart"/>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Fault find and repair.</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2.1</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OHS risk control measures and procedures for carrying out the work are followed.</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2.2</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The need to test or measure live is determined in strict accordance with OHS requirements and when necessary conducted within established safety procedures.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2.3</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Circuits/machines/plant are checked as being isolated where necessary in strict accordance OHS requirements and procedures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2.4</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Logical diagnostic methods are applied to diagnose telecommunication apparatus and system faults employing measurements and es</w:t>
            </w:r>
            <w:r w:rsidRPr="00B07D54">
              <w:t>timations of system operating parameters referenced to system operational requirements.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2.5</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Suspected fault scenarios are tested as being the source of system problems.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2.6</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Source of the fault is identified and appropriately competent persons are engaged to rectify the fault where it is outside the scope of electronics.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2.7</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Faults in the electronic components of the system are rectified to raise telecommunication apparatus</w:t>
            </w:r>
            <w:r w:rsidRPr="00B07D54">
              <w:t xml:space="preserve"> and system to its operation standard.</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2.8</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System is tested to verify that the system operates as intended and to specified requirements.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2.9</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 xml:space="preserve">Decisions for dealing with unexpected situations are made from discussions with appropriate persons and job </w:t>
            </w:r>
            <w:r w:rsidRPr="00B07D54">
              <w:t>specifications and requirements.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2.10</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Methods for dealing with unexpected situations are selected on the basis of safety and specified work outcomes.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2.11</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Diagnosis and rectification activities are carried out efficiently without waste of materials or damage to apparatus and the surrounding environment or services and using sustainable energy practices.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3</w:t>
            </w:r>
          </w:p>
        </w:tc>
        <w:tc>
          <w:tcPr>
            <w:tcW w:w="2296" w:type="dxa"/>
            <w:vMerge w:val="restart"/>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Complete and report fault find and repair activities</w:t>
            </w:r>
            <w:r w:rsidRPr="00B07D54">
              <w:t>.</w:t>
            </w: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3.1</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OHS work completion risk control measures and procedures are followed.</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3.2</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Work site is made safe in accordance with established safety procedures.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3.3</w:t>
            </w:r>
          </w:p>
        </w:tc>
        <w:tc>
          <w:tcPr>
            <w:tcW w:w="48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Rectification of faults is documented in accordance with established procedures.</w:t>
            </w:r>
          </w:p>
        </w:tc>
      </w:tr>
      <w:tr w:rsidTr="00EB54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3.4</w:t>
            </w:r>
          </w:p>
        </w:tc>
        <w:tc>
          <w:tcPr>
            <w:tcW w:w="48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Appropriate person or persons notified, in accordance with established procedures, that the system faults have been rectified.</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9" w:name="O_705623"/>
      <w:bookmarkEnd w:id="9"/>
      <w:r w:rsidRPr="00B07D54">
        <w:t>Required Skills and Knowledge</w:t>
      </w:r>
    </w:p>
    <w:tbl>
      <w:tblPr>
        <w:tblW w:w="0" w:type="auto"/>
        <w:tblLayout w:type="fixed"/>
        <w:tblCellMar>
          <w:left w:w="62" w:type="dxa"/>
          <w:right w:w="62" w:type="dxa"/>
        </w:tblCellMar>
        <w:tblLook w:val="0000"/>
      </w:tblPr>
      <w:tblGrid>
        <w:gridCol w:w="8460"/>
      </w:tblGrid>
      <w:tr w:rsidTr="00EB54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REQUIRED SKILLS AND KNOWLEDGE</w:t>
            </w:r>
          </w:p>
        </w:tc>
      </w:tr>
      <w:tr w:rsidTr="00EB543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8)</w:t>
            </w:r>
            <w:r w:rsidRPr="00B07D54">
              <w:t xml:space="preserve"> This describes the essential skills and knowledge and their level, required for this unit.</w:t>
            </w:r>
          </w:p>
          <w:p w:rsidR="00000000" w:rsidRPr="00B07D54" w:rsidP="00B07D54">
            <w:pPr>
              <w:pStyle w:val="BodyText"/>
            </w:pPr>
            <w:r w:rsidRPr="00B07D54">
              <w:t xml:space="preserve">Evidence shall show that knowledge has been acquired of safe working practices and fault finding and repairing in telecommunication apparatus and systems. </w:t>
            </w:r>
          </w:p>
          <w:p w:rsidR="00000000" w:rsidRPr="00B07D54" w:rsidP="00B07D54">
            <w:pPr>
              <w:pStyle w:val="BodyText"/>
            </w:pPr>
            <w:r w:rsidRPr="00B07D54">
              <w:t>All know</w:t>
            </w:r>
            <w:r w:rsidRPr="00B07D54">
              <w:t>ledge and skills detailed in this unit should be contextualised to current industry practices and technologies.</w:t>
            </w:r>
          </w:p>
          <w:p w:rsidR="00000000" w:rsidRPr="00B07D54" w:rsidP="00B07D54">
            <w:pPr>
              <w:pStyle w:val="BodyText"/>
            </w:pPr>
            <w:r w:rsidRPr="00B07D54">
              <w:rPr>
                <w:rStyle w:val="SpecialBold"/>
              </w:rPr>
              <w:t>KS01-EH133A                      Telecommunication apparatus and system fault finding and repair</w:t>
            </w:r>
          </w:p>
          <w:p w:rsidR="00000000" w:rsidRPr="00B07D54" w:rsidP="00B07D54">
            <w:pPr>
              <w:pStyle w:val="BodyText"/>
            </w:pPr>
            <w:r w:rsidRPr="00B07D54">
              <w:t>Evidence shall show an understanding of telecom</w:t>
            </w:r>
            <w:r w:rsidRPr="00B07D54">
              <w:t>munication apparatus and system fault finding and repair, applying safe working practices and relevant Standards, Codes and Regulations to an extent indicated by the following aspects:</w:t>
            </w:r>
          </w:p>
          <w:p w:rsidR="00000000" w:rsidRPr="00B07D54" w:rsidP="00B07D54">
            <w:pPr>
              <w:pStyle w:val="BodyText"/>
            </w:pPr>
            <w:r w:rsidRPr="00B07D54">
              <w:t>T1.</w:t>
            </w:r>
            <w:r w:rsidRPr="00B07D54">
              <w:tab/>
              <w:t>Telephone system fundamentals</w:t>
            </w:r>
          </w:p>
          <w:p w:rsidR="00000000" w:rsidRPr="00B07D54" w:rsidP="00B07D54">
            <w:pPr>
              <w:pStyle w:val="ListBullet"/>
            </w:pPr>
            <w:r w:rsidRPr="00B07D54">
              <w:t>The transmission of sound in a telep</w:t>
            </w:r>
            <w:r w:rsidRPr="00B07D54">
              <w:t>hone system encompassing:</w:t>
            </w:r>
          </w:p>
          <w:p w:rsidR="00000000" w:rsidRPr="00B07D54" w:rsidP="00B07D54">
            <w:pPr>
              <w:pStyle w:val="ListBullet2"/>
            </w:pPr>
            <w:r w:rsidRPr="00B07D54">
              <w:t>Function of telephone transmitters and receivers</w:t>
            </w:r>
          </w:p>
          <w:p w:rsidR="00000000" w:rsidRPr="00B07D54" w:rsidP="00B07D54">
            <w:pPr>
              <w:pStyle w:val="ListBullet2"/>
            </w:pPr>
            <w:r w:rsidRPr="00B07D54">
              <w:t>Components and functions of the telephone</w:t>
            </w:r>
          </w:p>
          <w:p w:rsidR="00000000" w:rsidRPr="00B07D54" w:rsidP="00B07D54">
            <w:pPr>
              <w:pStyle w:val="ListBullet"/>
            </w:pPr>
            <w:r w:rsidRPr="00B07D54">
              <w:t>Purpose of earthing and protection in a telephone system</w:t>
            </w:r>
          </w:p>
          <w:p w:rsidR="00000000" w:rsidRPr="00B07D54" w:rsidP="00B07D54">
            <w:pPr>
              <w:pStyle w:val="ListBullet"/>
            </w:pPr>
            <w:r w:rsidRPr="00B07D54">
              <w:t>Customer Switching Systems encompassing:</w:t>
            </w:r>
          </w:p>
          <w:p w:rsidR="00000000" w:rsidRPr="00B07D54" w:rsidP="00B07D54">
            <w:pPr>
              <w:pStyle w:val="ListBullet2"/>
            </w:pPr>
            <w:r w:rsidRPr="00B07D54">
              <w:t xml:space="preserve">Basic function </w:t>
            </w:r>
          </w:p>
          <w:p w:rsidR="00000000" w:rsidRPr="00B07D54" w:rsidP="00B07D54">
            <w:pPr>
              <w:pStyle w:val="ListBullet2"/>
            </w:pPr>
            <w:r w:rsidRPr="00B07D54">
              <w:t>Difference between a key system and a PABX.</w:t>
            </w:r>
          </w:p>
          <w:p w:rsidR="00000000" w:rsidRPr="00B07D54" w:rsidP="00B07D54">
            <w:pPr>
              <w:pStyle w:val="ListBullet2"/>
            </w:pPr>
            <w:r w:rsidRPr="00B07D54">
              <w:t>Advanced features</w:t>
            </w:r>
          </w:p>
          <w:p w:rsidR="00000000" w:rsidRPr="00B07D54" w:rsidP="00B07D54">
            <w:pPr>
              <w:pStyle w:val="ListBullet"/>
            </w:pPr>
            <w:r w:rsidRPr="00B07D54">
              <w:t>Basic operations of System Distribution Frames (SDF)/Test Point Frames (TPF), power fail and line interface requirements (e.g. Indial, Rotary Groups, ISDN, Extension, Tie-line circuits)</w:t>
            </w:r>
          </w:p>
          <w:p w:rsidR="00000000" w:rsidRPr="00B07D54" w:rsidP="00B07D54">
            <w:pPr>
              <w:pStyle w:val="ListBullet"/>
            </w:pPr>
            <w:r w:rsidRPr="00B07D54">
              <w:t xml:space="preserve">Types, </w:t>
            </w:r>
            <w:r w:rsidRPr="00B07D54">
              <w:t>purpose, use, and requirements of metering devices.</w:t>
            </w:r>
          </w:p>
          <w:p w:rsidR="00000000" w:rsidRPr="00B07D54" w:rsidP="00B07D54">
            <w:pPr>
              <w:pStyle w:val="ListBullet"/>
            </w:pPr>
            <w:r w:rsidRPr="00B07D54">
              <w:t>Metering and installation arrangements of public/pay phones</w:t>
            </w:r>
          </w:p>
          <w:p w:rsidR="00000000" w:rsidRPr="00B07D54" w:rsidP="00B07D54">
            <w:pPr>
              <w:pStyle w:val="ListBullet"/>
            </w:pPr>
            <w:r w:rsidRPr="00B07D54">
              <w:t>Installation methods and requirements encompassing:</w:t>
            </w:r>
          </w:p>
          <w:p w:rsidR="00000000" w:rsidRPr="00B07D54" w:rsidP="00B07D54">
            <w:pPr>
              <w:pStyle w:val="ListBullet2"/>
            </w:pPr>
            <w:r w:rsidRPr="00B07D54">
              <w:t>Customer Switching Systems (CSS)</w:t>
            </w:r>
          </w:p>
          <w:p w:rsidR="00000000" w:rsidRPr="00B07D54" w:rsidP="00B07D54">
            <w:pPr>
              <w:pStyle w:val="ListBullet2"/>
            </w:pPr>
            <w:r w:rsidRPr="00B07D54">
              <w:t>Interfacing equipment</w:t>
            </w:r>
          </w:p>
          <w:p w:rsidR="00000000" w:rsidRPr="00B07D54" w:rsidP="00B07D54">
            <w:pPr>
              <w:pStyle w:val="ListBullet2"/>
            </w:pPr>
            <w:r w:rsidRPr="00B07D54">
              <w:t>Termination of CSS equipment</w:t>
            </w:r>
          </w:p>
          <w:p w:rsidR="00000000" w:rsidRPr="00B07D54" w:rsidP="00B07D54">
            <w:pPr>
              <w:pStyle w:val="ListBullet"/>
            </w:pPr>
            <w:r w:rsidRPr="00B07D54">
              <w:t>Requirements for programming of CSS</w:t>
            </w:r>
          </w:p>
          <w:p w:rsidR="00000000" w:rsidRPr="00B07D54" w:rsidP="00B07D54">
            <w:pPr>
              <w:pStyle w:val="ListBullet"/>
            </w:pPr>
            <w:r w:rsidRPr="00B07D54">
              <w:t>Hazard associated the electronic components of CSS encompassing:</w:t>
            </w:r>
          </w:p>
          <w:p w:rsidR="00000000" w:rsidRPr="00B07D54" w:rsidP="00B07D54">
            <w:pPr>
              <w:pStyle w:val="ListBullet2"/>
            </w:pPr>
            <w:r w:rsidRPr="00B07D54">
              <w:t>Static discharge</w:t>
            </w:r>
          </w:p>
          <w:p w:rsidR="00000000" w:rsidRPr="00B07D54" w:rsidP="00B07D54">
            <w:pPr>
              <w:pStyle w:val="ListBullet2"/>
            </w:pPr>
            <w:r w:rsidRPr="00B07D54">
              <w:t>Chemical damage</w:t>
            </w:r>
          </w:p>
          <w:p w:rsidR="00000000" w:rsidRPr="00B07D54" w:rsidP="00B07D54">
            <w:pPr>
              <w:pStyle w:val="ListBullet2"/>
            </w:pPr>
            <w:r w:rsidRPr="00B07D54">
              <w:t>Mechanical damage</w:t>
            </w:r>
          </w:p>
          <w:p w:rsidR="00000000" w:rsidRPr="00B07D54" w:rsidP="00B07D54">
            <w:pPr>
              <w:pStyle w:val="ListBullet2"/>
            </w:pPr>
            <w:r w:rsidRPr="00B07D54">
              <w:t>Electromagnetic Interference</w:t>
            </w:r>
          </w:p>
          <w:p w:rsidR="00000000" w:rsidRPr="00B07D54" w:rsidP="00B07D54">
            <w:pPr>
              <w:pStyle w:val="BodyText"/>
            </w:pPr>
            <w:r w:rsidRPr="00B07D54">
              <w:t>T2.</w:t>
            </w:r>
            <w:r w:rsidRPr="00B07D54">
              <w:tab/>
              <w:t xml:space="preserve">Telephone network facilities </w:t>
            </w:r>
          </w:p>
          <w:p w:rsidR="00000000" w:rsidRPr="00B07D54" w:rsidP="00B07D54">
            <w:pPr>
              <w:pStyle w:val="ListBullet"/>
            </w:pPr>
            <w:r w:rsidRPr="00B07D54">
              <w:t>Network subsystems (i.e. functional blo</w:t>
            </w:r>
            <w:r w:rsidRPr="00B07D54">
              <w:t>cks) components and operating parameters</w:t>
            </w:r>
          </w:p>
          <w:p w:rsidR="00000000" w:rsidRPr="00B07D54" w:rsidP="00B07D54">
            <w:pPr>
              <w:pStyle w:val="ListBullet"/>
            </w:pPr>
            <w:r w:rsidRPr="00B07D54">
              <w:t>Switches within the network</w:t>
            </w:r>
          </w:p>
          <w:p w:rsidR="00000000" w:rsidRPr="00B07D54" w:rsidP="00B07D54">
            <w:pPr>
              <w:pStyle w:val="ListBullet"/>
            </w:pPr>
            <w:r w:rsidRPr="00B07D54">
              <w:t>Customer accesses infrastructure</w:t>
            </w:r>
          </w:p>
          <w:p w:rsidR="00000000" w:rsidRPr="00B07D54" w:rsidP="00B07D54">
            <w:pPr>
              <w:pStyle w:val="ListBullet"/>
            </w:pPr>
            <w:r w:rsidRPr="00B07D54">
              <w:t>System security</w:t>
            </w:r>
          </w:p>
          <w:p w:rsidR="00000000" w:rsidRPr="00B07D54" w:rsidP="00B07D54">
            <w:pPr>
              <w:pStyle w:val="BodyText"/>
            </w:pPr>
            <w:r w:rsidRPr="00B07D54">
              <w:t>T3.</w:t>
            </w:r>
            <w:r w:rsidRPr="00B07D54">
              <w:tab/>
              <w:t>Telecommunication earthing and protection</w:t>
            </w:r>
          </w:p>
          <w:p w:rsidR="00000000" w:rsidRPr="00B07D54" w:rsidP="00B07D54">
            <w:pPr>
              <w:pStyle w:val="ListBullet"/>
            </w:pPr>
            <w:r w:rsidRPr="00B07D54">
              <w:t>Telecommunication overvoltage protection system</w:t>
            </w:r>
          </w:p>
          <w:p w:rsidR="00000000" w:rsidRPr="00B07D54" w:rsidP="00B07D54">
            <w:pPr>
              <w:pStyle w:val="ListBullet2"/>
            </w:pPr>
            <w:r w:rsidRPr="00B07D54">
              <w:t>Operating principles</w:t>
            </w:r>
          </w:p>
          <w:p w:rsidR="00000000" w:rsidRPr="00B07D54" w:rsidP="00B07D54">
            <w:pPr>
              <w:pStyle w:val="ListBullet2"/>
            </w:pPr>
            <w:r w:rsidRPr="00B07D54">
              <w:t>Overvoltage and surge/spike suppression protection techniques</w:t>
            </w:r>
          </w:p>
          <w:p w:rsidR="00000000" w:rsidRPr="00B07D54" w:rsidP="00B07D54">
            <w:pPr>
              <w:pStyle w:val="ListBullet2"/>
            </w:pPr>
            <w:r w:rsidRPr="00B07D54">
              <w:t>Overvoltage protection devices</w:t>
            </w:r>
          </w:p>
          <w:p w:rsidR="00000000" w:rsidRPr="00B07D54" w:rsidP="00B07D54">
            <w:pPr>
              <w:pStyle w:val="ListBullet2"/>
            </w:pPr>
            <w:r w:rsidRPr="00B07D54">
              <w:t>Installation of overvoltage protection systems</w:t>
            </w:r>
          </w:p>
          <w:p w:rsidR="00000000" w:rsidRPr="00B07D54" w:rsidP="00B07D54">
            <w:pPr>
              <w:pStyle w:val="ListBullet"/>
            </w:pPr>
            <w:r w:rsidRPr="00B07D54">
              <w:t>Earthing protection system encompassing:</w:t>
            </w:r>
          </w:p>
          <w:p w:rsidR="00000000" w:rsidRPr="00B07D54" w:rsidP="00B07D54">
            <w:pPr>
              <w:pStyle w:val="ListBullet2"/>
            </w:pPr>
            <w:r w:rsidRPr="00B07D54">
              <w:t xml:space="preserve">Components and arrangement of the MEN system </w:t>
            </w:r>
          </w:p>
          <w:p w:rsidR="00000000" w:rsidRPr="00B07D54" w:rsidP="00B07D54">
            <w:pPr>
              <w:pStyle w:val="ListBullet2"/>
            </w:pPr>
            <w:r w:rsidRPr="00B07D54">
              <w:t>TELEX functional earth syst</w:t>
            </w:r>
            <w:r w:rsidRPr="00B07D54">
              <w:t>em</w:t>
            </w:r>
          </w:p>
          <w:p w:rsidR="00000000" w:rsidRPr="00B07D54" w:rsidP="00B07D54">
            <w:pPr>
              <w:pStyle w:val="ListBullet2"/>
            </w:pPr>
            <w:r w:rsidRPr="00B07D54">
              <w:t>Telecommunication system earthing single and multi-storey</w:t>
            </w:r>
          </w:p>
          <w:p w:rsidR="00000000" w:rsidRPr="00B07D54" w:rsidP="00B07D54">
            <w:pPr>
              <w:pStyle w:val="ListBullet2"/>
            </w:pPr>
            <w:r w:rsidRPr="00B07D54">
              <w:t>Communication earth system</w:t>
            </w:r>
          </w:p>
          <w:p w:rsidR="00000000" w:rsidRPr="00B07D54" w:rsidP="00B07D54">
            <w:pPr>
              <w:pStyle w:val="ListBullet2"/>
            </w:pPr>
            <w:r w:rsidRPr="00B07D54">
              <w:t>Protective earth barriers for segregation, cable tray, duct and metal equipment enclosures</w:t>
            </w:r>
          </w:p>
          <w:p w:rsidR="00000000" w:rsidRPr="00B07D54" w:rsidP="00B07D54">
            <w:pPr>
              <w:pStyle w:val="ListBullet"/>
            </w:pPr>
            <w:r w:rsidRPr="00B07D54">
              <w:t>Electrical interference encompassing:</w:t>
            </w:r>
          </w:p>
          <w:p w:rsidR="00000000" w:rsidRPr="00B07D54" w:rsidP="00B07D54">
            <w:pPr>
              <w:pStyle w:val="ListBullet2"/>
            </w:pPr>
            <w:r w:rsidRPr="00B07D54">
              <w:t>Types – RFI, EMI</w:t>
            </w:r>
          </w:p>
          <w:p w:rsidR="00000000" w:rsidRPr="00B07D54" w:rsidP="00B07D54">
            <w:pPr>
              <w:pStyle w:val="ListBullet2"/>
            </w:pPr>
            <w:r w:rsidRPr="00B07D54">
              <w:t>Sources of interference</w:t>
            </w:r>
          </w:p>
          <w:p w:rsidR="00000000" w:rsidRPr="00B07D54" w:rsidP="00B07D54">
            <w:pPr>
              <w:pStyle w:val="ListBullet2"/>
            </w:pPr>
            <w:r w:rsidRPr="00B07D54">
              <w:t>Techniques in reducing interference</w:t>
            </w:r>
          </w:p>
          <w:p w:rsidR="00000000" w:rsidRPr="00B07D54" w:rsidP="00B07D54">
            <w:pPr>
              <w:pStyle w:val="ListBullet2"/>
            </w:pPr>
            <w:r w:rsidRPr="00B07D54">
              <w:t>Earthing cable shields</w:t>
            </w:r>
          </w:p>
          <w:p w:rsidR="00000000" w:rsidRPr="00B07D54" w:rsidP="00B07D54">
            <w:pPr>
              <w:pStyle w:val="ListBullet"/>
            </w:pPr>
            <w:r w:rsidRPr="00B07D54">
              <w:t>Earth testing instruments and procedures</w:t>
            </w:r>
          </w:p>
          <w:p w:rsidR="00000000" w:rsidRPr="00B07D54" w:rsidP="00B07D54">
            <w:pPr>
              <w:pStyle w:val="ListBullet"/>
            </w:pPr>
            <w:r w:rsidRPr="00B07D54">
              <w:t>Safety issues to be considered with earthing and bonding</w:t>
            </w:r>
          </w:p>
          <w:p w:rsidR="00000000" w:rsidRPr="00B07D54" w:rsidP="00B07D54">
            <w:pPr>
              <w:pStyle w:val="BodyText"/>
            </w:pPr>
            <w:r w:rsidRPr="00B07D54">
              <w:t>T4.</w:t>
            </w:r>
            <w:r w:rsidRPr="00B07D54">
              <w:tab/>
              <w:t>PABX fundamentals</w:t>
            </w:r>
          </w:p>
          <w:p w:rsidR="00000000" w:rsidRPr="00B07D54" w:rsidP="00B07D54">
            <w:pPr>
              <w:pStyle w:val="ListBullet"/>
            </w:pPr>
            <w:r w:rsidRPr="00B07D54">
              <w:t>Programming methods</w:t>
            </w:r>
          </w:p>
          <w:p w:rsidR="00000000" w:rsidRPr="00B07D54" w:rsidP="00B07D54">
            <w:pPr>
              <w:pStyle w:val="ListBullet"/>
            </w:pPr>
            <w:r w:rsidRPr="00B07D54">
              <w:t>Configuration options</w:t>
            </w:r>
          </w:p>
          <w:p w:rsidR="00000000" w:rsidRPr="00B07D54" w:rsidP="00B07D54">
            <w:pPr>
              <w:pStyle w:val="ListBullet"/>
            </w:pPr>
            <w:r w:rsidRPr="00B07D54">
              <w:t>Programmi</w:t>
            </w:r>
            <w:r w:rsidRPr="00B07D54">
              <w:t>ng options</w:t>
            </w:r>
          </w:p>
          <w:p w:rsidR="00000000" w:rsidRPr="00B07D54" w:rsidP="00B07D54">
            <w:pPr>
              <w:pStyle w:val="BodyText"/>
            </w:pPr>
            <w:r w:rsidRPr="00B07D54">
              <w:t>T5.</w:t>
            </w:r>
            <w:r w:rsidRPr="00B07D54">
              <w:tab/>
              <w:t>Switches, hubs and routers</w:t>
            </w:r>
          </w:p>
          <w:p w:rsidR="00000000" w:rsidRPr="00B07D54" w:rsidP="00B07D54">
            <w:pPr>
              <w:pStyle w:val="ListBullet"/>
            </w:pPr>
            <w:r w:rsidRPr="00B07D54">
              <w:t>Purpose and function</w:t>
            </w:r>
          </w:p>
          <w:p w:rsidR="00000000" w:rsidRPr="00B07D54" w:rsidP="00B07D54">
            <w:pPr>
              <w:pStyle w:val="ListBullet"/>
            </w:pPr>
            <w:r w:rsidRPr="00B07D54">
              <w:t>Circuit configurations</w:t>
            </w:r>
          </w:p>
          <w:p w:rsidR="00000000" w:rsidRPr="00B07D54" w:rsidP="00B07D54">
            <w:pPr>
              <w:pStyle w:val="ListBullet"/>
            </w:pPr>
            <w:r w:rsidRPr="00B07D54">
              <w:t>Connection arrangements</w:t>
            </w:r>
          </w:p>
          <w:p w:rsidR="00000000" w:rsidRPr="00B07D54" w:rsidP="00B07D54">
            <w:pPr>
              <w:pStyle w:val="ListBullet"/>
            </w:pPr>
            <w:r w:rsidRPr="00B07D54">
              <w:t>System protocols</w:t>
            </w:r>
          </w:p>
          <w:p w:rsidR="00000000" w:rsidRPr="00B07D54" w:rsidP="00B07D54">
            <w:pPr>
              <w:pStyle w:val="BodyText"/>
            </w:pPr>
            <w:r w:rsidRPr="00B07D54">
              <w:t>T6.</w:t>
            </w:r>
            <w:r w:rsidRPr="00B07D54">
              <w:tab/>
              <w:t>Decoders</w:t>
            </w:r>
          </w:p>
          <w:p w:rsidR="00000000" w:rsidRPr="00B07D54" w:rsidP="00B07D54">
            <w:pPr>
              <w:pStyle w:val="ListBullet"/>
            </w:pPr>
            <w:r w:rsidRPr="00B07D54">
              <w:t>Purpose and function</w:t>
            </w:r>
          </w:p>
          <w:p w:rsidR="00000000" w:rsidRPr="00B07D54" w:rsidP="00B07D54">
            <w:pPr>
              <w:pStyle w:val="ListBullet"/>
            </w:pPr>
            <w:r w:rsidRPr="00B07D54">
              <w:t>Circuit configurations</w:t>
            </w:r>
          </w:p>
          <w:p w:rsidR="00000000" w:rsidRPr="00B07D54" w:rsidP="00B07D54">
            <w:pPr>
              <w:pStyle w:val="ListBullet"/>
            </w:pPr>
            <w:r w:rsidRPr="00B07D54">
              <w:t>Connection arrangements</w:t>
            </w:r>
          </w:p>
          <w:p w:rsidR="00000000" w:rsidRPr="00B07D54" w:rsidP="00B07D54">
            <w:pPr>
              <w:pStyle w:val="ListBullet"/>
            </w:pPr>
            <w:r w:rsidRPr="00B07D54">
              <w:t>System protocols</w:t>
            </w:r>
          </w:p>
          <w:p w:rsidR="00000000" w:rsidRPr="00B07D54" w:rsidP="00B07D54">
            <w:pPr>
              <w:pStyle w:val="BodyText"/>
            </w:pPr>
            <w:r w:rsidRPr="00B07D54">
              <w:t>T1.</w:t>
            </w:r>
            <w:r w:rsidRPr="00B07D54">
              <w:tab/>
              <w:t>Fault finding and repair</w:t>
            </w:r>
          </w:p>
          <w:p w:rsidR="00000000" w:rsidRPr="00B07D54" w:rsidP="00B07D54">
            <w:pPr>
              <w:pStyle w:val="ListBullet"/>
            </w:pPr>
            <w:r w:rsidRPr="00B07D54">
              <w:t>Typical faults, their symptoms and cause</w:t>
            </w:r>
          </w:p>
          <w:p w:rsidR="00000000" w:rsidRPr="00B07D54" w:rsidP="00B07D54">
            <w:pPr>
              <w:pStyle w:val="ListBullet"/>
            </w:pPr>
            <w:r w:rsidRPr="00B07D54">
              <w:t>Fault diagnosis procedures and testing</w:t>
            </w:r>
          </w:p>
          <w:p w:rsidR="00000000" w:rsidRPr="00B07D54" w:rsidP="00B07D54">
            <w:pPr>
              <w:pStyle w:val="ListBullet"/>
            </w:pPr>
            <w:r w:rsidRPr="00B07D54">
              <w:t>Component replacement</w:t>
            </w:r>
          </w:p>
          <w:p w:rsidR="00000000" w:rsidRPr="00B07D54" w:rsidP="00B07D54">
            <w:pPr>
              <w:pStyle w:val="ListBullet"/>
            </w:pPr>
            <w:r w:rsidRPr="00B07D54">
              <w:t>System adjustments</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10" w:name="O_705622"/>
      <w:bookmarkEnd w:id="10"/>
      <w:r w:rsidRPr="00B07D54">
        <w:t>Evidence Guide</w:t>
      </w:r>
    </w:p>
    <w:tbl>
      <w:tblPr>
        <w:tblW w:w="0" w:type="auto"/>
        <w:tblLayout w:type="fixed"/>
        <w:tblCellMar>
          <w:left w:w="62" w:type="dxa"/>
          <w:right w:w="62" w:type="dxa"/>
        </w:tblCellMar>
        <w:tblLook w:val="0000"/>
      </w:tblPr>
      <w:tblGrid>
        <w:gridCol w:w="8460"/>
      </w:tblGrid>
      <w:tr w:rsidTr="00EB54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EVIDENCE GUIDE</w:t>
            </w:r>
          </w:p>
        </w:tc>
      </w:tr>
      <w:tr w:rsidTr="00EB54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9)</w:t>
            </w:r>
            <w:r w:rsidRPr="00B07D54">
              <w:t xml:space="preserve"> The evidence guide provides advice on assessment and must be read in conjunction with the Performance Criteria, Required Skills and Knowledge, the Range Statement and the Assessment Guidelines for this Training Package. .</w:t>
            </w:r>
          </w:p>
          <w:p w:rsidR="00000000" w:rsidRPr="00B07D54" w:rsidP="00B07D54">
            <w:pPr>
              <w:pStyle w:val="BodyText"/>
            </w:pPr>
            <w:r w:rsidRPr="00B07D54">
              <w:t>The Evidence Guide forms an integ</w:t>
            </w:r>
            <w:r w:rsidRPr="00B07D54">
              <w:t>ral part of this unit. It must be used in conjunction with all parts of the unit and performed in accordance with the Assessment Guidelines of this Training Package.</w:t>
            </w:r>
          </w:p>
        </w:tc>
      </w:tr>
    </w:tbl>
    <w:p w:rsidR="00000000" w:rsidRPr="00B07D54" w:rsidP="00B07D54">
      <w:pPr>
        <w:pStyle w:val="BodyText"/>
      </w:pPr>
    </w:p>
    <w:tbl>
      <w:tblPr>
        <w:tblW w:w="0" w:type="auto"/>
        <w:tblLayout w:type="fixed"/>
        <w:tblCellMar>
          <w:left w:w="62" w:type="dxa"/>
          <w:right w:w="62" w:type="dxa"/>
        </w:tblCellMar>
        <w:tblLook w:val="0000"/>
      </w:tblPr>
      <w:tblGrid>
        <w:gridCol w:w="1890"/>
        <w:gridCol w:w="6570"/>
      </w:tblGrid>
      <w:tr w:rsidTr="00EB54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9.1)</w:t>
            </w:r>
          </w:p>
        </w:tc>
      </w:tr>
      <w:tr w:rsidTr="00EB54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Longitudinal competency development approaches to assessment, such as Profiling, require data to be reliably gathered in a form that can be consistently interpreted over time. This approach is best utilised in Apprenticeship programs and reduces assessment</w:t>
            </w:r>
            <w:r w:rsidRPr="00B07D54">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07D54">
              <w:t>cy in a realistically simulated work environment. It is recognised that, in some circumstances, assessment in part or full can occur outside the workplace. However, it must be in accord with industry and regulatory policy.</w:t>
            </w:r>
          </w:p>
          <w:p w:rsidR="00000000" w:rsidRPr="00B07D54" w:rsidP="00B07D54">
            <w:pPr>
              <w:pStyle w:val="BodyText"/>
            </w:pPr>
            <w:r w:rsidRPr="00B07D54">
              <w:t>Methods chosen for a particular a</w:t>
            </w:r>
            <w:r w:rsidRPr="00B07D54">
              <w:t>ssessment will be influenced by various factors. These include the extent of the assessment, the most effective locations for the assessment activities to take place, access to physical resources, additional safety measures that may be required and the cri</w:t>
            </w:r>
            <w:r w:rsidRPr="00B07D54">
              <w:t>tical nature of the competencies being assessed.</w:t>
            </w:r>
          </w:p>
          <w:p w:rsidR="00000000" w:rsidRPr="00B07D54" w:rsidP="00B07D54">
            <w:pPr>
              <w:pStyle w:val="BodyText"/>
            </w:pPr>
            <w:r w:rsidRPr="00B07D54">
              <w:t>The critical safety nature of working with electricity, electrical equipment, gas or any other hazardous substance/material carries risk in deeming a person competent. Sources of evidence need to be ‘rich’ i</w:t>
            </w:r>
            <w:r w:rsidRPr="00B07D54">
              <w:t>n nature to minimise error in judgment.</w:t>
            </w:r>
          </w:p>
          <w:p w:rsidR="00000000" w:rsidRPr="00B07D54" w:rsidP="00B07D54">
            <w:pPr>
              <w:pStyle w:val="BodyText"/>
            </w:pPr>
            <w:r w:rsidRPr="00B07D54">
              <w:t>Activities associated with normal everyday work influence decisions about how/how much the data gathered will contribute to its ‘richness’. Some skills are more critical to safety and operational requirements while t</w:t>
            </w:r>
            <w:r w:rsidRPr="00B07D54">
              <w:t>he same skills may be more or less frequently practised. These points are raised for the assessors to consider when choosing an assessment method and developing assessment instruments. Sample assessment instruments are included for Assessors in the Assessm</w:t>
            </w:r>
            <w:r w:rsidRPr="00B07D54">
              <w:t>ent Guidelines of this Training Package.</w:t>
            </w:r>
          </w:p>
        </w:tc>
      </w:tr>
    </w:tbl>
    <w:p w:rsidR="00000000" w:rsidRPr="00B07D54" w:rsidP="00B07D54">
      <w:pPr>
        <w:pStyle w:val="BodyText"/>
      </w:pPr>
    </w:p>
    <w:tbl>
      <w:tblPr>
        <w:tblW w:w="11085" w:type="dxa"/>
        <w:tblLayout w:type="fixed"/>
        <w:tblCellMar>
          <w:left w:w="62" w:type="dxa"/>
          <w:right w:w="62" w:type="dxa"/>
        </w:tblCellMar>
        <w:tblLook w:val="0000"/>
      </w:tblPr>
      <w:tblGrid>
        <w:gridCol w:w="1890"/>
        <w:gridCol w:w="586"/>
        <w:gridCol w:w="2005"/>
        <w:gridCol w:w="3979"/>
        <w:gridCol w:w="2625"/>
      </w:tblGrid>
      <w:tr w:rsidTr="00EB543A">
        <w:tblPrEx>
          <w:tblW w:w="11085" w:type="dxa"/>
          <w:tblLayout w:type="fixed"/>
          <w:tblCellMar>
            <w:left w:w="62" w:type="dxa"/>
            <w:right w:w="62" w:type="dxa"/>
          </w:tblCellMar>
          <w:tblLook w:val="0000"/>
        </w:tblPrEx>
        <w:trPr>
          <w:gridAfter w:val="1"/>
          <w:wAfter w:w="2625" w:type="dxa"/>
        </w:trPr>
        <w:tc>
          <w:tcPr>
            <w:tcW w:w="189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9.2)</w:t>
            </w:r>
          </w:p>
        </w:tc>
      </w:tr>
      <w:tr w:rsidTr="00EB543A">
        <w:tblPrEx>
          <w:tblW w:w="11085" w:type="dxa"/>
          <w:tblLayout w:type="fixed"/>
          <w:tblCellMar>
            <w:left w:w="62" w:type="dxa"/>
            <w:right w:w="62" w:type="dxa"/>
          </w:tblCellMar>
          <w:tblLook w:val="0000"/>
        </w:tblPrEx>
        <w:trPr>
          <w:gridAfter w:val="1"/>
          <w:wAfter w:w="2625"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Before the critical aspects of evidence are considered all prerequisites shall be met.</w:t>
            </w:r>
          </w:p>
          <w:p w:rsidR="00000000" w:rsidRPr="00B07D54" w:rsidP="00B07D54">
            <w:pPr>
              <w:pStyle w:val="BodyText"/>
            </w:pPr>
            <w:r w:rsidRPr="00B07D54">
              <w:t>Evidence for competence in this unit sha</w:t>
            </w:r>
            <w:r w:rsidRPr="00B07D54">
              <w:t>ll be considered holistically.  Each Element and associated performance criteria shall be demonstrated on at least two occasions in accordance with the ‘Assessment Guidelines – UEE11’.  Evidence shall also comprise:</w:t>
            </w:r>
          </w:p>
          <w:p w:rsidR="00000000" w:rsidRPr="00B07D54" w:rsidP="00B07D54">
            <w:pPr>
              <w:pStyle w:val="ListBullet"/>
            </w:pPr>
            <w:r w:rsidRPr="00B07D54">
              <w:t>A representative body of work performan</w:t>
            </w:r>
            <w:r w:rsidRPr="00B07D54">
              <w:t>ce demonstrated within the timeframes typically expected of the discipline, work function and industrial environment. In particular this shall incorporate evidence that shows a candidate is able to:</w:t>
            </w:r>
          </w:p>
          <w:p w:rsidR="00000000" w:rsidRPr="00B07D54" w:rsidP="00B07D54">
            <w:pPr>
              <w:pStyle w:val="ListBullet2"/>
            </w:pPr>
            <w:r w:rsidRPr="00B07D54">
              <w:t>Implement Occupational Health and Safety workplace procedures and practices, including the use of risk control measures as specified in the performance criteria and range statement</w:t>
            </w:r>
          </w:p>
          <w:p w:rsidR="00000000" w:rsidRPr="00B07D54" w:rsidP="00B07D54">
            <w:pPr>
              <w:pStyle w:val="ListBullet2"/>
            </w:pPr>
            <w:r w:rsidRPr="00B07D54">
              <w:t>Apply sustainable energy principles and practices as specified in the perfo</w:t>
            </w:r>
            <w:r w:rsidRPr="00B07D54">
              <w:t>rmance criteria and range statement</w:t>
            </w:r>
          </w:p>
          <w:p w:rsidR="00000000" w:rsidRPr="00B07D54" w:rsidP="00B07D54">
            <w:pPr>
              <w:pStyle w:val="ListBullet2"/>
            </w:pPr>
            <w:r w:rsidRPr="00B07D54">
              <w:t>Demonstrate an understanding of the essential knowledge and associated skills as described in this unit.  It may be required by some jurisdictions that RTOs provide a percentile graded result for the purpose of regulator</w:t>
            </w:r>
            <w:r w:rsidRPr="00B07D54">
              <w:t>y or licensing requirements.</w:t>
            </w:r>
          </w:p>
          <w:p w:rsidR="00000000" w:rsidRPr="00B07D54" w:rsidP="00B07D54">
            <w:pPr>
              <w:pStyle w:val="ListBullet2"/>
            </w:pPr>
            <w:r w:rsidRPr="00B07D54">
              <w:t>Demonstrate an appropriate level of skills enabling employment</w:t>
            </w:r>
          </w:p>
          <w:p w:rsidR="00000000" w:rsidRPr="00B07D54" w:rsidP="00B07D54">
            <w:pPr>
              <w:pStyle w:val="ListBullet2"/>
            </w:pPr>
            <w:r w:rsidRPr="00B07D54">
              <w:t>Conduct work observing the relevant Anti Discrimination legislation, regulations, polices and workplace procedures</w:t>
            </w:r>
          </w:p>
          <w:p w:rsidR="00000000" w:rsidRPr="00B07D54" w:rsidP="00B07D54">
            <w:pPr>
              <w:pStyle w:val="ListBullet"/>
            </w:pPr>
            <w:r w:rsidRPr="00B07D54">
              <w:t>Demonstrated consistent performance across a rep</w:t>
            </w:r>
            <w:r w:rsidRPr="00B07D54">
              <w:t>resentative range of contexts from the prescribed items below:</w:t>
            </w:r>
          </w:p>
          <w:p w:rsidR="00000000" w:rsidP="00B07D54">
            <w:pPr>
              <w:pStyle w:val="ListBullet2"/>
              <w:rPr>
                <w:lang w:val="en-NZ"/>
              </w:rPr>
            </w:pPr>
            <w:r w:rsidRPr="00B07D54">
              <w:t>Fault find and repair telecommunication apparatus and systems as described in 8) and including:</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A</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Applying logical diagnostic methods.</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B</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Using fault scenarios to test the source of system faults.</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C</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Identifying faults and competency needed to rectify them.</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D</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Rectifying faults in system electronics.</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E</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Verifying that the system operates correctly.</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F</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Documenting fault rectification.</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5"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G</w:t>
            </w:r>
          </w:p>
        </w:tc>
        <w:tc>
          <w:tcPr>
            <w:tcW w:w="6604" w:type="dxa"/>
            <w:gridSpan w:val="2"/>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t>Dealing with unplanned events by drawing on essential knowledge and skills to provide appropriate solutions incorporated in a holistic assessment with the above listed items.</w:t>
            </w:r>
          </w:p>
        </w:tc>
      </w:tr>
      <w:tr w:rsidTr="00EB543A">
        <w:tblPrEx>
          <w:tblW w:w="11085" w:type="dxa"/>
          <w:tblLayout w:type="fixed"/>
          <w:tblCellMar>
            <w:left w:w="62" w:type="dxa"/>
            <w:right w:w="62" w:type="dxa"/>
          </w:tblCellMar>
          <w:tblLook w:val="0000"/>
        </w:tblPrEx>
        <w:tc>
          <w:tcPr>
            <w:tcW w:w="247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09" w:type="dxa"/>
            <w:gridSpan w:val="3"/>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 xml:space="preserve">Note: </w:t>
            </w:r>
            <w:r w:rsidRPr="00B07D54">
              <w:br/>
            </w:r>
            <w:r w:rsidRPr="00B07D54">
              <w:t>Successful completion of relevant vendor training may be used to contribute to evidence on which competency is deemed. In these cases the alignment of outcomes of vendor training with performance criteria and critical aspects of evidence shall be clearly i</w:t>
            </w:r>
            <w:r w:rsidRPr="00B07D54">
              <w:t>dentified.</w:t>
            </w:r>
          </w:p>
        </w:tc>
      </w:tr>
    </w:tbl>
    <w:p w:rsidR="00000000" w:rsidRPr="00B07D54" w:rsidP="00B07D54">
      <w:pPr>
        <w:pStyle w:val="BodyText"/>
      </w:pPr>
    </w:p>
    <w:tbl>
      <w:tblPr>
        <w:tblW w:w="0" w:type="auto"/>
        <w:tblLayout w:type="fixed"/>
        <w:tblCellMar>
          <w:left w:w="62" w:type="dxa"/>
          <w:right w:w="62" w:type="dxa"/>
        </w:tblCellMar>
        <w:tblLook w:val="0000"/>
      </w:tblPr>
      <w:tblGrid>
        <w:gridCol w:w="1890"/>
        <w:gridCol w:w="6570"/>
      </w:tblGrid>
      <w:tr w:rsidTr="00EB543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9.3)</w:t>
            </w:r>
          </w:p>
        </w:tc>
      </w:tr>
      <w:tr w:rsidTr="00EB543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This unit should be assessed as it relates to normal work practice using procedures, information and resources typical of a workplace. This should include:</w:t>
            </w:r>
          </w:p>
          <w:p w:rsidR="00000000" w:rsidRPr="00B07D54" w:rsidP="00B07D54">
            <w:pPr>
              <w:pStyle w:val="ListBullet"/>
            </w:pPr>
            <w:r w:rsidRPr="00B07D54">
              <w:t>OHS policy and work procedure</w:t>
            </w:r>
            <w:r w:rsidRPr="00B07D54">
              <w:t>s and instructions.</w:t>
            </w:r>
          </w:p>
          <w:p w:rsidR="00000000" w:rsidRPr="00B07D54" w:rsidP="00B07D54">
            <w:pPr>
              <w:pStyle w:val="ListBullet"/>
            </w:pPr>
            <w:r w:rsidRPr="00B07D54">
              <w:t>Suitable work environment, facilities, equipment and materials to undertake actual work as prescribed by this unit.</w:t>
            </w:r>
          </w:p>
          <w:p w:rsidR="00000000" w:rsidRPr="00B07D54" w:rsidP="00B07D54">
            <w:pPr>
              <w:pStyle w:val="BodyText"/>
            </w:pPr>
            <w:r w:rsidRPr="00B07D54">
              <w:t>These should be part of the formal learning/assessment environment.</w:t>
            </w:r>
          </w:p>
          <w:p w:rsidR="00000000" w:rsidRPr="00B07D54" w:rsidP="00B07D54">
            <w:pPr>
              <w:pStyle w:val="BodyText"/>
            </w:pPr>
            <w:r w:rsidRPr="00B07D54">
              <w:t>Note:</w:t>
            </w:r>
          </w:p>
          <w:p w:rsidR="00000000" w:rsidRPr="00B07D54" w:rsidP="00B07D54">
            <w:pPr>
              <w:pStyle w:val="BodyText"/>
            </w:pPr>
            <w:r w:rsidRPr="00B07D54">
              <w:t>Where simulation is considered a suitable strategy for assessment, conditions must be authentic and as far as possible reproduce and replicate the workplace and be consistent with the approved industry simulation policy.</w:t>
            </w:r>
          </w:p>
          <w:p w:rsidR="00000000" w:rsidRPr="00B07D54" w:rsidP="00B07D54">
            <w:pPr>
              <w:pStyle w:val="BodyText"/>
            </w:pPr>
            <w:r w:rsidRPr="00B07D54">
              <w:t>The resources used for assessment s</w:t>
            </w:r>
            <w:r w:rsidRPr="00B07D54">
              <w:t>hould reflect current industry practices in relation to diagnosing and rectifying faults in telecommunication apparatus and systems.</w:t>
            </w:r>
          </w:p>
        </w:tc>
      </w:tr>
    </w:tbl>
    <w:p w:rsidR="00000000" w:rsidRPr="00B07D54" w:rsidP="00B07D54">
      <w:pPr>
        <w:pStyle w:val="BodyText"/>
      </w:pPr>
    </w:p>
    <w:tbl>
      <w:tblPr>
        <w:tblW w:w="0" w:type="auto"/>
        <w:tblLayout w:type="fixed"/>
        <w:tblCellMar>
          <w:left w:w="62" w:type="dxa"/>
          <w:right w:w="62" w:type="dxa"/>
        </w:tblCellMar>
        <w:tblLook w:val="0000"/>
      </w:tblPr>
      <w:tblGrid>
        <w:gridCol w:w="1890"/>
        <w:gridCol w:w="6570"/>
      </w:tblGrid>
      <w:tr w:rsidTr="00EB54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9.4)</w:t>
            </w:r>
          </w:p>
        </w:tc>
      </w:tr>
      <w:tr w:rsidTr="00EB54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This unit shall be assessed by methods given in Volume 1, Part 3 ‘Assessment Guidelines’.</w:t>
            </w:r>
          </w:p>
          <w:p w:rsidR="00000000" w:rsidRPr="00B07D54" w:rsidP="00B07D54">
            <w:pPr>
              <w:pStyle w:val="BodyText"/>
            </w:pPr>
            <w:r w:rsidRPr="00B07D54">
              <w:t xml:space="preserve">Note: </w:t>
            </w:r>
          </w:p>
          <w:p w:rsidR="00000000" w:rsidRPr="00B07D54" w:rsidP="00B07D54">
            <w:pPr>
              <w:pStyle w:val="BodyText"/>
            </w:pPr>
            <w:r w:rsidRPr="00B07D54">
              <w:t>Competent performance with inherent safe working practices is expected in the industry to which this unit applies. This requires that the specified essential knowledge and associated skills are assessed in a structured environment which is primarily</w:t>
            </w:r>
            <w:r w:rsidRPr="00B07D54">
              <w:t xml:space="preserve"> intended for learning/assessment and incorporates all necessary equipment and facilities for learners to develop and demonstrate the essential knowledge and skills described in this unit.</w:t>
            </w:r>
          </w:p>
        </w:tc>
      </w:tr>
    </w:tbl>
    <w:p w:rsidR="00000000" w:rsidRPr="00B07D54" w:rsidP="00B07D54">
      <w:pPr>
        <w:pStyle w:val="BodyText"/>
      </w:pPr>
    </w:p>
    <w:tbl>
      <w:tblPr>
        <w:tblW w:w="0" w:type="auto"/>
        <w:tblLayout w:type="fixed"/>
        <w:tblCellMar>
          <w:left w:w="62" w:type="dxa"/>
          <w:right w:w="62" w:type="dxa"/>
        </w:tblCellMar>
        <w:tblLook w:val="0000"/>
      </w:tblPr>
      <w:tblGrid>
        <w:gridCol w:w="1890"/>
        <w:gridCol w:w="6570"/>
      </w:tblGrid>
      <w:tr w:rsidTr="00EB54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9.5)</w:t>
            </w:r>
          </w:p>
        </w:tc>
      </w:tr>
      <w:tr w:rsidTr="00EB54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Th</w:t>
            </w:r>
            <w:r w:rsidRPr="00B07D54">
              <w:t>ere are no concurrent assessment recommendations for this unit.</w:t>
            </w:r>
          </w:p>
          <w:p w:rsidR="00000000" w:rsidRPr="00B07D54" w:rsidP="00B07D54">
            <w:pPr>
              <w:pStyle w:val="BodyText"/>
            </w:pPr>
            <w:r w:rsidRPr="00B07D54">
              <w:t xml:space="preserve">The critical aspects of occupational health and safety covered in unit UEENEEE101A and other discipline specific occupational health and safety units shall be incorporated in relation to this </w:t>
            </w:r>
            <w:r w:rsidRPr="00B07D54">
              <w:t>unit.</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11" w:name="O_705621"/>
      <w:bookmarkEnd w:id="11"/>
      <w:r w:rsidRPr="00B07D54">
        <w:t>Range Statement</w:t>
      </w:r>
    </w:p>
    <w:tbl>
      <w:tblPr>
        <w:tblW w:w="0" w:type="auto"/>
        <w:tblLayout w:type="fixed"/>
        <w:tblCellMar>
          <w:left w:w="62" w:type="dxa"/>
          <w:right w:w="62" w:type="dxa"/>
        </w:tblCellMar>
        <w:tblLook w:val="0000"/>
      </w:tblPr>
      <w:tblGrid>
        <w:gridCol w:w="8460"/>
      </w:tblGrid>
      <w:tr w:rsidTr="00EB54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RANGE STATEMENT</w:t>
            </w:r>
          </w:p>
        </w:tc>
      </w:tr>
      <w:tr w:rsidTr="00EB54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10)</w:t>
            </w:r>
            <w:r w:rsidRPr="00B07D54">
              <w:t xml:space="preserve"> This relates to the unit as a whole providing the range of contexts and conditions to which </w:t>
            </w:r>
            <w:r w:rsidRPr="00B07D54">
              <w:t>the performance criteria apply. It allows for different work environments and situations that will affect performance.</w:t>
            </w:r>
          </w:p>
          <w:p w:rsidR="00000000" w:rsidRPr="00B07D54" w:rsidP="00B07D54">
            <w:pPr>
              <w:pStyle w:val="BodyText"/>
            </w:pPr>
            <w:r w:rsidRPr="00B07D54">
              <w:t>This unit shall be demonstrated by fault finding and repairing at least four faults system faults in a representative range of electronic</w:t>
            </w:r>
            <w:r w:rsidRPr="00B07D54">
              <w:t xml:space="preserve"> telecommunication apparatus and systems.</w:t>
            </w:r>
          </w:p>
          <w:p w:rsidR="00000000" w:rsidRPr="00B07D54" w:rsidP="00B07D54">
            <w:pPr>
              <w:pStyle w:val="BodyText"/>
            </w:pPr>
            <w:r w:rsidRPr="00B07D54">
              <w:t>Generic terms used throughout this Vocational Standard shall be regarded as part of the Range Statement in which competency is demonstrated. The definition of these and other terms that apply are given in Volume 2,</w:t>
            </w:r>
            <w:r w:rsidRPr="00B07D54">
              <w:t xml:space="preserve"> Part 2.1.</w:t>
            </w:r>
          </w:p>
        </w:tc>
      </w:tr>
    </w:tbl>
    <w:p w:rsidR="00000000" w:rsidRPr="00B07D54" w:rsidP="00B07D54">
      <w:pPr>
        <w:pStyle w:val="BodyText"/>
      </w:pPr>
    </w:p>
    <w:p w:rsidR="00000000" w:rsidRPr="00B07D54" w:rsidP="00B07D54">
      <w:pPr>
        <w:pStyle w:val="AllowPageBreak"/>
      </w:pPr>
    </w:p>
    <w:p w:rsidR="00000000" w:rsidRPr="00B07D54" w:rsidP="00B07D54">
      <w:pPr>
        <w:pStyle w:val="Heading1"/>
      </w:pPr>
      <w:bookmarkStart w:id="12" w:name="O_705620"/>
      <w:bookmarkEnd w:id="12"/>
      <w:r w:rsidRPr="00B07D54">
        <w:t>Unit Sector(s)</w:t>
      </w:r>
    </w:p>
    <w:p w:rsidR="00000000" w:rsidRPr="00B07D54" w:rsidP="00B07D54">
      <w:pPr>
        <w:pStyle w:val="BodyText"/>
      </w:pPr>
      <w:r w:rsidRPr="00B07D54">
        <w:t>Not applicable.</w:t>
      </w:r>
    </w:p>
    <w:p w:rsidR="00000000" w:rsidRPr="00B07D54" w:rsidP="00B07D54">
      <w:pPr>
        <w:pStyle w:val="AllowPageBreak"/>
      </w:pPr>
    </w:p>
    <w:p w:rsidR="00000000" w:rsidRPr="00B07D54" w:rsidP="00B07D54">
      <w:pPr>
        <w:pStyle w:val="Heading1"/>
      </w:pPr>
      <w:bookmarkStart w:id="13" w:name="O_705619"/>
      <w:bookmarkEnd w:id="13"/>
      <w:r w:rsidRPr="00B07D54">
        <w:t>Competency Field</w:t>
      </w:r>
    </w:p>
    <w:tbl>
      <w:tblPr>
        <w:tblW w:w="0" w:type="auto"/>
        <w:tblLayout w:type="fixed"/>
        <w:tblCellMar>
          <w:left w:w="62" w:type="dxa"/>
          <w:right w:w="62" w:type="dxa"/>
        </w:tblCellMar>
        <w:tblLook w:val="0000"/>
      </w:tblPr>
      <w:tblGrid>
        <w:gridCol w:w="2700"/>
        <w:gridCol w:w="5760"/>
      </w:tblGrid>
      <w:tr w:rsidTr="00EB54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7D54">
            <w:pPr>
              <w:pStyle w:val="BodyText"/>
              <w:rPr>
                <w:lang w:val="en-NZ"/>
              </w:rPr>
            </w:pPr>
            <w:r w:rsidRPr="00B07D54">
              <w:rPr>
                <w:rStyle w:val="SpecialBold"/>
              </w:rPr>
              <w:t xml:space="preserve">11) </w:t>
            </w:r>
          </w:p>
        </w:tc>
      </w:tr>
      <w:tr w:rsidTr="00EB54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7D54" w:rsidP="00B07D54">
            <w:pPr>
              <w:pStyle w:val="BodyText"/>
            </w:pPr>
            <w:r w:rsidRPr="00B07D54">
              <w:t>Electronics</w:t>
            </w:r>
          </w:p>
        </w:tc>
      </w:tr>
    </w:tbl>
    <w:p w:rsidR="00000000" w:rsidRPr="00B07D54" w:rsidP="00B07D54">
      <w:pPr>
        <w:pStyle w:val="BodyText"/>
      </w:pPr>
    </w:p>
    <w:p w:rsidR="00000000" w:rsidRPr="00B07D54" w:rsidP="00B07D54"/>
    <w:sectPr w:rsidSect="00B07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54" w:rsidRPr="00EB543A" w:rsidP="00EB5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3A" w:rsidP="00B07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B543A" w:rsidP="00B07D5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B543A" w:rsidP="00B07D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54" w:rsidRPr="00EB543A" w:rsidP="00EB54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3A" w:rsidRPr="002D2AF8" w:rsidP="00B07D54">
    <w:pPr>
      <w:pStyle w:val="Header"/>
      <w:framePr w:wrap="around"/>
    </w:pPr>
    <w:r>
      <w:fldChar w:fldCharType="begin"/>
    </w:r>
    <w:r>
      <w:instrText xml:space="preserve"> TITLE   \* MERGEFORMAT </w:instrText>
    </w:r>
    <w:r>
      <w:fldChar w:fldCharType="separate"/>
    </w:r>
    <w:r>
      <w:t>UEENEEH133A Fault find and repair telecommunication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B543A" w:rsidP="00B07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C20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84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88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D54"/>
    <w:pPr>
      <w:spacing w:before="360" w:after="60"/>
      <w:outlineLvl w:val="0"/>
    </w:pPr>
    <w:rPr>
      <w:sz w:val="32"/>
    </w:rPr>
  </w:style>
  <w:style w:type="paragraph" w:styleId="Heading2">
    <w:name w:val="heading 2"/>
    <w:basedOn w:val="HeadingBase"/>
    <w:next w:val="BodyText"/>
    <w:link w:val="Heading2Char"/>
    <w:qFormat/>
    <w:rsid w:val="00B07D54"/>
    <w:pPr>
      <w:keepLines/>
      <w:spacing w:before="240" w:after="120"/>
      <w:outlineLvl w:val="1"/>
    </w:pPr>
    <w:rPr>
      <w:sz w:val="28"/>
      <w:szCs w:val="40"/>
    </w:rPr>
  </w:style>
  <w:style w:type="paragraph" w:styleId="Heading3">
    <w:name w:val="heading 3"/>
    <w:basedOn w:val="HeadingBase"/>
    <w:next w:val="BodyText"/>
    <w:link w:val="Heading3Char"/>
    <w:qFormat/>
    <w:rsid w:val="00B07D54"/>
    <w:pPr>
      <w:spacing w:before="180" w:after="120"/>
      <w:outlineLvl w:val="2"/>
    </w:pPr>
    <w:rPr>
      <w:spacing w:val="-10"/>
      <w:kern w:val="32"/>
    </w:rPr>
  </w:style>
  <w:style w:type="paragraph" w:styleId="Heading4">
    <w:name w:val="heading 4"/>
    <w:basedOn w:val="HeadingBase"/>
    <w:next w:val="BodyText"/>
    <w:link w:val="Heading4Char"/>
    <w:qFormat/>
    <w:rsid w:val="00B07D54"/>
    <w:pPr>
      <w:spacing w:before="160" w:after="120"/>
      <w:outlineLvl w:val="3"/>
    </w:pPr>
    <w:rPr>
      <w:sz w:val="22"/>
    </w:rPr>
  </w:style>
  <w:style w:type="paragraph" w:styleId="Heading5">
    <w:name w:val="heading 5"/>
    <w:basedOn w:val="HeadingBase"/>
    <w:next w:val="Normal"/>
    <w:link w:val="Heading5Char"/>
    <w:qFormat/>
    <w:rsid w:val="00B07D54"/>
    <w:pPr>
      <w:spacing w:before="80"/>
      <w:outlineLvl w:val="4"/>
    </w:pPr>
    <w:rPr>
      <w:color w:val="918585"/>
      <w:sz w:val="20"/>
    </w:rPr>
  </w:style>
  <w:style w:type="paragraph" w:styleId="Heading6">
    <w:name w:val="heading 6"/>
    <w:basedOn w:val="HeadingBase"/>
    <w:next w:val="Normal"/>
    <w:link w:val="Heading6Char"/>
    <w:qFormat/>
    <w:rsid w:val="00B07D54"/>
    <w:pPr>
      <w:spacing w:before="60"/>
      <w:outlineLvl w:val="5"/>
    </w:pPr>
    <w:rPr>
      <w:color w:val="918585"/>
      <w:sz w:val="20"/>
    </w:rPr>
  </w:style>
  <w:style w:type="paragraph" w:styleId="Heading7">
    <w:name w:val="heading 7"/>
    <w:basedOn w:val="Normal"/>
    <w:next w:val="Normal"/>
    <w:link w:val="Heading7Char"/>
    <w:qFormat/>
    <w:rsid w:val="00B07D54"/>
    <w:pPr>
      <w:ind w:left="720"/>
      <w:outlineLvl w:val="6"/>
    </w:pPr>
    <w:rPr>
      <w:i/>
    </w:rPr>
  </w:style>
  <w:style w:type="paragraph" w:styleId="Heading8">
    <w:name w:val="heading 8"/>
    <w:basedOn w:val="Normal"/>
    <w:next w:val="Normal"/>
    <w:link w:val="Heading8Char"/>
    <w:qFormat/>
    <w:rsid w:val="00B07D54"/>
    <w:pPr>
      <w:ind w:left="720"/>
      <w:outlineLvl w:val="7"/>
    </w:pPr>
    <w:rPr>
      <w:i/>
    </w:rPr>
  </w:style>
  <w:style w:type="paragraph" w:styleId="Heading9">
    <w:name w:val="heading 9"/>
    <w:basedOn w:val="Normal"/>
    <w:next w:val="Normal"/>
    <w:link w:val="Heading9Char"/>
    <w:qFormat/>
    <w:rsid w:val="00B07D54"/>
    <w:pPr>
      <w:ind w:left="720"/>
      <w:outlineLvl w:val="8"/>
    </w:pPr>
    <w:rPr>
      <w:i/>
    </w:rPr>
  </w:style>
  <w:style w:type="character" w:default="1" w:styleId="DefaultParagraphFont">
    <w:name w:val="Default Paragraph Font"/>
    <w:uiPriority w:val="1"/>
    <w:unhideWhenUsed/>
    <w:rsid w:val="00B07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D54"/>
  </w:style>
  <w:style w:type="character" w:customStyle="1" w:styleId="Heading1Char">
    <w:name w:val="Heading 1 Char"/>
    <w:basedOn w:val="DefaultParagraphFont"/>
    <w:link w:val="Heading1"/>
    <w:rsid w:val="00B07D54"/>
    <w:rPr>
      <w:rFonts w:ascii="Times New Roman" w:eastAsia="Times New Roman" w:hAnsi="Times New Roman" w:cs="Times New Roman"/>
      <w:b/>
      <w:sz w:val="32"/>
      <w:szCs w:val="20"/>
      <w:lang w:eastAsia="en-US"/>
    </w:rPr>
  </w:style>
  <w:style w:type="paragraph" w:styleId="BodyText">
    <w:name w:val="Body Text"/>
    <w:basedOn w:val="Normal"/>
    <w:link w:val="BodyTextChar"/>
    <w:rsid w:val="00B07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D54"/>
    <w:rPr>
      <w:rFonts w:ascii="Times New Roman" w:eastAsia="Times New Roman" w:hAnsi="Times New Roman" w:cs="Times New Roman"/>
      <w:sz w:val="24"/>
      <w:lang w:eastAsia="en-US"/>
    </w:rPr>
  </w:style>
  <w:style w:type="paragraph" w:styleId="ListBullet">
    <w:name w:val="List Bullet"/>
    <w:basedOn w:val="List"/>
    <w:rsid w:val="00B07D54"/>
    <w:pPr>
      <w:numPr>
        <w:numId w:val="13"/>
      </w:numPr>
      <w:tabs>
        <w:tab w:val="clear" w:pos="340"/>
      </w:tabs>
      <w:spacing w:before="40" w:after="40"/>
    </w:pPr>
  </w:style>
  <w:style w:type="character" w:customStyle="1" w:styleId="SpecialBold">
    <w:name w:val="Special Bold"/>
    <w:basedOn w:val="DefaultParagraphFont"/>
    <w:rsid w:val="00B07D54"/>
    <w:rPr>
      <w:b/>
      <w:spacing w:val="0"/>
    </w:rPr>
  </w:style>
  <w:style w:type="paragraph" w:styleId="ListBullet2">
    <w:name w:val="List Bullet 2"/>
    <w:basedOn w:val="List2"/>
    <w:rsid w:val="00B07D54"/>
    <w:pPr>
      <w:numPr>
        <w:numId w:val="14"/>
      </w:numPr>
      <w:tabs>
        <w:tab w:val="clear" w:pos="680"/>
      </w:tabs>
    </w:pPr>
  </w:style>
  <w:style w:type="paragraph" w:customStyle="1" w:styleId="SuperHeading">
    <w:name w:val="SuperHeading"/>
    <w:basedOn w:val="Normal"/>
    <w:rsid w:val="00B07D54"/>
    <w:pPr>
      <w:spacing w:before="240" w:after="120"/>
      <w:outlineLvl w:val="0"/>
    </w:pPr>
    <w:rPr>
      <w:rFonts w:ascii="Times New Roman" w:hAnsi="Times New Roman"/>
      <w:b/>
      <w:sz w:val="32"/>
    </w:rPr>
  </w:style>
  <w:style w:type="paragraph" w:customStyle="1" w:styleId="AllowPageBreak">
    <w:name w:val="AllowPageBreak"/>
    <w:rsid w:val="00B07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D54"/>
    <w:rPr>
      <w:rFonts w:ascii="Courier New" w:eastAsia="Times New Roman" w:hAnsi="Courier New" w:cs="Times New Roman"/>
      <w:i/>
      <w:szCs w:val="20"/>
      <w:lang w:eastAsia="en-US"/>
    </w:rPr>
  </w:style>
  <w:style w:type="paragraph" w:customStyle="1" w:styleId="HeadingBase">
    <w:name w:val="Heading Base"/>
    <w:rsid w:val="00B07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D54"/>
    <w:pPr>
      <w:tabs>
        <w:tab w:val="right" w:leader="dot" w:pos="9072"/>
      </w:tabs>
      <w:ind w:left="567"/>
    </w:pPr>
    <w:rPr>
      <w:szCs w:val="22"/>
    </w:rPr>
  </w:style>
  <w:style w:type="paragraph" w:customStyle="1" w:styleId="TOCBase">
    <w:name w:val="TOC Base"/>
    <w:rsid w:val="00B07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D54"/>
    <w:pPr>
      <w:tabs>
        <w:tab w:val="right" w:leader="dot" w:pos="9072"/>
      </w:tabs>
      <w:spacing w:before="40" w:after="40"/>
      <w:ind w:left="284"/>
    </w:pPr>
    <w:rPr>
      <w:rFonts w:ascii="Times New Roman" w:hAnsi="Times New Roman"/>
    </w:rPr>
  </w:style>
  <w:style w:type="paragraph" w:styleId="TOC1">
    <w:name w:val="toc 1"/>
    <w:basedOn w:val="TOCBase"/>
    <w:next w:val="Normal"/>
    <w:rsid w:val="00B07D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D54"/>
    <w:rPr>
      <w:rFonts w:ascii="Times New Roman" w:eastAsia="Times New Roman" w:hAnsi="Times New Roman" w:cs="Times New Roman"/>
      <w:sz w:val="16"/>
      <w:lang w:eastAsia="en-US"/>
    </w:rPr>
  </w:style>
  <w:style w:type="paragraph" w:styleId="Title">
    <w:name w:val="Title"/>
    <w:basedOn w:val="HeadingBase"/>
    <w:link w:val="TitleChar"/>
    <w:qFormat/>
    <w:rsid w:val="00B07D54"/>
    <w:pPr>
      <w:spacing w:before="5040"/>
      <w:jc w:val="center"/>
    </w:pPr>
    <w:rPr>
      <w:sz w:val="48"/>
      <w:szCs w:val="72"/>
      <w:lang w:val="en-US"/>
    </w:rPr>
  </w:style>
  <w:style w:type="character" w:customStyle="1" w:styleId="TitleChar">
    <w:name w:val="Title Char"/>
    <w:basedOn w:val="DefaultParagraphFont"/>
    <w:link w:val="Title"/>
    <w:rsid w:val="00B07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D54"/>
    <w:pPr>
      <w:tabs>
        <w:tab w:val="left" w:pos="3600"/>
        <w:tab w:val="left" w:pos="3958"/>
      </w:tabs>
    </w:pPr>
  </w:style>
  <w:style w:type="paragraph" w:styleId="List">
    <w:name w:val="List"/>
    <w:basedOn w:val="BodyText"/>
    <w:next w:val="BodyText"/>
    <w:rsid w:val="00B07D54"/>
    <w:pPr>
      <w:tabs>
        <w:tab w:val="left" w:pos="340"/>
      </w:tabs>
      <w:spacing w:before="60" w:after="60"/>
      <w:ind w:left="340" w:hanging="340"/>
    </w:pPr>
  </w:style>
  <w:style w:type="paragraph" w:customStyle="1" w:styleId="Note">
    <w:name w:val="Note"/>
    <w:basedOn w:val="BodyText"/>
    <w:rsid w:val="00B07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D54"/>
    <w:pPr>
      <w:framePr w:wrap="auto" w:hAnchor="text" w:y="6049"/>
    </w:pPr>
    <w:rPr>
      <w:color w:val="000000"/>
      <w:sz w:val="40"/>
    </w:rPr>
  </w:style>
  <w:style w:type="paragraph" w:customStyle="1" w:styleId="TOCTitle">
    <w:name w:val="TOCTitle"/>
    <w:basedOn w:val="Heading1"/>
    <w:rsid w:val="00B07D54"/>
    <w:pPr>
      <w:spacing w:after="240"/>
      <w:jc w:val="center"/>
      <w:outlineLvl w:val="9"/>
    </w:pPr>
    <w:rPr>
      <w:caps/>
    </w:rPr>
  </w:style>
  <w:style w:type="paragraph" w:customStyle="1" w:styleId="Version">
    <w:name w:val="Version"/>
    <w:rsid w:val="00B07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D54"/>
    <w:pPr>
      <w:keepNext w:val="0"/>
      <w:tabs>
        <w:tab w:val="right" w:pos="4176"/>
      </w:tabs>
      <w:ind w:left="198" w:hanging="198"/>
    </w:pPr>
    <w:rPr>
      <w:rFonts w:ascii="Garamond" w:hAnsi="Garamond"/>
    </w:rPr>
  </w:style>
  <w:style w:type="paragraph" w:styleId="IndexHeading">
    <w:name w:val="index heading"/>
    <w:basedOn w:val="Normal"/>
    <w:next w:val="Index1"/>
    <w:semiHidden/>
    <w:rsid w:val="00B07D54"/>
    <w:pPr>
      <w:spacing w:before="120" w:after="120"/>
    </w:pPr>
    <w:rPr>
      <w:rFonts w:ascii="Arial" w:hAnsi="Arial"/>
      <w:b/>
      <w:color w:val="918585"/>
      <w:sz w:val="24"/>
    </w:rPr>
  </w:style>
  <w:style w:type="paragraph" w:styleId="Header">
    <w:name w:val="header"/>
    <w:basedOn w:val="Normal"/>
    <w:link w:val="HeaderChar"/>
    <w:rsid w:val="00B07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D54"/>
    <w:rPr>
      <w:rFonts w:ascii="Times New Roman" w:eastAsia="Times New Roman" w:hAnsi="Times New Roman" w:cs="Times New Roman"/>
      <w:sz w:val="16"/>
      <w:szCs w:val="20"/>
      <w:lang w:val="en-GB" w:eastAsia="en-US"/>
    </w:rPr>
  </w:style>
  <w:style w:type="paragraph" w:customStyle="1" w:styleId="Chapter">
    <w:name w:val="Chapter"/>
    <w:basedOn w:val="Normal"/>
    <w:rsid w:val="00B07D54"/>
    <w:pPr>
      <w:spacing w:before="240"/>
    </w:pPr>
    <w:rPr>
      <w:rFonts w:ascii="Times New Roman" w:hAnsi="Times New Roman"/>
      <w:smallCaps/>
      <w:spacing w:val="80"/>
      <w:sz w:val="28"/>
    </w:rPr>
  </w:style>
  <w:style w:type="paragraph" w:customStyle="1" w:styleId="InChapter">
    <w:name w:val="InChapter"/>
    <w:basedOn w:val="Heading3"/>
    <w:rsid w:val="00B07D54"/>
    <w:pPr>
      <w:spacing w:after="240"/>
      <w:outlineLvl w:val="9"/>
    </w:pPr>
    <w:rPr>
      <w:noProof/>
    </w:rPr>
  </w:style>
  <w:style w:type="paragraph" w:styleId="Index2">
    <w:name w:val="index 2"/>
    <w:basedOn w:val="Normal"/>
    <w:next w:val="Normal"/>
    <w:semiHidden/>
    <w:rsid w:val="00B07D54"/>
    <w:pPr>
      <w:tabs>
        <w:tab w:val="right" w:pos="4176"/>
      </w:tabs>
      <w:ind w:left="568" w:hanging="284"/>
    </w:pPr>
    <w:rPr>
      <w:rFonts w:ascii="Garamond" w:hAnsi="Garamond"/>
    </w:rPr>
  </w:style>
  <w:style w:type="paragraph" w:customStyle="1" w:styleId="Byline">
    <w:name w:val="Byline"/>
    <w:rsid w:val="00B07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D54"/>
    <w:pPr>
      <w:tabs>
        <w:tab w:val="clear" w:pos="3600"/>
        <w:tab w:val="clear" w:pos="3958"/>
      </w:tabs>
      <w:jc w:val="right"/>
    </w:pPr>
  </w:style>
  <w:style w:type="character" w:styleId="Emphasis">
    <w:name w:val="Emphasis"/>
    <w:basedOn w:val="DefaultParagraphFont"/>
    <w:qFormat/>
    <w:rsid w:val="00B07D54"/>
    <w:rPr>
      <w:i/>
    </w:rPr>
  </w:style>
  <w:style w:type="paragraph" w:styleId="Caption">
    <w:name w:val="caption"/>
    <w:basedOn w:val="BodyText"/>
    <w:next w:val="Normal"/>
    <w:qFormat/>
    <w:rsid w:val="00B07D54"/>
    <w:pPr>
      <w:framePr w:w="2268" w:hSpace="181" w:vSpace="181" w:wrap="around" w:vAnchor="text" w:hAnchor="page" w:x="1135" w:y="285" w:anchorLock="1"/>
    </w:pPr>
    <w:rPr>
      <w:i/>
    </w:rPr>
  </w:style>
  <w:style w:type="paragraph" w:customStyle="1" w:styleId="MiniTOCTitle">
    <w:name w:val="MiniTOCTitle"/>
    <w:basedOn w:val="Heading4"/>
    <w:rsid w:val="00B07D54"/>
    <w:pPr>
      <w:spacing w:before="240"/>
      <w:outlineLvl w:val="9"/>
    </w:pPr>
    <w:rPr>
      <w:noProof/>
      <w:sz w:val="24"/>
    </w:rPr>
  </w:style>
  <w:style w:type="paragraph" w:customStyle="1" w:styleId="MiniTOCItem">
    <w:name w:val="MiniTOCItem"/>
    <w:basedOn w:val="ListBullet"/>
    <w:rsid w:val="00B07D54"/>
    <w:pPr>
      <w:numPr>
        <w:numId w:val="0"/>
      </w:numPr>
      <w:tabs>
        <w:tab w:val="right" w:leader="dot" w:pos="6521"/>
      </w:tabs>
      <w:spacing w:before="0" w:after="0"/>
    </w:pPr>
  </w:style>
  <w:style w:type="paragraph" w:customStyle="1" w:styleId="TOFTitle">
    <w:name w:val="TOFTitle"/>
    <w:basedOn w:val="TOCTitle"/>
    <w:rsid w:val="00B07D54"/>
  </w:style>
  <w:style w:type="paragraph" w:styleId="TableofFigures">
    <w:name w:val="table of figures"/>
    <w:basedOn w:val="Normal"/>
    <w:next w:val="Normal"/>
    <w:semiHidden/>
    <w:rsid w:val="00B07D54"/>
    <w:pPr>
      <w:tabs>
        <w:tab w:val="right" w:leader="dot" w:pos="9072"/>
      </w:tabs>
      <w:ind w:left="970" w:hanging="403"/>
    </w:pPr>
    <w:rPr>
      <w:rFonts w:ascii="Times New Roman" w:hAnsi="Times New Roman"/>
      <w:b/>
    </w:rPr>
  </w:style>
  <w:style w:type="paragraph" w:styleId="ListNumber">
    <w:name w:val="List Number"/>
    <w:basedOn w:val="List"/>
    <w:rsid w:val="00B07D54"/>
    <w:pPr>
      <w:numPr>
        <w:numId w:val="11"/>
      </w:numPr>
    </w:pPr>
  </w:style>
  <w:style w:type="character" w:customStyle="1" w:styleId="WingdingSymbols">
    <w:name w:val="Wingding Symbols"/>
    <w:rsid w:val="00B07D54"/>
    <w:rPr>
      <w:rFonts w:ascii="Wingdings" w:hAnsi="Wingdings"/>
    </w:rPr>
  </w:style>
  <w:style w:type="paragraph" w:customStyle="1" w:styleId="TableHeading">
    <w:name w:val="Table Heading"/>
    <w:basedOn w:val="HeadingBase"/>
    <w:rsid w:val="00B07D54"/>
    <w:pPr>
      <w:keepLines/>
      <w:pBdr>
        <w:bottom w:val="single" w:sz="6" w:space="1" w:color="918585"/>
      </w:pBdr>
      <w:spacing w:before="240"/>
    </w:pPr>
  </w:style>
  <w:style w:type="character" w:customStyle="1" w:styleId="HotSpot">
    <w:name w:val="HotSpot"/>
    <w:rsid w:val="00B07D54"/>
    <w:rPr>
      <w:color w:val="0033CC"/>
      <w:u w:val="none"/>
    </w:rPr>
  </w:style>
  <w:style w:type="paragraph" w:customStyle="1" w:styleId="BodyTextRight">
    <w:name w:val="Body Text Right"/>
    <w:basedOn w:val="BodyText"/>
    <w:rsid w:val="00B07D54"/>
    <w:pPr>
      <w:spacing w:before="0" w:after="0"/>
      <w:jc w:val="right"/>
    </w:pPr>
  </w:style>
  <w:style w:type="paragraph" w:styleId="Index3">
    <w:name w:val="index 3"/>
    <w:basedOn w:val="ListNumber2"/>
    <w:next w:val="Normal"/>
    <w:semiHidden/>
    <w:rsid w:val="00B07D54"/>
    <w:pPr>
      <w:numPr>
        <w:numId w:val="0"/>
      </w:numPr>
      <w:tabs>
        <w:tab w:val="right" w:leader="dot" w:pos="4176"/>
      </w:tabs>
    </w:pPr>
  </w:style>
  <w:style w:type="paragraph" w:styleId="ListNumber2">
    <w:name w:val="List Number 2"/>
    <w:basedOn w:val="List2"/>
    <w:rsid w:val="00B07D54"/>
    <w:pPr>
      <w:numPr>
        <w:numId w:val="10"/>
      </w:numPr>
      <w:tabs>
        <w:tab w:val="clear" w:pos="1060"/>
      </w:tabs>
    </w:pPr>
  </w:style>
  <w:style w:type="paragraph" w:customStyle="1" w:styleId="MarginNote">
    <w:name w:val="Margin Note"/>
    <w:basedOn w:val="BodyText"/>
    <w:rsid w:val="00B07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D54"/>
    <w:rPr>
      <w:sz w:val="32"/>
    </w:rPr>
  </w:style>
  <w:style w:type="paragraph" w:customStyle="1" w:styleId="HeadingProcedure">
    <w:name w:val="Heading Procedure"/>
    <w:basedOn w:val="HeadingBase"/>
    <w:next w:val="Normal"/>
    <w:rsid w:val="00B07D54"/>
    <w:pPr>
      <w:tabs>
        <w:tab w:val="left" w:pos="0"/>
      </w:tabs>
      <w:spacing w:before="120" w:after="60"/>
    </w:pPr>
    <w:rPr>
      <w:i/>
      <w:color w:val="918585"/>
      <w:sz w:val="22"/>
    </w:rPr>
  </w:style>
  <w:style w:type="paragraph" w:customStyle="1" w:styleId="TableBodyText">
    <w:name w:val="Table Body Text"/>
    <w:basedOn w:val="BodyText"/>
    <w:rsid w:val="00B07D54"/>
    <w:pPr>
      <w:spacing w:before="60" w:after="60"/>
    </w:pPr>
  </w:style>
  <w:style w:type="paragraph" w:styleId="ListContinue">
    <w:name w:val="List Continue"/>
    <w:basedOn w:val="List"/>
    <w:rsid w:val="00B07D54"/>
    <w:pPr>
      <w:ind w:firstLine="0"/>
    </w:pPr>
  </w:style>
  <w:style w:type="paragraph" w:customStyle="1" w:styleId="ListNote">
    <w:name w:val="List Note"/>
    <w:basedOn w:val="List"/>
    <w:rsid w:val="00B07D54"/>
    <w:pPr>
      <w:pBdr>
        <w:top w:val="single" w:sz="6" w:space="2" w:color="918585"/>
        <w:bottom w:val="single" w:sz="6" w:space="2" w:color="918585"/>
      </w:pBdr>
      <w:tabs>
        <w:tab w:val="left" w:pos="1021"/>
      </w:tabs>
      <w:ind w:firstLine="0"/>
    </w:pPr>
  </w:style>
  <w:style w:type="paragraph" w:customStyle="1" w:styleId="Warning">
    <w:name w:val="Warning"/>
    <w:basedOn w:val="BodyText"/>
    <w:rsid w:val="00B07D54"/>
    <w:pPr>
      <w:shd w:val="clear" w:color="auto" w:fill="D9D9D9"/>
      <w:tabs>
        <w:tab w:val="left" w:pos="992"/>
      </w:tabs>
      <w:ind w:left="119" w:right="119"/>
    </w:pPr>
    <w:rPr>
      <w:sz w:val="20"/>
    </w:rPr>
  </w:style>
  <w:style w:type="paragraph" w:customStyle="1" w:styleId="MarginIcons">
    <w:name w:val="Margin Icons"/>
    <w:basedOn w:val="BodyText"/>
    <w:rsid w:val="00B07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D54"/>
    <w:rPr>
      <w:rFonts w:ascii="Courier New" w:hAnsi="Courier New"/>
    </w:rPr>
  </w:style>
  <w:style w:type="paragraph" w:customStyle="1" w:styleId="NoteBullet">
    <w:name w:val="Note Bullet"/>
    <w:basedOn w:val="Note"/>
    <w:rsid w:val="00B07D54"/>
    <w:pPr>
      <w:tabs>
        <w:tab w:val="clear" w:pos="680"/>
      </w:tabs>
      <w:spacing w:before="60" w:after="60"/>
    </w:pPr>
  </w:style>
  <w:style w:type="paragraph" w:customStyle="1" w:styleId="SubHeading2">
    <w:name w:val="SubHeading2"/>
    <w:basedOn w:val="HeadingBase"/>
    <w:rsid w:val="00B07D54"/>
    <w:pPr>
      <w:spacing w:before="240" w:after="60"/>
    </w:pPr>
    <w:rPr>
      <w:sz w:val="20"/>
    </w:rPr>
  </w:style>
  <w:style w:type="paragraph" w:customStyle="1" w:styleId="SubHeading1">
    <w:name w:val="SubHeading1"/>
    <w:basedOn w:val="HeadingBase"/>
    <w:rsid w:val="00B07D54"/>
    <w:pPr>
      <w:spacing w:before="240" w:after="60"/>
    </w:pPr>
    <w:rPr>
      <w:color w:val="918585"/>
      <w:sz w:val="22"/>
    </w:rPr>
  </w:style>
  <w:style w:type="paragraph" w:customStyle="1" w:styleId="SideHeading">
    <w:name w:val="Side Heading"/>
    <w:basedOn w:val="HeadingBase"/>
    <w:rsid w:val="00B07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D54"/>
    <w:pPr>
      <w:numPr>
        <w:numId w:val="12"/>
      </w:numPr>
    </w:pPr>
  </w:style>
  <w:style w:type="paragraph" w:styleId="PlainText">
    <w:name w:val="Plain Text"/>
    <w:basedOn w:val="Normal"/>
    <w:link w:val="PlainTextChar"/>
    <w:rsid w:val="00B07D54"/>
    <w:rPr>
      <w:sz w:val="20"/>
    </w:rPr>
  </w:style>
  <w:style w:type="character" w:customStyle="1" w:styleId="PlainTextChar">
    <w:name w:val="Plain Text Char"/>
    <w:basedOn w:val="DefaultParagraphFont"/>
    <w:link w:val="PlainText"/>
    <w:rsid w:val="00B07D54"/>
    <w:rPr>
      <w:rFonts w:ascii="Courier New" w:eastAsia="Times New Roman" w:hAnsi="Courier New" w:cs="Times New Roman"/>
      <w:sz w:val="20"/>
      <w:szCs w:val="20"/>
      <w:lang w:eastAsia="en-US"/>
    </w:rPr>
  </w:style>
  <w:style w:type="character" w:customStyle="1" w:styleId="MenuOption">
    <w:name w:val="Menu Option"/>
    <w:basedOn w:val="DefaultParagraphFont"/>
    <w:rsid w:val="00B07D54"/>
    <w:rPr>
      <w:b/>
      <w:smallCaps/>
    </w:rPr>
  </w:style>
  <w:style w:type="paragraph" w:customStyle="1" w:styleId="TableListNumber">
    <w:name w:val="Table List Number"/>
    <w:basedOn w:val="ListNumber"/>
    <w:rsid w:val="00B07D54"/>
    <w:pPr>
      <w:numPr>
        <w:numId w:val="0"/>
      </w:numPr>
    </w:pPr>
  </w:style>
  <w:style w:type="paragraph" w:styleId="TOC4">
    <w:name w:val="toc 4"/>
    <w:basedOn w:val="TOCBase"/>
    <w:next w:val="Normal"/>
    <w:semiHidden/>
    <w:rsid w:val="00B07D54"/>
    <w:pPr>
      <w:tabs>
        <w:tab w:val="right" w:leader="dot" w:pos="9071"/>
      </w:tabs>
      <w:ind w:left="1701"/>
    </w:pPr>
  </w:style>
  <w:style w:type="paragraph" w:customStyle="1" w:styleId="ListAlpha">
    <w:name w:val="List Alpha"/>
    <w:basedOn w:val="List"/>
    <w:rsid w:val="00B07D54"/>
    <w:pPr>
      <w:numPr>
        <w:numId w:val="9"/>
      </w:numPr>
    </w:pPr>
  </w:style>
  <w:style w:type="paragraph" w:customStyle="1" w:styleId="ListAlpha2">
    <w:name w:val="List Alpha 2"/>
    <w:basedOn w:val="List2"/>
    <w:rsid w:val="00B07D54"/>
    <w:pPr>
      <w:numPr>
        <w:numId w:val="8"/>
      </w:numPr>
    </w:pPr>
  </w:style>
  <w:style w:type="paragraph" w:styleId="List2">
    <w:name w:val="List 2"/>
    <w:basedOn w:val="BodyText"/>
    <w:rsid w:val="00B07D54"/>
    <w:pPr>
      <w:tabs>
        <w:tab w:val="left" w:pos="680"/>
      </w:tabs>
      <w:spacing w:before="60" w:after="60"/>
      <w:ind w:left="680" w:hanging="340"/>
    </w:pPr>
  </w:style>
  <w:style w:type="paragraph" w:styleId="List3">
    <w:name w:val="List 3"/>
    <w:basedOn w:val="BodyText"/>
    <w:rsid w:val="00B07D54"/>
    <w:pPr>
      <w:tabs>
        <w:tab w:val="left" w:pos="1021"/>
      </w:tabs>
      <w:spacing w:before="60" w:after="60"/>
      <w:ind w:left="1020" w:hanging="340"/>
    </w:pPr>
  </w:style>
  <w:style w:type="paragraph" w:styleId="List4">
    <w:name w:val="List 4"/>
    <w:basedOn w:val="BodyText"/>
    <w:rsid w:val="00B07D54"/>
    <w:pPr>
      <w:tabs>
        <w:tab w:val="left" w:pos="1361"/>
      </w:tabs>
      <w:spacing w:before="60" w:after="60"/>
      <w:ind w:left="1361" w:hanging="340"/>
    </w:pPr>
  </w:style>
  <w:style w:type="paragraph" w:styleId="List5">
    <w:name w:val="List 5"/>
    <w:basedOn w:val="BodyText"/>
    <w:rsid w:val="00B07D54"/>
    <w:pPr>
      <w:tabs>
        <w:tab w:val="left" w:pos="1701"/>
      </w:tabs>
      <w:spacing w:before="60" w:after="60"/>
      <w:ind w:left="1701" w:hanging="340"/>
    </w:pPr>
  </w:style>
  <w:style w:type="paragraph" w:styleId="ListBullet3">
    <w:name w:val="List Bullet 3"/>
    <w:basedOn w:val="List3"/>
    <w:rsid w:val="00B07D54"/>
    <w:pPr>
      <w:numPr>
        <w:numId w:val="15"/>
      </w:numPr>
      <w:tabs>
        <w:tab w:val="clear" w:pos="1021"/>
      </w:tabs>
      <w:ind w:left="1037" w:hanging="357"/>
    </w:pPr>
  </w:style>
  <w:style w:type="paragraph" w:styleId="ListBullet4">
    <w:name w:val="List Bullet 4"/>
    <w:basedOn w:val="List4"/>
    <w:rsid w:val="00B07D54"/>
    <w:pPr>
      <w:numPr>
        <w:numId w:val="3"/>
      </w:numPr>
      <w:tabs>
        <w:tab w:val="clear" w:pos="1361"/>
      </w:tabs>
    </w:pPr>
  </w:style>
  <w:style w:type="paragraph" w:styleId="ListBullet5">
    <w:name w:val="List Bullet 5"/>
    <w:basedOn w:val="List5"/>
    <w:rsid w:val="00B07D54"/>
    <w:pPr>
      <w:numPr>
        <w:numId w:val="4"/>
      </w:numPr>
    </w:pPr>
  </w:style>
  <w:style w:type="paragraph" w:styleId="ListContinue2">
    <w:name w:val="List Continue 2"/>
    <w:basedOn w:val="List2"/>
    <w:rsid w:val="00B07D54"/>
    <w:pPr>
      <w:ind w:firstLine="0"/>
    </w:pPr>
  </w:style>
  <w:style w:type="paragraph" w:styleId="ListContinue3">
    <w:name w:val="List Continue 3"/>
    <w:basedOn w:val="List3"/>
    <w:rsid w:val="00B07D54"/>
    <w:pPr>
      <w:ind w:left="1021" w:firstLine="0"/>
    </w:pPr>
  </w:style>
  <w:style w:type="paragraph" w:styleId="ListContinue4">
    <w:name w:val="List Continue 4"/>
    <w:basedOn w:val="List4"/>
    <w:rsid w:val="00B07D54"/>
    <w:pPr>
      <w:ind w:firstLine="0"/>
    </w:pPr>
  </w:style>
  <w:style w:type="paragraph" w:styleId="ListContinue5">
    <w:name w:val="List Continue 5"/>
    <w:basedOn w:val="List5"/>
    <w:rsid w:val="00B07D54"/>
    <w:pPr>
      <w:ind w:firstLine="0"/>
    </w:pPr>
  </w:style>
  <w:style w:type="paragraph" w:styleId="ListNumber3">
    <w:name w:val="List Number 3"/>
    <w:basedOn w:val="List3"/>
    <w:rsid w:val="00B07D54"/>
    <w:pPr>
      <w:numPr>
        <w:numId w:val="5"/>
      </w:numPr>
    </w:pPr>
  </w:style>
  <w:style w:type="paragraph" w:styleId="ListNumber4">
    <w:name w:val="List Number 4"/>
    <w:basedOn w:val="List4"/>
    <w:rsid w:val="00B07D54"/>
    <w:pPr>
      <w:numPr>
        <w:numId w:val="6"/>
      </w:numPr>
    </w:pPr>
  </w:style>
  <w:style w:type="paragraph" w:styleId="ListNumber5">
    <w:name w:val="List Number 5"/>
    <w:basedOn w:val="List5"/>
    <w:rsid w:val="00B07D54"/>
    <w:pPr>
      <w:numPr>
        <w:numId w:val="7"/>
      </w:numPr>
    </w:pPr>
  </w:style>
  <w:style w:type="paragraph" w:styleId="BlockText">
    <w:name w:val="Block Text"/>
    <w:basedOn w:val="Normal"/>
    <w:rsid w:val="00B07D54"/>
    <w:pPr>
      <w:spacing w:after="120"/>
      <w:ind w:left="1440" w:right="1440"/>
    </w:pPr>
  </w:style>
  <w:style w:type="character" w:customStyle="1" w:styleId="Subscript">
    <w:name w:val="Subscript"/>
    <w:basedOn w:val="DefaultParagraphFont"/>
    <w:rsid w:val="00B07D54"/>
    <w:rPr>
      <w:sz w:val="16"/>
      <w:vertAlign w:val="subscript"/>
    </w:rPr>
  </w:style>
  <w:style w:type="character" w:customStyle="1" w:styleId="Superscript">
    <w:name w:val="Superscript"/>
    <w:basedOn w:val="DefaultParagraphFont"/>
    <w:rsid w:val="00B07D54"/>
    <w:rPr>
      <w:sz w:val="16"/>
      <w:vertAlign w:val="superscript"/>
    </w:rPr>
  </w:style>
  <w:style w:type="character" w:customStyle="1" w:styleId="Symbols">
    <w:name w:val="Symbols"/>
    <w:basedOn w:val="DefaultParagraphFont"/>
    <w:rsid w:val="00B07D54"/>
    <w:rPr>
      <w:rFonts w:ascii="Symbol" w:hAnsi="Symbol"/>
    </w:rPr>
  </w:style>
  <w:style w:type="character" w:customStyle="1" w:styleId="MenuOptions">
    <w:name w:val="Menu Options"/>
    <w:basedOn w:val="DefaultParagraphFont"/>
    <w:rsid w:val="00B07D54"/>
    <w:rPr>
      <w:rFonts w:ascii="Arial Narrow" w:hAnsi="Arial Narrow"/>
      <w:smallCaps/>
    </w:rPr>
  </w:style>
  <w:style w:type="character" w:customStyle="1" w:styleId="Buttons">
    <w:name w:val="Buttons"/>
    <w:basedOn w:val="DefaultParagraphFont"/>
    <w:rsid w:val="00B07D54"/>
    <w:rPr>
      <w:b/>
    </w:rPr>
  </w:style>
  <w:style w:type="character" w:customStyle="1" w:styleId="Underlined">
    <w:name w:val="Underlined"/>
    <w:basedOn w:val="DefaultParagraphFont"/>
    <w:rsid w:val="00B07D54"/>
    <w:rPr>
      <w:u w:val="single"/>
    </w:rPr>
  </w:style>
  <w:style w:type="paragraph" w:customStyle="1" w:styleId="TableBodyTextRight">
    <w:name w:val="Table Body Text Right"/>
    <w:basedOn w:val="TableBodyText"/>
    <w:rsid w:val="00B07D54"/>
    <w:pPr>
      <w:widowControl w:val="0"/>
      <w:autoSpaceDE w:val="0"/>
      <w:autoSpaceDN w:val="0"/>
      <w:adjustRightInd w:val="0"/>
      <w:jc w:val="right"/>
    </w:pPr>
    <w:rPr>
      <w:rFonts w:cs="Arial"/>
      <w:szCs w:val="18"/>
    </w:rPr>
  </w:style>
  <w:style w:type="paragraph" w:customStyle="1" w:styleId="CopyrightText">
    <w:name w:val="Copyright Text"/>
    <w:basedOn w:val="BodyText"/>
    <w:rsid w:val="00B07D54"/>
    <w:rPr>
      <w:sz w:val="18"/>
    </w:rPr>
  </w:style>
  <w:style w:type="paragraph" w:customStyle="1" w:styleId="BodySmallRight">
    <w:name w:val="Body Small Right"/>
    <w:basedOn w:val="BodyTextRight"/>
    <w:rsid w:val="00B07D54"/>
    <w:rPr>
      <w:sz w:val="18"/>
      <w:szCs w:val="18"/>
    </w:rPr>
  </w:style>
  <w:style w:type="paragraph" w:customStyle="1" w:styleId="MarginEdition">
    <w:name w:val="Margin Edition"/>
    <w:basedOn w:val="MarginNote"/>
    <w:rsid w:val="00B07D54"/>
    <w:pPr>
      <w:spacing w:before="0" w:after="0"/>
    </w:pPr>
    <w:rPr>
      <w:rFonts w:ascii="Times New Roman" w:hAnsi="Times New Roman"/>
      <w:color w:val="999999"/>
    </w:rPr>
  </w:style>
  <w:style w:type="paragraph" w:customStyle="1" w:styleId="Spacer">
    <w:name w:val="Spacer"/>
    <w:basedOn w:val="Normal"/>
    <w:rsid w:val="00B07D54"/>
    <w:rPr>
      <w:sz w:val="2"/>
      <w:szCs w:val="2"/>
    </w:rPr>
  </w:style>
  <w:style w:type="character" w:customStyle="1" w:styleId="Small">
    <w:name w:val="Small"/>
    <w:basedOn w:val="DefaultParagraphFont"/>
    <w:rsid w:val="00B07D54"/>
    <w:rPr>
      <w:sz w:val="16"/>
    </w:rPr>
  </w:style>
  <w:style w:type="paragraph" w:customStyle="1" w:styleId="WideTable">
    <w:name w:val="Wide Table"/>
    <w:basedOn w:val="Normal"/>
    <w:rsid w:val="00B07D54"/>
    <w:pPr>
      <w:ind w:left="-1418"/>
    </w:pPr>
    <w:rPr>
      <w:sz w:val="2"/>
      <w:szCs w:val="2"/>
    </w:rPr>
  </w:style>
  <w:style w:type="character" w:styleId="PageNumber">
    <w:name w:val="page number"/>
    <w:basedOn w:val="DefaultParagraphFont"/>
    <w:rsid w:val="00B07D54"/>
  </w:style>
  <w:style w:type="paragraph" w:styleId="Quote">
    <w:name w:val="Quote"/>
    <w:basedOn w:val="Heading1"/>
    <w:link w:val="QuoteChar"/>
    <w:qFormat/>
    <w:rsid w:val="00B07D54"/>
    <w:rPr>
      <w:b w:val="0"/>
      <w:sz w:val="72"/>
      <w:szCs w:val="72"/>
      <w:lang w:val="en-NZ"/>
    </w:rPr>
  </w:style>
  <w:style w:type="character" w:customStyle="1" w:styleId="QuoteChar">
    <w:name w:val="Quote Char"/>
    <w:basedOn w:val="DefaultParagraphFont"/>
    <w:link w:val="Quote"/>
    <w:rsid w:val="00B07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D54"/>
    <w:pPr>
      <w:pageBreakBefore/>
    </w:pPr>
  </w:style>
  <w:style w:type="paragraph" w:customStyle="1" w:styleId="Border">
    <w:name w:val="Border"/>
    <w:basedOn w:val="Normal"/>
    <w:qFormat/>
    <w:rsid w:val="00B07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D54"/>
    <w:rPr>
      <w:b/>
      <w:bCs/>
      <w:i/>
      <w:iCs/>
      <w:color w:val="auto"/>
    </w:rPr>
  </w:style>
  <w:style w:type="paragraph" w:styleId="IntenseQuote">
    <w:name w:val="Intense Quote"/>
    <w:basedOn w:val="Normal"/>
    <w:next w:val="Normal"/>
    <w:link w:val="IntenseQuoteChar"/>
    <w:uiPriority w:val="30"/>
    <w:qFormat/>
    <w:rsid w:val="00B07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D54"/>
    <w:rPr>
      <w:smallCaps/>
      <w:color w:val="auto"/>
      <w:u w:val="single"/>
    </w:rPr>
  </w:style>
  <w:style w:type="character" w:styleId="IntenseReference">
    <w:name w:val="Intense Reference"/>
    <w:basedOn w:val="DefaultParagraphFont"/>
    <w:uiPriority w:val="32"/>
    <w:qFormat/>
    <w:rsid w:val="00B07D54"/>
    <w:rPr>
      <w:b/>
      <w:bCs/>
      <w:smallCaps/>
      <w:color w:val="auto"/>
      <w:spacing w:val="5"/>
      <w:u w:val="single"/>
    </w:rPr>
  </w:style>
  <w:style w:type="paragraph" w:customStyle="1" w:styleId="2ColumnHeading">
    <w:name w:val="2Column Heading"/>
    <w:basedOn w:val="BodyText"/>
    <w:qFormat/>
    <w:rsid w:val="00B07D54"/>
    <w:pPr>
      <w:spacing w:after="60"/>
      <w:ind w:left="-2268"/>
    </w:pPr>
    <w:rPr>
      <w:b/>
    </w:rPr>
  </w:style>
  <w:style w:type="paragraph" w:customStyle="1" w:styleId="Heading1TOC">
    <w:name w:val="Heading1 TOC"/>
    <w:basedOn w:val="Normal"/>
    <w:qFormat/>
    <w:rsid w:val="00B07D54"/>
    <w:pPr>
      <w:spacing w:before="240" w:after="120"/>
    </w:pPr>
    <w:rPr>
      <w:rFonts w:ascii="Times New Roman" w:hAnsi="Times New Roman"/>
      <w:b/>
      <w:sz w:val="32"/>
    </w:rPr>
  </w:style>
  <w:style w:type="paragraph" w:customStyle="1" w:styleId="Heading2TOC">
    <w:name w:val="Heading2 TOC"/>
    <w:basedOn w:val="Normal"/>
    <w:qFormat/>
    <w:rsid w:val="00B07D54"/>
    <w:pPr>
      <w:spacing w:before="240" w:after="60"/>
    </w:pPr>
    <w:rPr>
      <w:rFonts w:ascii="Times New Roman" w:hAnsi="Times New Roman"/>
      <w:b/>
      <w:sz w:val="28"/>
    </w:rPr>
  </w:style>
  <w:style w:type="character" w:customStyle="1" w:styleId="Underline">
    <w:name w:val="Underline"/>
    <w:basedOn w:val="DefaultParagraphFont"/>
    <w:qFormat/>
    <w:rsid w:val="00B07D54"/>
    <w:rPr>
      <w:u w:val="single"/>
    </w:rPr>
  </w:style>
  <w:style w:type="character" w:customStyle="1" w:styleId="BoldandItalics">
    <w:name w:val="Bold and Italics"/>
    <w:qFormat/>
    <w:rsid w:val="00B07D54"/>
    <w:rPr>
      <w:b/>
      <w:i/>
      <w:u w:val="none"/>
    </w:rPr>
  </w:style>
  <w:style w:type="paragraph" w:styleId="BalloonText">
    <w:name w:val="Balloon Text"/>
    <w:basedOn w:val="Normal"/>
    <w:link w:val="BalloonTextChar"/>
    <w:rsid w:val="00B07D54"/>
    <w:rPr>
      <w:rFonts w:ascii="Tahoma" w:hAnsi="Tahoma" w:cs="Tahoma"/>
      <w:sz w:val="16"/>
      <w:szCs w:val="16"/>
    </w:rPr>
  </w:style>
  <w:style w:type="character" w:customStyle="1" w:styleId="BalloonTextChar">
    <w:name w:val="Balloon Text Char"/>
    <w:basedOn w:val="DefaultParagraphFont"/>
    <w:link w:val="BalloonText"/>
    <w:rsid w:val="00B07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D54"/>
    <w:rPr>
      <w:b/>
      <w:color w:val="660033"/>
      <w:spacing w:val="0"/>
    </w:rPr>
  </w:style>
  <w:style w:type="paragraph" w:customStyle="1" w:styleId="Nameditemlist">
    <w:name w:val="Named item list"/>
    <w:basedOn w:val="BodyText"/>
    <w:qFormat/>
    <w:rsid w:val="00B07D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2392</Words>
  <Characters>14800</Characters>
  <Application>Microsoft Office Word</Application>
  <DocSecurity>0</DocSecurity>
  <Lines>592</Lines>
  <Paragraphs>267</Paragraphs>
  <ScaleCrop>false</ScaleCrop>
  <Company>Author-it Software Corporation Ltd.</Company>
  <LinksUpToDate>false</LinksUpToDate>
  <CharactersWithSpaces>17034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UEENEEH133A Fault find and repair telecommunication apparatus and systems</dc:title>
  <dc:subject>Approved</dc:subject>
  <dc:creator>E-OZ Training Standards</dc:creator>
  <cp:keywords>Release 3</cp:keywords>
  <dc:description>Review Date: 12 April 2008</dc:description>
  <cp:lastModifiedBy>HSD_TPCMSd.prod</cp:lastModifiedBy>
  <cp:revision>3</cp:revision>
  <dcterms:created xsi:type="dcterms:W3CDTF">2014-12-16T11:52:58Z</dcterms:created>
  <dcterms:modified xsi:type="dcterms:W3CDTF">2014-12-16T00:21:00Z</dcterms:modified>
</cp:coreProperties>
</file>