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C45" w:rsidP="00CD7C45">
      <w:pPr>
        <w:pStyle w:val="Title"/>
      </w:pPr>
      <w:r>
        <w:fldChar w:fldCharType="begin"/>
      </w:r>
      <w:r>
        <w:instrText xml:space="preserve"> TITLE   \* MERGEFORMAT </w:instrText>
      </w:r>
      <w:r>
        <w:fldChar w:fldCharType="separate"/>
      </w:r>
      <w:r>
        <w:t>UEENEEH131A Fault find and repair radar apparatus and systems</w:t>
      </w:r>
      <w:r>
        <w:fldChar w:fldCharType="end"/>
      </w:r>
    </w:p>
    <w:p w:rsidR="00CD7C45" w:rsidP="00CD7C45">
      <w:pPr>
        <w:pStyle w:val="Version"/>
        <w:sectPr w:rsidSect="00D723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723F4" w:rsidP="00D723F4">
      <w:pPr>
        <w:pStyle w:val="SuperHeading"/>
      </w:pPr>
      <w:r w:rsidRPr="00D723F4">
        <w:t>UEENEEH131A Fault find and repair radar apparatus and systems</w:t>
      </w:r>
    </w:p>
    <w:p w:rsidR="00000000" w:rsidRPr="00D723F4" w:rsidP="00D723F4">
      <w:pPr>
        <w:pStyle w:val="Heading1"/>
      </w:pPr>
      <w:bookmarkStart w:id="1" w:name="O_705617"/>
      <w:bookmarkEnd w:id="1"/>
      <w:r w:rsidRPr="00D723F4">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CD7C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F4">
            <w:pPr>
              <w:pStyle w:val="BodyText"/>
              <w:rPr>
                <w:lang w:val="en-NZ"/>
              </w:rPr>
            </w:pPr>
            <w:r w:rsidRPr="00D723F4">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F4">
            <w:pPr>
              <w:pStyle w:val="BodyText"/>
              <w:rPr>
                <w:lang w:val="en-NZ"/>
              </w:rPr>
            </w:pPr>
            <w:r w:rsidRPr="00D723F4">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F4">
            <w:pPr>
              <w:pStyle w:val="BodyText"/>
              <w:rPr>
                <w:lang w:val="en-NZ"/>
              </w:rPr>
            </w:pPr>
            <w:r w:rsidRPr="00D723F4">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F4">
            <w:pPr>
              <w:pStyle w:val="BodyText"/>
              <w:rPr>
                <w:lang w:val="en-NZ"/>
              </w:rPr>
            </w:pPr>
            <w:r w:rsidRPr="00D723F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3F4">
            <w:pPr>
              <w:pStyle w:val="BodyText"/>
              <w:rPr>
                <w:lang w:val="en-NZ"/>
              </w:rPr>
            </w:pPr>
            <w:r w:rsidRPr="00D723F4">
              <w:t>Points</w:t>
            </w:r>
          </w:p>
        </w:tc>
      </w:tr>
      <w:tr w:rsidTr="00CD7C4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3F4">
            <w:pPr>
              <w:pStyle w:val="BodyText"/>
              <w:rPr>
                <w:lang w:val="en-NZ"/>
              </w:rPr>
            </w:pPr>
            <w:r w:rsidRPr="00D723F4">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3F4">
            <w:pPr>
              <w:pStyle w:val="BodyText"/>
              <w:rPr>
                <w:lang w:val="en-NZ"/>
              </w:rPr>
            </w:pPr>
            <w:r w:rsidRPr="00D723F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3F4" w:rsidP="00D723F4">
            <w:pPr>
              <w:pStyle w:val="BodyText"/>
            </w:pPr>
            <w:r w:rsidRPr="00D723F4">
              <w:t>Correct Prerequisite title</w:t>
            </w:r>
          </w:p>
          <w:p w:rsidR="00000000" w:rsidP="00D723F4">
            <w:pPr>
              <w:pStyle w:val="BodyText"/>
              <w:rPr>
                <w:lang w:val="en-NZ"/>
              </w:rPr>
            </w:pPr>
            <w:r w:rsidRPr="00D723F4">
              <w:t>UEENEEH114A - Troubleshoot resonance circuits in an electronic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3F4" w:rsidP="00D723F4">
            <w:pPr>
              <w:pStyle w:val="BodyText"/>
            </w:pPr>
          </w:p>
        </w:tc>
      </w:tr>
    </w:tbl>
    <w:p w:rsidR="00000000" w:rsidRPr="00D723F4" w:rsidP="00D723F4">
      <w:pPr>
        <w:pStyle w:val="BodyText"/>
      </w:pPr>
    </w:p>
    <w:p w:rsidR="00000000" w:rsidRPr="00D723F4" w:rsidP="00D723F4">
      <w:pPr>
        <w:pStyle w:val="AllowPageBreak"/>
      </w:pPr>
    </w:p>
    <w:p w:rsidR="00000000" w:rsidRPr="00D723F4" w:rsidP="00D723F4">
      <w:pPr>
        <w:pStyle w:val="Heading1"/>
      </w:pPr>
      <w:bookmarkStart w:id="2" w:name="O_705616"/>
      <w:bookmarkEnd w:id="2"/>
      <w:r w:rsidRPr="00D723F4">
        <w:t>Unit Descriptor</w:t>
      </w:r>
    </w:p>
    <w:tbl>
      <w:tblPr>
        <w:tblW w:w="0" w:type="auto"/>
        <w:tblLayout w:type="fixed"/>
        <w:tblCellMar>
          <w:left w:w="62" w:type="dxa"/>
          <w:right w:w="62" w:type="dxa"/>
        </w:tblCellMar>
        <w:tblLook w:val="0000"/>
      </w:tblPr>
      <w:tblGrid>
        <w:gridCol w:w="2700"/>
        <w:gridCol w:w="5760"/>
      </w:tblGrid>
      <w:tr w:rsidTr="00CD7C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1)</w:t>
            </w:r>
            <w:r w:rsidRPr="00D723F4">
              <w:t xml:space="preserve"> </w:t>
            </w:r>
            <w:r w:rsidRPr="00D723F4">
              <w:rPr>
                <w:rStyle w:val="SpecialBold"/>
              </w:rPr>
              <w:t>Scope:</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723F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1.1) Descriptor</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 xml:space="preserve">This unit covers fault finding and repairing radar apparatus and system. The unit encompasses safe working practices, interpreting diagrams, </w:t>
            </w:r>
            <w:r w:rsidRPr="00D723F4">
              <w:t>applying logical diagnostic methods and knowledge of radar system components, rectify faults, safety and functional testing and completing the necessary service documentation.</w:t>
            </w:r>
          </w:p>
        </w:tc>
      </w:tr>
    </w:tbl>
    <w:p w:rsidR="00000000" w:rsidRPr="00D723F4" w:rsidP="00D723F4">
      <w:pPr>
        <w:pStyle w:val="BodyText"/>
      </w:pPr>
    </w:p>
    <w:p w:rsidR="00000000" w:rsidRPr="00D723F4" w:rsidP="00D723F4">
      <w:pPr>
        <w:pStyle w:val="AllowPageBreak"/>
      </w:pPr>
    </w:p>
    <w:p w:rsidR="00000000" w:rsidRPr="00D723F4" w:rsidP="00D723F4">
      <w:pPr>
        <w:pStyle w:val="Heading1"/>
      </w:pPr>
      <w:bookmarkStart w:id="3" w:name="O_705615"/>
      <w:bookmarkEnd w:id="3"/>
      <w:r w:rsidRPr="00D723F4">
        <w:t>Application of the Unit</w:t>
      </w:r>
    </w:p>
    <w:tbl>
      <w:tblPr>
        <w:tblW w:w="0" w:type="auto"/>
        <w:tblLayout w:type="fixed"/>
        <w:tblCellMar>
          <w:left w:w="62" w:type="dxa"/>
          <w:right w:w="62" w:type="dxa"/>
        </w:tblCellMar>
        <w:tblLook w:val="0000"/>
      </w:tblPr>
      <w:tblGrid>
        <w:gridCol w:w="2672"/>
        <w:gridCol w:w="5699"/>
      </w:tblGrid>
      <w:tr w:rsidTr="00CD7C4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2)</w:t>
            </w:r>
          </w:p>
        </w:tc>
      </w:tr>
      <w:tr w:rsidTr="00CD7C4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This uni</w:t>
            </w:r>
            <w:r w:rsidRPr="00D723F4">
              <w:t>t is intended as an additional competency to relevant competencies previously acquired. It is suitable for employment-based programs under an approved contract of training at the aligned AQF 4 level or higher.</w:t>
            </w:r>
          </w:p>
        </w:tc>
      </w:tr>
    </w:tbl>
    <w:p w:rsidR="00000000" w:rsidRPr="00D723F4" w:rsidP="00D723F4">
      <w:pPr>
        <w:pStyle w:val="BodyText"/>
      </w:pPr>
    </w:p>
    <w:p w:rsidR="00000000" w:rsidRPr="00D723F4" w:rsidP="00D723F4">
      <w:pPr>
        <w:pStyle w:val="AllowPageBreak"/>
      </w:pPr>
    </w:p>
    <w:p w:rsidR="00000000" w:rsidRPr="00D723F4" w:rsidP="00D723F4">
      <w:pPr>
        <w:pStyle w:val="Heading1"/>
      </w:pPr>
      <w:bookmarkStart w:id="4" w:name="O_705614"/>
      <w:bookmarkEnd w:id="4"/>
      <w:r w:rsidRPr="00D723F4">
        <w:t>Licensing/Regulatory Inform</w:t>
      </w:r>
      <w:r w:rsidRPr="00D723F4">
        <w:t>ation</w:t>
      </w:r>
    </w:p>
    <w:tbl>
      <w:tblPr>
        <w:tblW w:w="0" w:type="auto"/>
        <w:tblLayout w:type="fixed"/>
        <w:tblCellMar>
          <w:left w:w="62" w:type="dxa"/>
          <w:right w:w="62" w:type="dxa"/>
        </w:tblCellMar>
        <w:tblLook w:val="0000"/>
      </w:tblPr>
      <w:tblGrid>
        <w:gridCol w:w="2700"/>
        <w:gridCol w:w="5760"/>
      </w:tblGrid>
      <w:tr w:rsidTr="00CD7C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 xml:space="preserve">3) </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 xml:space="preserve">The skills and knowledge described in this unit require a license to practice in the workplace where plant and equipment operate at voltage </w:t>
            </w:r>
            <w:r w:rsidRPr="00D723F4">
              <w:t>above 50 V a.c. or 120 V d.c. However other conditions may apply in some jurisdictions subject to regulations related to electrical work. Practice in the workplace and during training is also subject to regulations directly related to occupational health a</w:t>
            </w:r>
            <w:r w:rsidRPr="00D723F4">
              <w:t>nd safety and where applicable contracts of training such as apprenticeships.</w:t>
            </w:r>
          </w:p>
          <w:p w:rsidR="00000000" w:rsidRPr="00D723F4" w:rsidP="00D723F4">
            <w:pPr>
              <w:pStyle w:val="BodyText"/>
            </w:pPr>
            <w:r w:rsidRPr="00D723F4">
              <w:t xml:space="preserve">Note: </w:t>
            </w:r>
          </w:p>
          <w:p w:rsidR="00000000" w:rsidRPr="00D723F4" w:rsidP="00D723F4">
            <w:pPr>
              <w:pStyle w:val="BodyText"/>
            </w:pPr>
            <w:r w:rsidRPr="00D723F4">
              <w:t>1. Compliance with permits may be required in various jurisdictions and typically relates to the operation of plant, machinery and equipment such as elevating work platfor</w:t>
            </w:r>
            <w:r w:rsidRPr="00D723F4">
              <w:t>ms, powder operated fixing tools, power operated tools, vehicles, road signage and traffic control, lifting equipment and the like. Permits may also be required for some work environments such as confined spaces, working aloft, near live electrical apparat</w:t>
            </w:r>
            <w:r w:rsidRPr="00D723F4">
              <w:t>us and site rehabilitation.</w:t>
            </w:r>
          </w:p>
          <w:p w:rsidR="00000000" w:rsidRPr="00D723F4" w:rsidP="00D723F4">
            <w:pPr>
              <w:pStyle w:val="BodyText"/>
            </w:pPr>
            <w:r w:rsidRPr="00D723F4">
              <w:t>2. Compliance may be required in various jurisdictions relating to currency in First Aid, confined space, lifting and risk safety measures.</w:t>
            </w:r>
          </w:p>
        </w:tc>
      </w:tr>
    </w:tbl>
    <w:p w:rsidR="00000000" w:rsidRPr="00D723F4" w:rsidP="00D723F4">
      <w:pPr>
        <w:pStyle w:val="BodyText"/>
      </w:pPr>
    </w:p>
    <w:p w:rsidR="00000000" w:rsidRPr="00D723F4" w:rsidP="00D723F4">
      <w:pPr>
        <w:pStyle w:val="AllowPageBreak"/>
      </w:pPr>
    </w:p>
    <w:p w:rsidR="00000000" w:rsidRPr="00D723F4" w:rsidP="00D723F4">
      <w:pPr>
        <w:pStyle w:val="Heading1"/>
      </w:pPr>
      <w:bookmarkStart w:id="5" w:name="O_705613"/>
      <w:bookmarkEnd w:id="5"/>
      <w:r w:rsidRPr="00D723F4">
        <w:t>Pre-Requisites</w:t>
      </w:r>
    </w:p>
    <w:tbl>
      <w:tblPr>
        <w:tblW w:w="0" w:type="auto"/>
        <w:tblLayout w:type="fixed"/>
        <w:tblCellMar>
          <w:left w:w="62" w:type="dxa"/>
          <w:right w:w="62" w:type="dxa"/>
        </w:tblCellMar>
        <w:tblLook w:val="0000"/>
      </w:tblPr>
      <w:tblGrid>
        <w:gridCol w:w="2700"/>
        <w:gridCol w:w="1440"/>
        <w:gridCol w:w="4320"/>
      </w:tblGrid>
      <w:tr w:rsidTr="00CD7C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 xml:space="preserve">4) </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4.1)</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Granting competency in this unit shall be made only after competency in the following unit(s) has/have been confirmed.</w:t>
            </w:r>
          </w:p>
        </w:tc>
      </w:tr>
      <w:tr w:rsidTr="00CD7C4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UEENEEE101A</w:t>
            </w:r>
          </w:p>
        </w:tc>
        <w:tc>
          <w:tcPr>
            <w:tcW w:w="43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Apply Occupational Health and Safety regulations, codes and practices in the workplace</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UEENEEE104A</w:t>
            </w:r>
          </w:p>
        </w:tc>
        <w:tc>
          <w:tcPr>
            <w:tcW w:w="43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Solve problems in d.c. circuits</w:t>
            </w:r>
          </w:p>
        </w:tc>
      </w:tr>
      <w:tr w:rsidTr="00CD7C45">
        <w:tblPrEx>
          <w:tblW w:w="0" w:type="auto"/>
          <w:tblLayout w:type="fixed"/>
          <w:tblCellMar>
            <w:left w:w="62" w:type="dxa"/>
            <w:right w:w="62" w:type="dxa"/>
          </w:tblCellMar>
          <w:tblLook w:val="0000"/>
        </w:tblPrEx>
        <w:trPr>
          <w:trHeight w:val="39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UEENEEH1</w:t>
            </w:r>
            <w:r w:rsidRPr="00D723F4">
              <w:t>02A</w:t>
            </w:r>
          </w:p>
        </w:tc>
        <w:tc>
          <w:tcPr>
            <w:tcW w:w="43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 xml:space="preserve">Repair basic electronic apparatus faults by </w:t>
            </w:r>
            <w:r w:rsidRPr="00D723F4">
              <w:t>replacement of components</w:t>
            </w:r>
          </w:p>
        </w:tc>
      </w:tr>
      <w:tr w:rsidTr="00CD7C45">
        <w:tblPrEx>
          <w:tblW w:w="0" w:type="auto"/>
          <w:tblLayout w:type="fixed"/>
          <w:tblCellMar>
            <w:left w:w="62" w:type="dxa"/>
            <w:right w:w="62" w:type="dxa"/>
          </w:tblCellMar>
          <w:tblLook w:val="0000"/>
        </w:tblPrEx>
        <w:trPr>
          <w:trHeight w:val="49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UEENEEH113A</w:t>
            </w:r>
          </w:p>
        </w:tc>
        <w:tc>
          <w:tcPr>
            <w:tcW w:w="43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Troubleshoot amplifiers in an electronic apparatus</w:t>
            </w:r>
          </w:p>
        </w:tc>
      </w:tr>
      <w:tr w:rsidTr="00CD7C4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UEENEEH116A</w:t>
            </w:r>
          </w:p>
        </w:tc>
        <w:tc>
          <w:tcPr>
            <w:tcW w:w="43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Find and repair microwave amplifier section faults in electronic apparatus</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UEENEEH139A</w:t>
            </w:r>
          </w:p>
        </w:tc>
        <w:tc>
          <w:tcPr>
            <w:tcW w:w="43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Troubleshoot basic amplifier circuits</w:t>
            </w:r>
          </w:p>
        </w:tc>
      </w:tr>
      <w:tr w:rsidTr="00CD7C4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 xml:space="preserve">UEENEEH146A </w:t>
            </w:r>
          </w:p>
        </w:tc>
        <w:tc>
          <w:tcPr>
            <w:tcW w:w="43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Solve fundamental electronic communications system problems</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UEENEEH172A</w:t>
            </w:r>
          </w:p>
        </w:tc>
        <w:tc>
          <w:tcPr>
            <w:tcW w:w="43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Fault find and repair communication systems</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AND</w:t>
            </w:r>
          </w:p>
        </w:tc>
        <w:tc>
          <w:tcPr>
            <w:tcW w:w="43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UEENEEH114A</w:t>
            </w:r>
          </w:p>
        </w:tc>
        <w:tc>
          <w:tcPr>
            <w:tcW w:w="43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Troubleshoot resonance circuits in an electronic apparatus</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 xml:space="preserve">UEENEEH169A </w:t>
            </w:r>
          </w:p>
        </w:tc>
        <w:tc>
          <w:tcPr>
            <w:tcW w:w="43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Solve problems in basic electronic circuits</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OR</w:t>
            </w:r>
          </w:p>
        </w:tc>
        <w:tc>
          <w:tcPr>
            <w:tcW w:w="43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UEENEEG101A</w:t>
            </w:r>
          </w:p>
        </w:tc>
        <w:tc>
          <w:tcPr>
            <w:tcW w:w="43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Solve problems in electromagnetic devices and related circuits</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UEENEEG102A</w:t>
            </w:r>
          </w:p>
        </w:tc>
        <w:tc>
          <w:tcPr>
            <w:tcW w:w="432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Solve problems in low voltage a.c. circuits</w:t>
            </w:r>
          </w:p>
        </w:tc>
      </w:tr>
    </w:tbl>
    <w:p w:rsidR="00000000" w:rsidRPr="00D723F4" w:rsidP="00D723F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D7C4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 xml:space="preserve">4.2) </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Participants are best equipped to achieve competency in this unit if they have reading, writing and numeracy skills indicated by the following scales. Description of each scale is given in Volume 2, Part 3 ‘Literacy and Numeracy’</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Reading</w:t>
            </w:r>
          </w:p>
        </w:tc>
        <w:tc>
          <w:tcPr>
            <w:tcW w:w="81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4</w:t>
            </w:r>
          </w:p>
        </w:tc>
        <w:tc>
          <w:tcPr>
            <w:tcW w:w="99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Writing</w:t>
            </w:r>
          </w:p>
        </w:tc>
        <w:tc>
          <w:tcPr>
            <w:tcW w:w="90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4</w:t>
            </w:r>
          </w:p>
        </w:tc>
        <w:tc>
          <w:tcPr>
            <w:tcW w:w="126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Numeracy</w:t>
            </w:r>
          </w:p>
        </w:tc>
        <w:tc>
          <w:tcPr>
            <w:tcW w:w="72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4</w:t>
            </w:r>
          </w:p>
        </w:tc>
      </w:tr>
    </w:tbl>
    <w:p w:rsidR="00000000" w:rsidRPr="00D723F4" w:rsidP="00D723F4">
      <w:pPr>
        <w:pStyle w:val="BodyText"/>
      </w:pPr>
    </w:p>
    <w:p w:rsidR="00000000" w:rsidRPr="00D723F4" w:rsidP="00D723F4">
      <w:pPr>
        <w:pStyle w:val="AllowPageBreak"/>
      </w:pPr>
    </w:p>
    <w:p w:rsidR="00000000" w:rsidRPr="00D723F4" w:rsidP="00D723F4">
      <w:pPr>
        <w:pStyle w:val="Heading1"/>
      </w:pPr>
      <w:bookmarkStart w:id="6" w:name="O_705612"/>
      <w:bookmarkEnd w:id="6"/>
      <w:r w:rsidRPr="00D723F4">
        <w:t>Employability Skills Information</w:t>
      </w:r>
    </w:p>
    <w:tbl>
      <w:tblPr>
        <w:tblW w:w="0" w:type="auto"/>
        <w:tblLayout w:type="fixed"/>
        <w:tblCellMar>
          <w:left w:w="62" w:type="dxa"/>
          <w:right w:w="62" w:type="dxa"/>
        </w:tblCellMar>
        <w:tblLook w:val="0000"/>
      </w:tblPr>
      <w:tblGrid>
        <w:gridCol w:w="2700"/>
        <w:gridCol w:w="5760"/>
      </w:tblGrid>
      <w:tr w:rsidTr="00CD7C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 xml:space="preserve">5) </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This unit contains Employability Skills</w:t>
            </w:r>
          </w:p>
          <w:p w:rsidR="00000000" w:rsidRPr="00D723F4" w:rsidP="00D723F4">
            <w:pPr>
              <w:pStyle w:val="BodyText"/>
            </w:pPr>
            <w:r w:rsidRPr="00D723F4">
              <w:t>The required outcomes described in this unit of competency contain applicable facets of Employability Skills. The Employabili</w:t>
            </w:r>
            <w:r w:rsidRPr="00D723F4">
              <w:t>ty Skills Summary of the qualification in which this unit of competency is packaged will assist in identifying Employability Skill requirements.</w:t>
            </w:r>
          </w:p>
        </w:tc>
      </w:tr>
    </w:tbl>
    <w:p w:rsidR="00000000" w:rsidRPr="00D723F4" w:rsidP="00D723F4">
      <w:pPr>
        <w:pStyle w:val="BodyText"/>
      </w:pPr>
    </w:p>
    <w:p w:rsidR="00000000" w:rsidRPr="00D723F4" w:rsidP="00D723F4">
      <w:pPr>
        <w:pStyle w:val="AllowPageBreak"/>
      </w:pPr>
    </w:p>
    <w:p w:rsidR="00000000" w:rsidRPr="00D723F4" w:rsidP="00D723F4">
      <w:pPr>
        <w:pStyle w:val="Heading1"/>
      </w:pPr>
      <w:bookmarkStart w:id="7" w:name="O_705611"/>
      <w:bookmarkEnd w:id="7"/>
      <w:r w:rsidRPr="00D723F4">
        <w:t>Elements and Performance Criteria Pre-Content</w:t>
      </w:r>
    </w:p>
    <w:tbl>
      <w:tblPr>
        <w:tblW w:w="0" w:type="auto"/>
        <w:tblLayout w:type="fixed"/>
        <w:tblCellMar>
          <w:left w:w="62" w:type="dxa"/>
          <w:right w:w="62" w:type="dxa"/>
        </w:tblCellMar>
        <w:tblLook w:val="0000"/>
      </w:tblPr>
      <w:tblGrid>
        <w:gridCol w:w="2700"/>
        <w:gridCol w:w="5760"/>
      </w:tblGrid>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6)</w:t>
            </w:r>
            <w:r w:rsidRPr="00D723F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Performance Criteria describe the required performance needed to demonstrate achievement of the element. Assessment of performance is to be consistent with the Evidence Guide.</w:t>
            </w:r>
          </w:p>
        </w:tc>
      </w:tr>
    </w:tbl>
    <w:p w:rsidR="00000000" w:rsidRPr="00D723F4" w:rsidP="00D723F4">
      <w:pPr>
        <w:pStyle w:val="BodyText"/>
      </w:pPr>
    </w:p>
    <w:p w:rsidR="00000000" w:rsidRPr="00D723F4" w:rsidP="00D723F4">
      <w:pPr>
        <w:pStyle w:val="AllowPageBreak"/>
      </w:pPr>
    </w:p>
    <w:p w:rsidR="00000000" w:rsidRPr="00D723F4" w:rsidP="00D723F4">
      <w:pPr>
        <w:pStyle w:val="Heading1"/>
      </w:pPr>
      <w:bookmarkStart w:id="8" w:name="O_705610"/>
      <w:bookmarkEnd w:id="8"/>
      <w:r w:rsidRPr="00D723F4">
        <w:t>Elements and Performance Criteria</w:t>
      </w:r>
    </w:p>
    <w:tbl>
      <w:tblPr>
        <w:tblW w:w="0" w:type="auto"/>
        <w:tblLayout w:type="fixed"/>
        <w:tblCellMar>
          <w:left w:w="62" w:type="dxa"/>
          <w:right w:w="62" w:type="dxa"/>
        </w:tblCellMar>
        <w:tblLook w:val="0000"/>
      </w:tblPr>
      <w:tblGrid>
        <w:gridCol w:w="420"/>
        <w:gridCol w:w="2097"/>
        <w:gridCol w:w="183"/>
        <w:gridCol w:w="656"/>
        <w:gridCol w:w="4525"/>
        <w:gridCol w:w="579"/>
      </w:tblGrid>
      <w:tr w:rsidTr="00CD7C45">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PERFORMANCE CRITERIA</w:t>
            </w:r>
          </w:p>
        </w:tc>
      </w:tr>
      <w:tr w:rsidTr="00CD7C45">
        <w:tblPrEx>
          <w:tblW w:w="0" w:type="auto"/>
          <w:tblLayout w:type="fixed"/>
          <w:tblCellMar>
            <w:left w:w="62" w:type="dxa"/>
            <w:right w:w="62" w:type="dxa"/>
          </w:tblCellMar>
          <w:tblLook w:val="0000"/>
        </w:tblPrEx>
        <w:trPr>
          <w:gridAfter w:val="1"/>
          <w:wAfter w:w="579" w:type="dxa"/>
          <w:trHeight w:val="686"/>
        </w:trPr>
        <w:tc>
          <w:tcPr>
            <w:tcW w:w="4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1</w:t>
            </w:r>
          </w:p>
        </w:tc>
        <w:tc>
          <w:tcPr>
            <w:tcW w:w="2097" w:type="dxa"/>
            <w:vMerge w:val="restart"/>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Prepare to fault find and repair</w:t>
            </w: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1.1</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OHS procedures for a given work area are obtained and understood.</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1.2</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Established OHS risk control measures and procedures are followed in preparation for the work.</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1.3</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 xml:space="preserve">Safety hazards that have not previously been identified are documented and risk control measures devised and implemented in consultation with </w:t>
            </w:r>
            <w:r w:rsidRPr="00D723F4">
              <w:t>appropriate personnel.</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1.4</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The extent of faults is determined from reports and other documentation and from discussion with appropriate personnel.</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1.5</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Appropriate personnel are consulted to ensure the work is co-ordinated effectively with others involved on the work site.</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1.6</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Tools, equipment and testing devices needed to diagnose faults are obtained in accordance with established procedures and chec</w:t>
            </w:r>
            <w:r w:rsidRPr="00D723F4">
              <w:t>ked for correct operation and safety.</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2</w:t>
            </w:r>
          </w:p>
        </w:tc>
        <w:tc>
          <w:tcPr>
            <w:tcW w:w="2097" w:type="dxa"/>
            <w:vMerge w:val="restart"/>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Fault find and repair</w:t>
            </w: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2.1</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OHS risk control measures and procedures for carrying out the work are followed.</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2.2</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The need to test or measure live is determined in str</w:t>
            </w:r>
            <w:r w:rsidRPr="00D723F4">
              <w:t>ict accordance with OHS requirements and when necessary conducted within established safety procedures.</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2.3</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Circuits/machines/plant are checked as being isolated where necessary in strict accordance OHS requirements and procedures</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2.4</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Logical diagnostic methods are applied to diagnose radar apparatus and systems faults employing measurements and estimations of system operating parameters referenced to system operational requirements.</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2.5</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Suspected fault scenarios are tested as being</w:t>
            </w:r>
            <w:r w:rsidRPr="00D723F4">
              <w:t xml:space="preserve"> the source of system problems.</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2.6</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Source of the fault is identified and appropriately competent persons are engaged to rectify the fault where it is outside the scope of electronics.</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2.7</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Faults in the electronic components of the system are rectified to raise radar apparatus and system to its operation standard.</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2.8</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System is tested to verify that the system operates as intended and to specified requirements.</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2.9</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Decisions for deal</w:t>
            </w:r>
            <w:r w:rsidRPr="00D723F4">
              <w:t>ing with unexpected situations are made from discussions with appropriate persons and job specifications and requirements.</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2.10</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Methods for dealing with unexpected situations are selected on the basis of safety and specified work outcomes.</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2.11</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Diagnosis and rectification activities are carried out efficiently without waste of materials or damage to apparatus and the surrounding environment or services and using sustainable energy practices.</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3</w:t>
            </w:r>
          </w:p>
        </w:tc>
        <w:tc>
          <w:tcPr>
            <w:tcW w:w="2097" w:type="dxa"/>
            <w:vMerge w:val="restart"/>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Complete and report fault find and repair activities</w:t>
            </w:r>
            <w:r w:rsidRPr="00D723F4">
              <w:t>.</w:t>
            </w: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3.1</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OHS work completion risk control measures and procedures are followed.</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3.2</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Work site is made safe in accordance with established safety procedures.</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3.3</w:t>
            </w:r>
          </w:p>
        </w:tc>
        <w:tc>
          <w:tcPr>
            <w:tcW w:w="4525"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Rectification of faults is documented in accordance with established procedures.</w:t>
            </w:r>
          </w:p>
        </w:tc>
      </w:tr>
      <w:tr w:rsidTr="00CD7C45">
        <w:tblPrEx>
          <w:tblW w:w="0" w:type="auto"/>
          <w:tblLayout w:type="fixed"/>
          <w:tblCellMar>
            <w:left w:w="62" w:type="dxa"/>
            <w:right w:w="62" w:type="dxa"/>
          </w:tblCellMar>
          <w:tblLook w:val="0000"/>
        </w:tblPrEx>
        <w:trPr>
          <w:gridAfter w:val="1"/>
          <w:wAfter w:w="579"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3.4</w:t>
            </w:r>
          </w:p>
        </w:tc>
        <w:tc>
          <w:tcPr>
            <w:tcW w:w="4525"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Appropriate person or persons notified, in accordance with established procedures, that the system faults have been rectified.</w:t>
            </w:r>
          </w:p>
        </w:tc>
      </w:tr>
    </w:tbl>
    <w:p w:rsidR="00000000" w:rsidRPr="00D723F4" w:rsidP="00D723F4">
      <w:pPr>
        <w:pStyle w:val="BodyText"/>
      </w:pPr>
    </w:p>
    <w:p w:rsidR="00000000" w:rsidRPr="00D723F4" w:rsidP="00D723F4">
      <w:pPr>
        <w:pStyle w:val="AllowPageBreak"/>
      </w:pPr>
    </w:p>
    <w:p w:rsidR="00000000" w:rsidRPr="00D723F4" w:rsidP="00D723F4">
      <w:pPr>
        <w:pStyle w:val="Heading1"/>
      </w:pPr>
      <w:bookmarkStart w:id="9" w:name="O_705609"/>
      <w:bookmarkEnd w:id="9"/>
      <w:r w:rsidRPr="00D723F4">
        <w:t>Required Skills and Knowledge</w:t>
      </w:r>
    </w:p>
    <w:tbl>
      <w:tblPr>
        <w:tblW w:w="0" w:type="auto"/>
        <w:tblLayout w:type="fixed"/>
        <w:tblCellMar>
          <w:left w:w="62" w:type="dxa"/>
          <w:right w:w="62" w:type="dxa"/>
        </w:tblCellMar>
        <w:tblLook w:val="0000"/>
      </w:tblPr>
      <w:tblGrid>
        <w:gridCol w:w="8460"/>
      </w:tblGrid>
      <w:tr w:rsidTr="00CD7C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REQUIRED SKILLS AND KNOWLEDGE</w:t>
            </w:r>
          </w:p>
        </w:tc>
      </w:tr>
      <w:tr w:rsidTr="00CD7C4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8)</w:t>
            </w:r>
            <w:r w:rsidRPr="00D723F4">
              <w:t xml:space="preserve"> This describes the essential skills and knowledge and their level, required for this unit.</w:t>
            </w:r>
          </w:p>
          <w:p w:rsidR="00000000" w:rsidRPr="00D723F4" w:rsidP="00D723F4">
            <w:pPr>
              <w:pStyle w:val="BodyText"/>
            </w:pPr>
            <w:r w:rsidRPr="00D723F4">
              <w:t xml:space="preserve">Evidence shall show that knowledge has been acquired of safe working practices and fault finding and repairing radar apparatus and systems. </w:t>
            </w:r>
          </w:p>
          <w:p w:rsidR="00000000" w:rsidRPr="00D723F4" w:rsidP="00D723F4">
            <w:pPr>
              <w:pStyle w:val="BodyText"/>
            </w:pPr>
            <w:r w:rsidRPr="00D723F4">
              <w:t>All knowledge and skill</w:t>
            </w:r>
            <w:r w:rsidRPr="00D723F4">
              <w:t>s detailed in this unit should be contextualised to current industry practices and technologies.</w:t>
            </w:r>
          </w:p>
          <w:p w:rsidR="00000000" w:rsidRPr="00D723F4" w:rsidP="00D723F4">
            <w:pPr>
              <w:pStyle w:val="BodyText"/>
            </w:pPr>
            <w:r w:rsidRPr="00D723F4">
              <w:rPr>
                <w:rStyle w:val="SpecialBold"/>
              </w:rPr>
              <w:t>KS01-EH131A</w:t>
            </w:r>
            <w:r w:rsidRPr="00D723F4">
              <w:rPr>
                <w:rStyle w:val="SpecialBold"/>
              </w:rPr>
              <w:tab/>
              <w:t xml:space="preserve">              Radar apparatus and system fault finding and repair/ Radar apparatus and system?</w:t>
            </w:r>
          </w:p>
          <w:p w:rsidR="00000000" w:rsidRPr="00D723F4" w:rsidP="00D723F4">
            <w:pPr>
              <w:pStyle w:val="BodyText"/>
            </w:pPr>
            <w:r w:rsidRPr="00D723F4">
              <w:t>Evidence shall show an understanding of Radar appara</w:t>
            </w:r>
            <w:r w:rsidRPr="00D723F4">
              <w:t>tus and system fault finding and repair, applying safe working practices and relevant Standards, Codes and Regulations to an extent indicated by the following aspects:</w:t>
            </w:r>
          </w:p>
          <w:p w:rsidR="00000000" w:rsidRPr="00D723F4" w:rsidP="00D723F4">
            <w:pPr>
              <w:pStyle w:val="BodyText"/>
            </w:pPr>
            <w:r w:rsidRPr="00D723F4">
              <w:t>T1.</w:t>
            </w:r>
            <w:r w:rsidRPr="00D723F4">
              <w:tab/>
              <w:t>Electronic communications, secondary radar and related systems</w:t>
            </w:r>
          </w:p>
          <w:p w:rsidR="00000000" w:rsidRPr="00D723F4" w:rsidP="00D723F4">
            <w:pPr>
              <w:pStyle w:val="ListBullet"/>
            </w:pPr>
            <w:r w:rsidRPr="00D723F4">
              <w:t>Secondary radar prin</w:t>
            </w:r>
            <w:r w:rsidRPr="00D723F4">
              <w:t>ciples encompassing:</w:t>
            </w:r>
          </w:p>
          <w:p w:rsidR="00000000" w:rsidRPr="00D723F4" w:rsidP="00D723F4">
            <w:pPr>
              <w:pStyle w:val="ListBullet2"/>
            </w:pPr>
            <w:r w:rsidRPr="00D723F4">
              <w:t>Role of secondary radar</w:t>
            </w:r>
          </w:p>
          <w:p w:rsidR="00000000" w:rsidRPr="00D723F4" w:rsidP="00D723F4">
            <w:pPr>
              <w:pStyle w:val="ListBullet2"/>
            </w:pPr>
            <w:r w:rsidRPr="00D723F4">
              <w:t>Transponder operation</w:t>
            </w:r>
          </w:p>
          <w:p w:rsidR="00000000" w:rsidRPr="00D723F4" w:rsidP="00D723F4">
            <w:pPr>
              <w:pStyle w:val="ListBullet2"/>
            </w:pPr>
            <w:r w:rsidRPr="00D723F4">
              <w:t>Operating principles</w:t>
            </w:r>
          </w:p>
          <w:p w:rsidR="00000000" w:rsidRPr="00D723F4" w:rsidP="00D723F4">
            <w:pPr>
              <w:pStyle w:val="ListBullet2"/>
            </w:pPr>
            <w:r w:rsidRPr="00D723F4">
              <w:t>Signal processing</w:t>
            </w:r>
          </w:p>
          <w:p w:rsidR="00000000" w:rsidRPr="00D723F4" w:rsidP="00D723F4">
            <w:pPr>
              <w:pStyle w:val="ListBullet2"/>
            </w:pPr>
            <w:r w:rsidRPr="00D723F4">
              <w:t>Pulse generation, transmission and detection</w:t>
            </w:r>
          </w:p>
          <w:p w:rsidR="00000000" w:rsidRPr="00D723F4" w:rsidP="00D723F4">
            <w:pPr>
              <w:pStyle w:val="ListBullet2"/>
            </w:pPr>
            <w:r w:rsidRPr="00D723F4">
              <w:t>Mode generation, detection and response</w:t>
            </w:r>
          </w:p>
          <w:p w:rsidR="00000000" w:rsidRPr="00D723F4" w:rsidP="00D723F4">
            <w:pPr>
              <w:pStyle w:val="ListBullet2"/>
            </w:pPr>
            <w:r w:rsidRPr="00D723F4">
              <w:t>Display symbol generation</w:t>
            </w:r>
          </w:p>
          <w:p w:rsidR="00000000" w:rsidRPr="00D723F4" w:rsidP="00D723F4">
            <w:pPr>
              <w:pStyle w:val="ListBullet2"/>
            </w:pPr>
            <w:r w:rsidRPr="00D723F4">
              <w:t>Synchronisation with primary radar</w:t>
            </w:r>
          </w:p>
          <w:p w:rsidR="00000000" w:rsidRPr="00D723F4" w:rsidP="00D723F4">
            <w:pPr>
              <w:pStyle w:val="ListBullet2"/>
            </w:pPr>
            <w:r w:rsidRPr="00D723F4">
              <w:t>Advantages over primary radar with respect to: clutter;</w:t>
            </w:r>
          </w:p>
          <w:p w:rsidR="00000000" w:rsidRPr="00D723F4" w:rsidP="00D723F4">
            <w:pPr>
              <w:pStyle w:val="ListBullet2"/>
            </w:pPr>
            <w:r w:rsidRPr="00D723F4">
              <w:t>signal/noise ratio; transmit power required for operation</w:t>
            </w:r>
          </w:p>
          <w:p w:rsidR="00000000" w:rsidRPr="00D723F4" w:rsidP="00D723F4">
            <w:pPr>
              <w:pStyle w:val="ListBullet"/>
            </w:pPr>
            <w:r w:rsidRPr="00D723F4">
              <w:t>Interfaces to other systems providing information for transmission of mode data encompassing:</w:t>
            </w:r>
          </w:p>
          <w:p w:rsidR="00000000" w:rsidRPr="00D723F4" w:rsidP="00D723F4">
            <w:pPr>
              <w:pStyle w:val="ListBullet2"/>
            </w:pPr>
            <w:r w:rsidRPr="00D723F4">
              <w:t>Slaving/synchronisation to primary radar</w:t>
            </w:r>
          </w:p>
          <w:p w:rsidR="00000000" w:rsidRPr="00D723F4" w:rsidP="00D723F4">
            <w:pPr>
              <w:pStyle w:val="ListBullet2"/>
            </w:pPr>
            <w:r w:rsidRPr="00D723F4">
              <w:t>Clutt</w:t>
            </w:r>
            <w:r w:rsidRPr="00D723F4">
              <w:t>er reduction/elimination</w:t>
            </w:r>
          </w:p>
          <w:p w:rsidR="00000000" w:rsidRPr="00D723F4" w:rsidP="00D723F4">
            <w:pPr>
              <w:pStyle w:val="ListBullet2"/>
            </w:pPr>
            <w:r w:rsidRPr="00D723F4">
              <w:t>Defruiting</w:t>
            </w:r>
          </w:p>
          <w:p w:rsidR="00000000" w:rsidRPr="00D723F4" w:rsidP="00D723F4">
            <w:pPr>
              <w:pStyle w:val="ListBullet2"/>
            </w:pPr>
            <w:r w:rsidRPr="00D723F4">
              <w:t>Degarbling</w:t>
            </w:r>
          </w:p>
          <w:p w:rsidR="00000000" w:rsidRPr="00D723F4" w:rsidP="00D723F4">
            <w:pPr>
              <w:pStyle w:val="ListBullet2"/>
            </w:pPr>
            <w:r w:rsidRPr="00D723F4">
              <w:t>Interfaces to other systems</w:t>
            </w:r>
          </w:p>
          <w:p w:rsidR="00000000" w:rsidRPr="00D723F4" w:rsidP="00D723F4">
            <w:pPr>
              <w:pStyle w:val="ListBullet2"/>
            </w:pPr>
            <w:r w:rsidRPr="00D723F4">
              <w:t>Range/ducting effects</w:t>
            </w:r>
          </w:p>
          <w:p w:rsidR="00000000" w:rsidRPr="00D723F4" w:rsidP="00D723F4">
            <w:pPr>
              <w:pStyle w:val="ListBullet2"/>
            </w:pPr>
            <w:r w:rsidRPr="00D723F4">
              <w:t>Advantages over primary radar</w:t>
            </w:r>
          </w:p>
          <w:p w:rsidR="00000000" w:rsidRPr="00D723F4" w:rsidP="00D723F4">
            <w:pPr>
              <w:pStyle w:val="ListBullet2"/>
            </w:pPr>
            <w:r w:rsidRPr="00D723F4">
              <w:t>Power supplies and UPS</w:t>
            </w:r>
          </w:p>
          <w:p w:rsidR="00000000" w:rsidRPr="00D723F4" w:rsidP="00D723F4">
            <w:pPr>
              <w:pStyle w:val="ListBullet2"/>
            </w:pPr>
            <w:r w:rsidRPr="00D723F4">
              <w:t>International standards</w:t>
            </w:r>
          </w:p>
          <w:p w:rsidR="00000000" w:rsidRPr="00D723F4" w:rsidP="00D723F4">
            <w:pPr>
              <w:pStyle w:val="ListBullet2"/>
            </w:pPr>
            <w:r w:rsidRPr="00D723F4">
              <w:t>National Curriculum</w:t>
            </w:r>
          </w:p>
          <w:p w:rsidR="00000000" w:rsidRPr="00D723F4" w:rsidP="00D723F4">
            <w:pPr>
              <w:pStyle w:val="ListBullet2"/>
            </w:pPr>
            <w:r w:rsidRPr="00D723F4">
              <w:t>Hot standby, cold standby</w:t>
            </w:r>
          </w:p>
          <w:p w:rsidR="00000000" w:rsidRPr="00D723F4" w:rsidP="00D723F4">
            <w:pPr>
              <w:pStyle w:val="ListBullet"/>
            </w:pPr>
            <w:r w:rsidRPr="00D723F4">
              <w:t>Application of secondary radar systems- Traffic Collision Avoidance System (TCAS), Selective Identification System (SIF), Air Traffic Control Radar Beacon System (ATCRBS), Instrument Landing System (ILS), Tactical Air Navigation (TACAN), Navigation Systems</w:t>
            </w:r>
            <w:r w:rsidRPr="00D723F4">
              <w:t xml:space="preserve"> (VOR, GPS, DME), Radar Altimeter, Jamming, Electronic warfare, Second Time Round Returns (STRR), and Identification –friend or foe radar (IFF).</w:t>
            </w:r>
          </w:p>
          <w:p w:rsidR="00000000" w:rsidRPr="00D723F4" w:rsidP="00D723F4">
            <w:pPr>
              <w:pStyle w:val="BodyText"/>
            </w:pPr>
            <w:r w:rsidRPr="00D723F4">
              <w:t>T2.</w:t>
            </w:r>
            <w:r w:rsidRPr="00D723F4">
              <w:tab/>
              <w:t>Electronic communications, radar and sonar displays devices</w:t>
            </w:r>
          </w:p>
          <w:p w:rsidR="00000000" w:rsidRPr="00D723F4" w:rsidP="00D723F4">
            <w:pPr>
              <w:pStyle w:val="ListBullet"/>
            </w:pPr>
            <w:r w:rsidRPr="00D723F4">
              <w:t>Types and their applications - CRT, Plasma, LC</w:t>
            </w:r>
            <w:r w:rsidRPr="00D723F4">
              <w:t>D, Monochrome, Colour, and Touch screen.</w:t>
            </w:r>
          </w:p>
          <w:p w:rsidR="00000000" w:rsidRPr="00D723F4" w:rsidP="00D723F4">
            <w:pPr>
              <w:pStyle w:val="ListBullet"/>
            </w:pPr>
            <w:r w:rsidRPr="00D723F4">
              <w:t>Sub-system components (i.e. functional blocks) and their operating parameters encompassing:</w:t>
            </w:r>
          </w:p>
          <w:p w:rsidR="00000000" w:rsidRPr="00D723F4" w:rsidP="00D723F4">
            <w:pPr>
              <w:pStyle w:val="ListBullet2"/>
            </w:pPr>
            <w:r w:rsidRPr="00D723F4">
              <w:t>EHT transformers</w:t>
            </w:r>
          </w:p>
          <w:p w:rsidR="00000000" w:rsidRPr="00D723F4" w:rsidP="00D723F4">
            <w:pPr>
              <w:pStyle w:val="ListBullet2"/>
            </w:pPr>
            <w:r w:rsidRPr="00D723F4">
              <w:t>detectors</w:t>
            </w:r>
          </w:p>
          <w:p w:rsidR="00000000" w:rsidRPr="00D723F4" w:rsidP="00D723F4">
            <w:pPr>
              <w:pStyle w:val="ListBullet2"/>
            </w:pPr>
            <w:r w:rsidRPr="00D723F4">
              <w:t>video distribution</w:t>
            </w:r>
          </w:p>
          <w:p w:rsidR="00000000" w:rsidRPr="00D723F4" w:rsidP="00D723F4">
            <w:pPr>
              <w:pStyle w:val="ListBullet2"/>
            </w:pPr>
            <w:r w:rsidRPr="00D723F4">
              <w:t>time base generators</w:t>
            </w:r>
          </w:p>
          <w:p w:rsidR="00000000" w:rsidRPr="00D723F4" w:rsidP="00D723F4">
            <w:pPr>
              <w:pStyle w:val="ListBullet2"/>
            </w:pPr>
            <w:r w:rsidRPr="00D723F4">
              <w:t>phase locked loops</w:t>
            </w:r>
          </w:p>
          <w:p w:rsidR="00000000" w:rsidRPr="00D723F4" w:rsidP="00D723F4">
            <w:pPr>
              <w:pStyle w:val="ListBullet2"/>
            </w:pPr>
            <w:r w:rsidRPr="00D723F4">
              <w:t>microprocessors</w:t>
            </w:r>
          </w:p>
          <w:p w:rsidR="00000000" w:rsidRPr="00D723F4" w:rsidP="00D723F4">
            <w:pPr>
              <w:pStyle w:val="ListBullet2"/>
            </w:pPr>
            <w:r w:rsidRPr="00D723F4">
              <w:t>memory devices</w:t>
            </w:r>
          </w:p>
          <w:p w:rsidR="00000000" w:rsidRPr="00D723F4" w:rsidP="00D723F4">
            <w:pPr>
              <w:pStyle w:val="ListBullet2"/>
            </w:pPr>
            <w:r w:rsidRPr="00D723F4">
              <w:t>demodulators</w:t>
            </w:r>
          </w:p>
          <w:p w:rsidR="00000000" w:rsidRPr="00D723F4" w:rsidP="00D723F4">
            <w:pPr>
              <w:pStyle w:val="ListBullet2"/>
            </w:pPr>
            <w:r w:rsidRPr="00D723F4">
              <w:t>focusing/deflection devices</w:t>
            </w:r>
          </w:p>
          <w:p w:rsidR="00000000" w:rsidRPr="00D723F4" w:rsidP="00D723F4">
            <w:pPr>
              <w:pStyle w:val="ListBullet2"/>
            </w:pPr>
            <w:r w:rsidRPr="00D723F4">
              <w:t>delay lines</w:t>
            </w:r>
          </w:p>
          <w:p w:rsidR="00000000" w:rsidRPr="00D723F4" w:rsidP="00D723F4">
            <w:pPr>
              <w:pStyle w:val="ListBullet2"/>
            </w:pPr>
            <w:r w:rsidRPr="00D723F4">
              <w:t>bleed resistors</w:t>
            </w:r>
          </w:p>
          <w:p w:rsidR="00000000" w:rsidRPr="00D723F4" w:rsidP="00D723F4">
            <w:pPr>
              <w:pStyle w:val="ListBullet2"/>
            </w:pPr>
            <w:r w:rsidRPr="00D723F4">
              <w:t xml:space="preserve">HV generation </w:t>
            </w:r>
          </w:p>
          <w:p w:rsidR="00000000" w:rsidRPr="00D723F4" w:rsidP="00D723F4">
            <w:pPr>
              <w:pStyle w:val="ListBullet"/>
            </w:pPr>
            <w:r w:rsidRPr="00D723F4">
              <w:t>Calibration testing and maintenance procedures</w:t>
            </w:r>
          </w:p>
          <w:p w:rsidR="00000000" w:rsidRPr="00D723F4" w:rsidP="00D723F4">
            <w:pPr>
              <w:pStyle w:val="ListBullet"/>
            </w:pPr>
            <w:r w:rsidRPr="00D723F4">
              <w:t>Typical fault finding, their symptoms and cause</w:t>
            </w:r>
          </w:p>
          <w:p w:rsidR="00000000" w:rsidRPr="00D723F4" w:rsidP="00D723F4">
            <w:pPr>
              <w:pStyle w:val="BodyText"/>
            </w:pPr>
            <w:r w:rsidRPr="00D723F4">
              <w:t>T3.</w:t>
            </w:r>
            <w:r w:rsidRPr="00D723F4">
              <w:tab/>
              <w:t>Electronic communications, radar fundamentals</w:t>
            </w:r>
          </w:p>
          <w:p w:rsidR="00000000" w:rsidRPr="00D723F4" w:rsidP="00D723F4">
            <w:pPr>
              <w:pStyle w:val="ListBullet"/>
            </w:pPr>
            <w:r w:rsidRPr="00D723F4">
              <w:t>Hazards and risk control measures</w:t>
            </w:r>
          </w:p>
          <w:p w:rsidR="00000000" w:rsidRPr="00D723F4" w:rsidP="00D723F4">
            <w:pPr>
              <w:pStyle w:val="ListBullet"/>
            </w:pPr>
            <w:r w:rsidRPr="00D723F4">
              <w:t xml:space="preserve">Purpose and uses of radar </w:t>
            </w:r>
          </w:p>
          <w:p w:rsidR="00000000" w:rsidRPr="00D723F4" w:rsidP="00D723F4">
            <w:pPr>
              <w:pStyle w:val="ListBullet"/>
            </w:pPr>
            <w:r w:rsidRPr="00D723F4">
              <w:t>Environmental conditions affecting radar</w:t>
            </w:r>
          </w:p>
          <w:p w:rsidR="00000000" w:rsidRPr="00D723F4" w:rsidP="00D723F4">
            <w:pPr>
              <w:pStyle w:val="ListBullet"/>
            </w:pPr>
            <w:r w:rsidRPr="00D723F4">
              <w:t>Design factors which affect performance</w:t>
            </w:r>
          </w:p>
          <w:p w:rsidR="00000000" w:rsidRPr="00D723F4" w:rsidP="00D723F4">
            <w:pPr>
              <w:pStyle w:val="ListBullet"/>
            </w:pPr>
            <w:r w:rsidRPr="00D723F4">
              <w:t>Propagation of electromagnetic waves</w:t>
            </w:r>
          </w:p>
          <w:p w:rsidR="00000000" w:rsidRPr="00D723F4" w:rsidP="00D723F4">
            <w:pPr>
              <w:pStyle w:val="ListBullet"/>
            </w:pPr>
            <w:r w:rsidRPr="00D723F4">
              <w:t>Pulse forming circuits</w:t>
            </w:r>
          </w:p>
          <w:p w:rsidR="00000000" w:rsidRPr="00D723F4" w:rsidP="00D723F4">
            <w:pPr>
              <w:pStyle w:val="ListBullet"/>
            </w:pPr>
            <w:r w:rsidRPr="00D723F4">
              <w:t>Typical radar transmitter encompassing:</w:t>
            </w:r>
          </w:p>
          <w:p w:rsidR="00000000" w:rsidRPr="00D723F4" w:rsidP="00D723F4">
            <w:pPr>
              <w:pStyle w:val="ListBullet2"/>
            </w:pPr>
            <w:r w:rsidRPr="00D723F4">
              <w:t>limitations a</w:t>
            </w:r>
            <w:r w:rsidRPr="00D723F4">
              <w:t>nd applications of each type</w:t>
            </w:r>
          </w:p>
          <w:p w:rsidR="00000000" w:rsidRPr="00D723F4" w:rsidP="00D723F4">
            <w:pPr>
              <w:pStyle w:val="ListBullet"/>
            </w:pPr>
            <w:r w:rsidRPr="00D723F4">
              <w:t>Typical radar receivers encompassing:</w:t>
            </w:r>
          </w:p>
          <w:p w:rsidR="00000000" w:rsidRPr="00D723F4" w:rsidP="00D723F4">
            <w:pPr>
              <w:pStyle w:val="ListBullet2"/>
            </w:pPr>
            <w:r w:rsidRPr="00D723F4">
              <w:t>Sub-system components (i.e. functional blocks) and their operating parameters</w:t>
            </w:r>
          </w:p>
          <w:p w:rsidR="00000000" w:rsidRPr="00D723F4" w:rsidP="00D723F4">
            <w:pPr>
              <w:pStyle w:val="ListBullet2"/>
            </w:pPr>
            <w:r w:rsidRPr="00D723F4">
              <w:t>limitations and applications</w:t>
            </w:r>
          </w:p>
          <w:p w:rsidR="00000000" w:rsidRPr="00D723F4" w:rsidP="00D723F4">
            <w:pPr>
              <w:pStyle w:val="ListBullet"/>
            </w:pPr>
            <w:r w:rsidRPr="00D723F4">
              <w:t>Radar antennae encompassing:</w:t>
            </w:r>
          </w:p>
          <w:p w:rsidR="00000000" w:rsidRPr="00D723F4" w:rsidP="00D723F4">
            <w:pPr>
              <w:pStyle w:val="ListBullet2"/>
            </w:pPr>
            <w:r w:rsidRPr="00D723F4">
              <w:t>Types, application and radiation patterns - parabolic, phased array, log periodic, and cos q</w:t>
            </w:r>
          </w:p>
          <w:p w:rsidR="00000000" w:rsidRPr="00D723F4" w:rsidP="00D723F4">
            <w:pPr>
              <w:pStyle w:val="ListBullet2"/>
            </w:pPr>
            <w:r w:rsidRPr="00D723F4">
              <w:t>antenna gain</w:t>
            </w:r>
          </w:p>
          <w:p w:rsidR="00000000" w:rsidRPr="00D723F4" w:rsidP="00D723F4">
            <w:pPr>
              <w:pStyle w:val="ListBullet2"/>
            </w:pPr>
            <w:r w:rsidRPr="00D723F4">
              <w:t>efficiency</w:t>
            </w:r>
          </w:p>
          <w:p w:rsidR="00000000" w:rsidRPr="00D723F4" w:rsidP="00D723F4">
            <w:pPr>
              <w:pStyle w:val="ListBullet2"/>
            </w:pPr>
            <w:r w:rsidRPr="00D723F4">
              <w:t>length and height factors</w:t>
            </w:r>
          </w:p>
          <w:p w:rsidR="00000000" w:rsidRPr="00D723F4" w:rsidP="00D723F4">
            <w:pPr>
              <w:pStyle w:val="ListBullet"/>
            </w:pPr>
            <w:r w:rsidRPr="00D723F4">
              <w:t>Microwave techniques, devices and applications encompassing:</w:t>
            </w:r>
          </w:p>
          <w:p w:rsidR="00000000" w:rsidRPr="00D723F4" w:rsidP="00D723F4">
            <w:pPr>
              <w:pStyle w:val="ListBullet2"/>
            </w:pPr>
            <w:r w:rsidRPr="00D723F4">
              <w:t>oscillators</w:t>
            </w:r>
          </w:p>
          <w:p w:rsidR="00000000" w:rsidRPr="00D723F4" w:rsidP="00D723F4">
            <w:pPr>
              <w:pStyle w:val="ListBullet2"/>
            </w:pPr>
            <w:r w:rsidRPr="00D723F4">
              <w:t>amplifiers</w:t>
            </w:r>
          </w:p>
          <w:p w:rsidR="00000000" w:rsidRPr="00D723F4" w:rsidP="00D723F4">
            <w:pPr>
              <w:pStyle w:val="ListBullet2"/>
            </w:pPr>
            <w:r w:rsidRPr="00D723F4">
              <w:t>modulators and demodulators</w:t>
            </w:r>
          </w:p>
          <w:p w:rsidR="00000000" w:rsidRPr="00D723F4" w:rsidP="00D723F4">
            <w:pPr>
              <w:pStyle w:val="ListBullet2"/>
            </w:pPr>
            <w:r w:rsidRPr="00D723F4">
              <w:t>mixers and detectors</w:t>
            </w:r>
          </w:p>
          <w:p w:rsidR="00000000" w:rsidRPr="00D723F4" w:rsidP="00D723F4">
            <w:pPr>
              <w:pStyle w:val="ListBullet"/>
            </w:pPr>
            <w:r w:rsidRPr="00D723F4">
              <w:t>Types and characteristics of various radar systems</w:t>
            </w:r>
          </w:p>
        </w:tc>
      </w:tr>
    </w:tbl>
    <w:p w:rsidR="00000000" w:rsidRPr="00D723F4" w:rsidP="00D723F4">
      <w:pPr>
        <w:pStyle w:val="BodyText"/>
      </w:pPr>
    </w:p>
    <w:p w:rsidR="00000000" w:rsidRPr="00D723F4" w:rsidP="00D723F4">
      <w:pPr>
        <w:pStyle w:val="AllowPageBreak"/>
      </w:pPr>
    </w:p>
    <w:p w:rsidR="00000000" w:rsidRPr="00D723F4" w:rsidP="00D723F4">
      <w:pPr>
        <w:pStyle w:val="Heading1"/>
      </w:pPr>
      <w:bookmarkStart w:id="10" w:name="O_705608"/>
      <w:bookmarkEnd w:id="10"/>
      <w:r w:rsidRPr="00D723F4">
        <w:t>Evidence Guide</w:t>
      </w:r>
    </w:p>
    <w:tbl>
      <w:tblPr>
        <w:tblW w:w="0" w:type="auto"/>
        <w:tblLayout w:type="fixed"/>
        <w:tblCellMar>
          <w:left w:w="62" w:type="dxa"/>
          <w:right w:w="62" w:type="dxa"/>
        </w:tblCellMar>
        <w:tblLook w:val="0000"/>
      </w:tblPr>
      <w:tblGrid>
        <w:gridCol w:w="8460"/>
      </w:tblGrid>
      <w:tr w:rsidTr="00CD7C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EVIDENCE GUIDE</w:t>
            </w:r>
          </w:p>
        </w:tc>
      </w:tr>
      <w:tr w:rsidTr="00CD7C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9)</w:t>
            </w:r>
            <w:r w:rsidRPr="00D723F4">
              <w:t xml:space="preserve"> The evidence guide provides advice on assessment and must be read in conjunction with the Performance </w:t>
            </w:r>
            <w:r w:rsidRPr="00D723F4">
              <w:t>Criteria, Required Skills and Knowledge, the Range Statement and the Assessment Guidelines for this Training Package. .</w:t>
            </w:r>
          </w:p>
          <w:p w:rsidR="00000000" w:rsidRPr="00D723F4" w:rsidP="00D723F4">
            <w:pPr>
              <w:pStyle w:val="BodyText"/>
            </w:pPr>
            <w:r w:rsidRPr="00D723F4">
              <w:t>The Evidence Guide forms an integral part of this unit. It must be used in conjunction with all parts of the unit and performed in accor</w:t>
            </w:r>
            <w:r w:rsidRPr="00D723F4">
              <w:t>dance with the Assessment Guidelines of this Training Package.</w:t>
            </w:r>
          </w:p>
        </w:tc>
      </w:tr>
    </w:tbl>
    <w:p w:rsidR="00000000" w:rsidRPr="00D723F4" w:rsidP="00D723F4">
      <w:pPr>
        <w:pStyle w:val="BodyText"/>
      </w:pPr>
    </w:p>
    <w:tbl>
      <w:tblPr>
        <w:tblW w:w="0" w:type="auto"/>
        <w:tblLayout w:type="fixed"/>
        <w:tblCellMar>
          <w:left w:w="62" w:type="dxa"/>
          <w:right w:w="62" w:type="dxa"/>
        </w:tblCellMar>
        <w:tblLook w:val="0000"/>
      </w:tblPr>
      <w:tblGrid>
        <w:gridCol w:w="1890"/>
        <w:gridCol w:w="6570"/>
      </w:tblGrid>
      <w:tr w:rsidTr="00CD7C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9.1)</w:t>
            </w:r>
          </w:p>
        </w:tc>
      </w:tr>
      <w:tr w:rsidTr="00CD7C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 xml:space="preserve">Longitudinal competency development approaches to assessment, such as Profiling, require data to be reliably gathered in a form that can be </w:t>
            </w:r>
            <w:r w:rsidRPr="00D723F4">
              <w:t>consistently interpreted over time. This approach is best utilised in Apprenticeship programs and reduces assessment intervention. It is the Industry-preferred model for apprenticeships. However, where summative (or final) assessment is used it must includ</w:t>
            </w:r>
            <w:r w:rsidRPr="00D723F4">
              <w:t>e the application of the competency in the normal work environment or, at a minimum, the application of the competency in a realistically simulated work environment. It is recognised that, in some circumstances, assessment in part or full can occur outside</w:t>
            </w:r>
            <w:r w:rsidRPr="00D723F4">
              <w:t xml:space="preserve"> the workplace. However, it must be in accord with industry and regulatory policy.</w:t>
            </w:r>
          </w:p>
          <w:p w:rsidR="00000000" w:rsidRPr="00D723F4" w:rsidP="00D723F4">
            <w:pPr>
              <w:pStyle w:val="BodyText"/>
            </w:pPr>
            <w:r w:rsidRPr="00D723F4">
              <w:t>Methods chosen for a particular assessment will be influenced by various factors. These include the extent of the assessment, the most effective locations for the assessment</w:t>
            </w:r>
            <w:r w:rsidRPr="00D723F4">
              <w:t xml:space="preserve"> activities to take place, access to physical resources, additional safety measures that may be required and the critical nature of the competencies being assessed.</w:t>
            </w:r>
          </w:p>
          <w:p w:rsidR="00000000" w:rsidRPr="00D723F4" w:rsidP="00D723F4">
            <w:pPr>
              <w:pStyle w:val="BodyText"/>
            </w:pPr>
            <w:r w:rsidRPr="00D723F4">
              <w:t>The critical safety nature of working with electricity, electrical equipment, gas or any ot</w:t>
            </w:r>
            <w:r w:rsidRPr="00D723F4">
              <w:t>her hazardous substance/material carries risk in deeming a person competent. Sources of evidence need to be ‘rich’ in nature to minimise error in judgment.</w:t>
            </w:r>
          </w:p>
          <w:p w:rsidR="00000000" w:rsidRPr="00D723F4" w:rsidP="00D723F4">
            <w:pPr>
              <w:pStyle w:val="BodyText"/>
            </w:pPr>
            <w:r w:rsidRPr="00D723F4">
              <w:t>Activities associated with normal everyday work influence decisions about how/how much the data gath</w:t>
            </w:r>
            <w:r w:rsidRPr="00D723F4">
              <w:t>ered will contribute to its ‘richness’. Some skills are more critical to safety and operational requirements while the same skills may be more or less frequently practised. These points are raised for the assessors to consider when choosing an assessment m</w:t>
            </w:r>
            <w:r w:rsidRPr="00D723F4">
              <w:t>ethod and developing assessment instruments. Sample assessment instruments are included for Assessors in the Assessment Guidelines of this Training Package.</w:t>
            </w:r>
          </w:p>
        </w:tc>
      </w:tr>
    </w:tbl>
    <w:p w:rsidR="00000000" w:rsidRPr="00D723F4" w:rsidP="00D723F4">
      <w:pPr>
        <w:pStyle w:val="BodyText"/>
      </w:pPr>
    </w:p>
    <w:tbl>
      <w:tblPr>
        <w:tblW w:w="9816" w:type="dxa"/>
        <w:tblLayout w:type="fixed"/>
        <w:tblCellMar>
          <w:left w:w="62" w:type="dxa"/>
          <w:right w:w="62" w:type="dxa"/>
        </w:tblCellMar>
        <w:tblLook w:val="0000"/>
      </w:tblPr>
      <w:tblGrid>
        <w:gridCol w:w="1846"/>
        <w:gridCol w:w="44"/>
        <w:gridCol w:w="6036"/>
        <w:gridCol w:w="534"/>
        <w:gridCol w:w="1356"/>
      </w:tblGrid>
      <w:tr w:rsidTr="00CD7C45">
        <w:tblPrEx>
          <w:tblW w:w="9816" w:type="dxa"/>
          <w:tblLayout w:type="fixed"/>
          <w:tblCellMar>
            <w:left w:w="62" w:type="dxa"/>
            <w:right w:w="62" w:type="dxa"/>
          </w:tblCellMar>
          <w:tblLook w:val="0000"/>
        </w:tblPrEx>
        <w:trPr>
          <w:gridAfter w:val="1"/>
          <w:wAfter w:w="1356" w:type="dxa"/>
        </w:trPr>
        <w:tc>
          <w:tcPr>
            <w:tcW w:w="1890" w:type="dxa"/>
            <w:gridSpan w:val="2"/>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9.2)</w:t>
            </w:r>
          </w:p>
        </w:tc>
      </w:tr>
      <w:tr w:rsidTr="00CD7C45">
        <w:tblPrEx>
          <w:tblW w:w="9816" w:type="dxa"/>
          <w:tblLayout w:type="fixed"/>
          <w:tblCellMar>
            <w:left w:w="62" w:type="dxa"/>
            <w:right w:w="62" w:type="dxa"/>
          </w:tblCellMar>
          <w:tblLook w:val="0000"/>
        </w:tblPrEx>
        <w:trPr>
          <w:gridAfter w:val="1"/>
          <w:wAfter w:w="1356"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Before the c</w:t>
            </w:r>
            <w:r w:rsidRPr="00D723F4">
              <w:t>ritical aspects of evidence are considered all prerequisites shall be met.</w:t>
            </w:r>
          </w:p>
          <w:p w:rsidR="00000000" w:rsidRPr="00D723F4" w:rsidP="00D723F4">
            <w:pPr>
              <w:pStyle w:val="BodyText"/>
            </w:pPr>
            <w:r w:rsidRPr="00D723F4">
              <w:t>Evidence for competence in this unit shall be considered holistically.  Each Element and associated performance criteria shall be demonstrated on at least two occasions in accordanc</w:t>
            </w:r>
            <w:r w:rsidRPr="00D723F4">
              <w:t>e with the ‘Assessment Guidelines – UEE11’.  Evidence shall also comprise:</w:t>
            </w:r>
          </w:p>
          <w:p w:rsidR="00000000" w:rsidRPr="00D723F4" w:rsidP="00D723F4">
            <w:pPr>
              <w:pStyle w:val="ListBullet"/>
            </w:pPr>
            <w:r w:rsidRPr="00D723F4">
              <w:t>A representative body of work performance demonstrated within the timeframes typically expected of the discipline, work function and industrial environment. In particular this shal</w:t>
            </w:r>
            <w:r w:rsidRPr="00D723F4">
              <w:t>l incorporate evidence that shows a candidate is able to:</w:t>
            </w:r>
          </w:p>
          <w:p w:rsidR="00000000" w:rsidRPr="00D723F4" w:rsidP="00D723F4">
            <w:pPr>
              <w:pStyle w:val="ListBullet2"/>
            </w:pPr>
            <w:r w:rsidRPr="00D723F4">
              <w:t>Implement Occupational Health and Safety workplace procedures and practices, including the use of risk control measures as specified in the performance criteria and range statement</w:t>
            </w:r>
          </w:p>
          <w:p w:rsidR="00000000" w:rsidRPr="00D723F4" w:rsidP="00D723F4">
            <w:pPr>
              <w:pStyle w:val="ListBullet2"/>
            </w:pPr>
            <w:r w:rsidRPr="00D723F4">
              <w:t>Apply sustainable energy principles and practices as specified in the performance criteria and range statement</w:t>
            </w:r>
          </w:p>
          <w:p w:rsidR="00000000" w:rsidRPr="00D723F4" w:rsidP="00D723F4">
            <w:pPr>
              <w:pStyle w:val="ListBullet2"/>
            </w:pPr>
            <w:r w:rsidRPr="00D723F4">
              <w:t>Demonstrate an understanding of the essential knowledge and associated skills as described in this unit.  It may be required by some jurisdiction</w:t>
            </w:r>
            <w:r w:rsidRPr="00D723F4">
              <w:t>s that RTOs provide a percentile graded result for the purpose of regulatory or licensing requirements.</w:t>
            </w:r>
          </w:p>
          <w:p w:rsidR="00000000" w:rsidRPr="00D723F4" w:rsidP="00D723F4">
            <w:pPr>
              <w:pStyle w:val="ListBullet2"/>
            </w:pPr>
            <w:r w:rsidRPr="00D723F4">
              <w:t>Demonstrate an appropriate level of skills enabling employment</w:t>
            </w:r>
          </w:p>
          <w:p w:rsidR="00000000" w:rsidRPr="00D723F4" w:rsidP="00D723F4">
            <w:pPr>
              <w:pStyle w:val="ListBullet2"/>
            </w:pPr>
            <w:r w:rsidRPr="00D723F4">
              <w:t>Conduct work observing the relevant Anti Discrimination legislation, regulations, polices</w:t>
            </w:r>
            <w:r w:rsidRPr="00D723F4">
              <w:t xml:space="preserve"> and workplace procedures</w:t>
            </w:r>
          </w:p>
          <w:p w:rsidR="00000000" w:rsidRPr="00D723F4" w:rsidP="00D723F4">
            <w:pPr>
              <w:pStyle w:val="ListBullet"/>
            </w:pPr>
            <w:r w:rsidRPr="00D723F4">
              <w:t>Demonstrated consistent performance across a representative range of contexts from the prescribed items below:</w:t>
            </w:r>
          </w:p>
          <w:p w:rsidR="00000000" w:rsidP="00D723F4">
            <w:pPr>
              <w:pStyle w:val="ListBullet2"/>
              <w:rPr>
                <w:lang w:val="en-NZ"/>
              </w:rPr>
            </w:pPr>
            <w:r w:rsidRPr="00D723F4">
              <w:t>Fault find and repair radar apparatus and systems as described in 8) and including:</w:t>
            </w:r>
          </w:p>
        </w:tc>
      </w:tr>
      <w:tr w:rsidTr="00CD7C45">
        <w:tblPrEx>
          <w:tblW w:w="9816" w:type="dxa"/>
          <w:tblLayout w:type="fixed"/>
          <w:tblCellMar>
            <w:left w:w="62" w:type="dxa"/>
            <w:right w:w="62" w:type="dxa"/>
          </w:tblCellMar>
          <w:tblLook w:val="0000"/>
        </w:tblPrEx>
        <w:trPr>
          <w:gridAfter w:val="2"/>
          <w:wAfter w:w="1890" w:type="dxa"/>
        </w:trPr>
        <w:tc>
          <w:tcPr>
            <w:tcW w:w="1846"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A</w:t>
            </w:r>
          </w:p>
        </w:tc>
        <w:tc>
          <w:tcPr>
            <w:tcW w:w="6080"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Applying logical diagnostic methods.</w:t>
            </w:r>
          </w:p>
        </w:tc>
      </w:tr>
      <w:tr w:rsidTr="00CD7C45">
        <w:tblPrEx>
          <w:tblW w:w="9816" w:type="dxa"/>
          <w:tblLayout w:type="fixed"/>
          <w:tblCellMar>
            <w:left w:w="62" w:type="dxa"/>
            <w:right w:w="62" w:type="dxa"/>
          </w:tblCellMar>
          <w:tblLook w:val="0000"/>
        </w:tblPrEx>
        <w:trPr>
          <w:gridAfter w:val="2"/>
          <w:wAfter w:w="1890" w:type="dxa"/>
        </w:trPr>
        <w:tc>
          <w:tcPr>
            <w:tcW w:w="1846"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B</w:t>
            </w:r>
          </w:p>
        </w:tc>
        <w:tc>
          <w:tcPr>
            <w:tcW w:w="6080"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Using fault scenarios to test the source of system faults.</w:t>
            </w:r>
          </w:p>
        </w:tc>
      </w:tr>
      <w:tr w:rsidTr="00CD7C45">
        <w:tblPrEx>
          <w:tblW w:w="9816" w:type="dxa"/>
          <w:tblLayout w:type="fixed"/>
          <w:tblCellMar>
            <w:left w:w="62" w:type="dxa"/>
            <w:right w:w="62" w:type="dxa"/>
          </w:tblCellMar>
          <w:tblLook w:val="0000"/>
        </w:tblPrEx>
        <w:trPr>
          <w:gridAfter w:val="2"/>
          <w:wAfter w:w="1890" w:type="dxa"/>
        </w:trPr>
        <w:tc>
          <w:tcPr>
            <w:tcW w:w="1846"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C</w:t>
            </w:r>
          </w:p>
        </w:tc>
        <w:tc>
          <w:tcPr>
            <w:tcW w:w="6080"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Identifying faults and competency needed to rectify them.</w:t>
            </w:r>
          </w:p>
        </w:tc>
      </w:tr>
      <w:tr w:rsidTr="00CD7C45">
        <w:tblPrEx>
          <w:tblW w:w="9816" w:type="dxa"/>
          <w:tblLayout w:type="fixed"/>
          <w:tblCellMar>
            <w:left w:w="62" w:type="dxa"/>
            <w:right w:w="62" w:type="dxa"/>
          </w:tblCellMar>
          <w:tblLook w:val="0000"/>
        </w:tblPrEx>
        <w:trPr>
          <w:gridAfter w:val="2"/>
          <w:wAfter w:w="1890" w:type="dxa"/>
        </w:trPr>
        <w:tc>
          <w:tcPr>
            <w:tcW w:w="1846"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D</w:t>
            </w:r>
          </w:p>
        </w:tc>
        <w:tc>
          <w:tcPr>
            <w:tcW w:w="6080"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Rectifying faults in system electronics.</w:t>
            </w:r>
          </w:p>
        </w:tc>
      </w:tr>
      <w:tr w:rsidTr="00CD7C45">
        <w:tblPrEx>
          <w:tblW w:w="9816" w:type="dxa"/>
          <w:tblLayout w:type="fixed"/>
          <w:tblCellMar>
            <w:left w:w="62" w:type="dxa"/>
            <w:right w:w="62" w:type="dxa"/>
          </w:tblCellMar>
          <w:tblLook w:val="0000"/>
        </w:tblPrEx>
        <w:trPr>
          <w:gridAfter w:val="2"/>
          <w:wAfter w:w="1890" w:type="dxa"/>
        </w:trPr>
        <w:tc>
          <w:tcPr>
            <w:tcW w:w="1846"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E</w:t>
            </w:r>
          </w:p>
        </w:tc>
        <w:tc>
          <w:tcPr>
            <w:tcW w:w="6080"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Verifying that the system operates correctly.</w:t>
            </w:r>
          </w:p>
        </w:tc>
      </w:tr>
      <w:tr w:rsidTr="00CD7C45">
        <w:tblPrEx>
          <w:tblW w:w="9816" w:type="dxa"/>
          <w:tblLayout w:type="fixed"/>
          <w:tblCellMar>
            <w:left w:w="62" w:type="dxa"/>
            <w:right w:w="62" w:type="dxa"/>
          </w:tblCellMar>
          <w:tblLook w:val="0000"/>
        </w:tblPrEx>
        <w:trPr>
          <w:gridAfter w:val="2"/>
          <w:wAfter w:w="1890" w:type="dxa"/>
        </w:trPr>
        <w:tc>
          <w:tcPr>
            <w:tcW w:w="1846"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F</w:t>
            </w:r>
          </w:p>
        </w:tc>
        <w:tc>
          <w:tcPr>
            <w:tcW w:w="6080"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Documenting fault rectification.</w:t>
            </w:r>
          </w:p>
        </w:tc>
      </w:tr>
      <w:tr w:rsidTr="00CD7C45">
        <w:tblPrEx>
          <w:tblW w:w="9816" w:type="dxa"/>
          <w:tblLayout w:type="fixed"/>
          <w:tblCellMar>
            <w:left w:w="62" w:type="dxa"/>
            <w:right w:w="62" w:type="dxa"/>
          </w:tblCellMar>
          <w:tblLook w:val="0000"/>
        </w:tblPrEx>
        <w:trPr>
          <w:gridAfter w:val="2"/>
          <w:wAfter w:w="1890" w:type="dxa"/>
        </w:trPr>
        <w:tc>
          <w:tcPr>
            <w:tcW w:w="1846"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G</w:t>
            </w:r>
          </w:p>
        </w:tc>
        <w:tc>
          <w:tcPr>
            <w:tcW w:w="6080" w:type="dxa"/>
            <w:gridSpan w:val="2"/>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t>Dealing with unplanned events by drawing on essential knowledge and skills to provide appropriate solutions incorporated in a holistic assessment with the above listed items.</w:t>
            </w:r>
          </w:p>
        </w:tc>
      </w:tr>
      <w:tr w:rsidTr="00CD7C45">
        <w:tblPrEx>
          <w:tblW w:w="9816" w:type="dxa"/>
          <w:tblLayout w:type="fixed"/>
          <w:tblCellMar>
            <w:left w:w="62" w:type="dxa"/>
            <w:right w:w="62" w:type="dxa"/>
          </w:tblCellMar>
          <w:tblLook w:val="0000"/>
        </w:tblPrEx>
        <w:tc>
          <w:tcPr>
            <w:tcW w:w="9816" w:type="dxa"/>
            <w:gridSpan w:val="5"/>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 xml:space="preserve">Note: </w:t>
            </w:r>
          </w:p>
          <w:p w:rsidR="00000000" w:rsidRPr="00D723F4" w:rsidP="00D723F4">
            <w:pPr>
              <w:pStyle w:val="BodyText"/>
            </w:pPr>
            <w:r w:rsidRPr="00D723F4">
              <w:t>Successful completion of relevant vendor training may be used to contribute to evidence on which competency is deemed. In these cases the alignment of outcomes of vendor training with performance criteria and critical aspects of evidence shall be clearly i</w:t>
            </w:r>
            <w:r w:rsidRPr="00D723F4">
              <w:t>dentified.</w:t>
            </w:r>
          </w:p>
        </w:tc>
      </w:tr>
    </w:tbl>
    <w:p w:rsidR="00000000" w:rsidRPr="00D723F4" w:rsidP="00D723F4">
      <w:pPr>
        <w:pStyle w:val="BodyText"/>
      </w:pPr>
    </w:p>
    <w:tbl>
      <w:tblPr>
        <w:tblW w:w="0" w:type="auto"/>
        <w:tblLayout w:type="fixed"/>
        <w:tblCellMar>
          <w:left w:w="62" w:type="dxa"/>
          <w:right w:w="62" w:type="dxa"/>
        </w:tblCellMar>
        <w:tblLook w:val="0000"/>
      </w:tblPr>
      <w:tblGrid>
        <w:gridCol w:w="1890"/>
        <w:gridCol w:w="6570"/>
      </w:tblGrid>
      <w:tr w:rsidTr="00CD7C4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9.3)</w:t>
            </w:r>
          </w:p>
        </w:tc>
      </w:tr>
      <w:tr w:rsidTr="00CD7C4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This unit should be assessed as it relates to normal work practice using procedures, information and resources typical of a workplace. This should include:</w:t>
            </w:r>
          </w:p>
          <w:p w:rsidR="00000000" w:rsidRPr="00D723F4" w:rsidP="00D723F4">
            <w:pPr>
              <w:pStyle w:val="ListBullet"/>
            </w:pPr>
            <w:r w:rsidRPr="00D723F4">
              <w:t>OHS policy and work procedures and instructions.</w:t>
            </w:r>
          </w:p>
          <w:p w:rsidR="00000000" w:rsidRPr="00D723F4" w:rsidP="00D723F4">
            <w:pPr>
              <w:pStyle w:val="ListBullet"/>
            </w:pPr>
            <w:r w:rsidRPr="00D723F4">
              <w:t>Suitable work environment, facilities, equipment and materials to undertake actual work as prescribed by this unit.</w:t>
            </w:r>
          </w:p>
          <w:p w:rsidR="00000000" w:rsidRPr="00D723F4" w:rsidP="00D723F4">
            <w:pPr>
              <w:pStyle w:val="BodyText"/>
            </w:pPr>
            <w:r w:rsidRPr="00D723F4">
              <w:t>Resources required to assess this unit are listed above in Context of assessment’, which sh</w:t>
            </w:r>
            <w:r w:rsidRPr="00D723F4">
              <w:t>ould also be used in the formal learning/assessment environment.</w:t>
            </w:r>
          </w:p>
          <w:p w:rsidR="00000000" w:rsidRPr="00D723F4" w:rsidP="00D723F4">
            <w:pPr>
              <w:pStyle w:val="BodyText"/>
            </w:pPr>
            <w:r w:rsidRPr="00D723F4">
              <w:t>Note:</w:t>
            </w:r>
          </w:p>
          <w:p w:rsidR="00000000" w:rsidRPr="00D723F4" w:rsidP="00D723F4">
            <w:pPr>
              <w:pStyle w:val="BodyText"/>
            </w:pPr>
            <w:r w:rsidRPr="00D723F4">
              <w:t>Where simulation is considered a suitable strategy for assessment, conditions must be authentic and as far as possible reproduce and replicate the workplace and be consistent with the a</w:t>
            </w:r>
            <w:r w:rsidRPr="00D723F4">
              <w:t>pproved industry simulation policy.</w:t>
            </w:r>
          </w:p>
          <w:p w:rsidR="00000000" w:rsidRPr="00D723F4" w:rsidP="00D723F4">
            <w:pPr>
              <w:pStyle w:val="BodyText"/>
            </w:pPr>
            <w:r w:rsidRPr="00D723F4">
              <w:t>The resources used for assessment should reflect current industry practices in relation to diagnosing and rectifying faults in radar apparatus and systems.</w:t>
            </w:r>
          </w:p>
        </w:tc>
      </w:tr>
    </w:tbl>
    <w:p w:rsidR="00000000" w:rsidRPr="00D723F4" w:rsidP="00D723F4">
      <w:pPr>
        <w:pStyle w:val="BodyText"/>
      </w:pPr>
    </w:p>
    <w:tbl>
      <w:tblPr>
        <w:tblW w:w="0" w:type="auto"/>
        <w:tblLayout w:type="fixed"/>
        <w:tblCellMar>
          <w:left w:w="62" w:type="dxa"/>
          <w:right w:w="62" w:type="dxa"/>
        </w:tblCellMar>
        <w:tblLook w:val="0000"/>
      </w:tblPr>
      <w:tblGrid>
        <w:gridCol w:w="1890"/>
        <w:gridCol w:w="6570"/>
      </w:tblGrid>
      <w:tr w:rsidTr="00CD7C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9.4)</w:t>
            </w:r>
          </w:p>
        </w:tc>
      </w:tr>
      <w:tr w:rsidTr="00CD7C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This unit shall be assessed by methods given in Volume 1, Part 3 ‘Assessment Guidelines’.</w:t>
            </w:r>
          </w:p>
          <w:p w:rsidR="00000000" w:rsidRPr="00D723F4" w:rsidP="00D723F4">
            <w:pPr>
              <w:pStyle w:val="BodyText"/>
            </w:pPr>
            <w:r w:rsidRPr="00D723F4">
              <w:t xml:space="preserve">Note: </w:t>
            </w:r>
          </w:p>
          <w:p w:rsidR="00000000" w:rsidRPr="00D723F4" w:rsidP="00D723F4">
            <w:pPr>
              <w:pStyle w:val="BodyText"/>
            </w:pPr>
            <w:r w:rsidRPr="00D723F4">
              <w:t>Competent performance with inherent safe working practices is expected in the industry to which this unit applies. This requires that the specified essential k</w:t>
            </w:r>
            <w:r w:rsidRPr="00D723F4">
              <w:t>nowledge and associated skills are assessed in a structured environment which is primarily intended for learning/assessment and incorporates all necessary equipment and facilities for learners to develop and demonstrate the essential knowledge and skills d</w:t>
            </w:r>
            <w:r w:rsidRPr="00D723F4">
              <w:t>escribed in this unit.</w:t>
            </w:r>
          </w:p>
        </w:tc>
      </w:tr>
    </w:tbl>
    <w:p w:rsidR="00000000" w:rsidRPr="00D723F4" w:rsidP="00D723F4">
      <w:pPr>
        <w:pStyle w:val="BodyText"/>
      </w:pPr>
    </w:p>
    <w:tbl>
      <w:tblPr>
        <w:tblW w:w="0" w:type="auto"/>
        <w:tblLayout w:type="fixed"/>
        <w:tblCellMar>
          <w:left w:w="62" w:type="dxa"/>
          <w:right w:w="62" w:type="dxa"/>
        </w:tblCellMar>
        <w:tblLook w:val="0000"/>
      </w:tblPr>
      <w:tblGrid>
        <w:gridCol w:w="1890"/>
        <w:gridCol w:w="6570"/>
      </w:tblGrid>
      <w:tr w:rsidTr="00CD7C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9.5)</w:t>
            </w:r>
          </w:p>
        </w:tc>
      </w:tr>
      <w:tr w:rsidTr="00CD7C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There are no concurrent assessment recommendations for this unit.</w:t>
            </w:r>
          </w:p>
          <w:p w:rsidR="00000000" w:rsidRPr="00D723F4" w:rsidP="00D723F4">
            <w:pPr>
              <w:pStyle w:val="BodyText"/>
            </w:pPr>
            <w:r w:rsidRPr="00D723F4">
              <w:t>The critical aspects of occupational health and safety covered in unit UEENEEE101A and other disciplin</w:t>
            </w:r>
            <w:r w:rsidRPr="00D723F4">
              <w:t>e specific occupational health and safety units shall be incorporated in relation to this unit.</w:t>
            </w:r>
          </w:p>
        </w:tc>
      </w:tr>
    </w:tbl>
    <w:p w:rsidR="00000000" w:rsidRPr="00D723F4" w:rsidP="00D723F4">
      <w:pPr>
        <w:pStyle w:val="BodyText"/>
      </w:pPr>
    </w:p>
    <w:p w:rsidR="00000000" w:rsidRPr="00D723F4" w:rsidP="00D723F4">
      <w:pPr>
        <w:pStyle w:val="AllowPageBreak"/>
      </w:pPr>
    </w:p>
    <w:p w:rsidR="00000000" w:rsidRPr="00D723F4" w:rsidP="00D723F4">
      <w:pPr>
        <w:pStyle w:val="Heading1"/>
      </w:pPr>
      <w:bookmarkStart w:id="11" w:name="O_705607"/>
      <w:bookmarkEnd w:id="11"/>
      <w:r w:rsidRPr="00D723F4">
        <w:t>Range Statement</w:t>
      </w:r>
    </w:p>
    <w:tbl>
      <w:tblPr>
        <w:tblW w:w="0" w:type="auto"/>
        <w:tblLayout w:type="fixed"/>
        <w:tblCellMar>
          <w:left w:w="62" w:type="dxa"/>
          <w:right w:w="62" w:type="dxa"/>
        </w:tblCellMar>
        <w:tblLook w:val="0000"/>
      </w:tblPr>
      <w:tblGrid>
        <w:gridCol w:w="8460"/>
      </w:tblGrid>
      <w:tr w:rsidTr="00CD7C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RANGE STATEMENT</w:t>
            </w:r>
          </w:p>
        </w:tc>
      </w:tr>
      <w:tr w:rsidTr="00CD7C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10)</w:t>
            </w:r>
            <w:r w:rsidRPr="00D723F4">
              <w:t xml:space="preserve"> This relates to the unit as a whole providing the range of contexts and conditions to which </w:t>
            </w:r>
            <w:r w:rsidRPr="00D723F4">
              <w:t>the performance criteria apply. It allows for different work environments and situations that will affect performance.</w:t>
            </w:r>
          </w:p>
          <w:p w:rsidR="00000000" w:rsidRPr="00D723F4" w:rsidP="00D723F4">
            <w:pPr>
              <w:pStyle w:val="BodyText"/>
            </w:pPr>
            <w:r w:rsidRPr="00D723F4">
              <w:t>This unit shall be demonstrated by fault finding and repairing at least four faults system faults in a representative range of electronic</w:t>
            </w:r>
            <w:r w:rsidRPr="00D723F4">
              <w:t xml:space="preserve"> radar apparatus and systems.</w:t>
            </w:r>
          </w:p>
          <w:p w:rsidR="00000000" w:rsidRPr="00D723F4" w:rsidP="00D723F4">
            <w:pPr>
              <w:pStyle w:val="BodyText"/>
            </w:pPr>
            <w:r w:rsidRPr="00D723F4">
              <w:t>Generic terms used throughout this Vocational Standard shall be regarded as part of the Range Statement in which competency is demonstrated. The definition of these and other terms that apply are given in Volume 2, Part 2.1.</w:t>
            </w:r>
          </w:p>
        </w:tc>
      </w:tr>
    </w:tbl>
    <w:p w:rsidR="00000000" w:rsidRPr="00D723F4" w:rsidP="00D723F4">
      <w:pPr>
        <w:pStyle w:val="BodyText"/>
      </w:pPr>
    </w:p>
    <w:p w:rsidR="00000000" w:rsidRPr="00D723F4" w:rsidP="00D723F4">
      <w:pPr>
        <w:pStyle w:val="AllowPageBreak"/>
      </w:pPr>
    </w:p>
    <w:p w:rsidR="00000000" w:rsidRPr="00D723F4" w:rsidP="00D723F4">
      <w:pPr>
        <w:pStyle w:val="Heading1"/>
      </w:pPr>
      <w:bookmarkStart w:id="12" w:name="O_705606"/>
      <w:bookmarkEnd w:id="12"/>
      <w:r w:rsidRPr="00D723F4">
        <w:t>Unit Sector(s)</w:t>
      </w:r>
    </w:p>
    <w:p w:rsidR="00000000" w:rsidRPr="00D723F4" w:rsidP="00D723F4">
      <w:pPr>
        <w:pStyle w:val="BodyText"/>
      </w:pPr>
      <w:r w:rsidRPr="00D723F4">
        <w:t>Not applicable.</w:t>
      </w:r>
    </w:p>
    <w:p w:rsidR="00000000" w:rsidRPr="00D723F4" w:rsidP="00D723F4">
      <w:pPr>
        <w:pStyle w:val="AllowPageBreak"/>
      </w:pPr>
    </w:p>
    <w:p w:rsidR="00000000" w:rsidRPr="00D723F4" w:rsidP="00D723F4">
      <w:pPr>
        <w:pStyle w:val="Heading1"/>
      </w:pPr>
      <w:bookmarkStart w:id="13" w:name="O_705605"/>
      <w:bookmarkEnd w:id="13"/>
      <w:r w:rsidRPr="00D723F4">
        <w:t>Competency Field</w:t>
      </w:r>
    </w:p>
    <w:tbl>
      <w:tblPr>
        <w:tblW w:w="0" w:type="auto"/>
        <w:tblLayout w:type="fixed"/>
        <w:tblCellMar>
          <w:left w:w="62" w:type="dxa"/>
          <w:right w:w="62" w:type="dxa"/>
        </w:tblCellMar>
        <w:tblLook w:val="0000"/>
      </w:tblPr>
      <w:tblGrid>
        <w:gridCol w:w="2700"/>
        <w:gridCol w:w="5760"/>
      </w:tblGrid>
      <w:tr w:rsidTr="00CD7C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723F4">
            <w:pPr>
              <w:pStyle w:val="BodyText"/>
              <w:rPr>
                <w:lang w:val="en-NZ"/>
              </w:rPr>
            </w:pPr>
            <w:r w:rsidRPr="00D723F4">
              <w:rPr>
                <w:rStyle w:val="SpecialBold"/>
              </w:rPr>
              <w:t xml:space="preserve">11) </w:t>
            </w:r>
          </w:p>
        </w:tc>
      </w:tr>
      <w:tr w:rsidTr="00CD7C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23F4" w:rsidP="00D723F4">
            <w:pPr>
              <w:pStyle w:val="BodyText"/>
            </w:pPr>
            <w:r w:rsidRPr="00D723F4">
              <w:t>Electronics</w:t>
            </w:r>
          </w:p>
        </w:tc>
      </w:tr>
    </w:tbl>
    <w:p w:rsidR="00000000" w:rsidRPr="00D723F4" w:rsidP="00D723F4">
      <w:pPr>
        <w:pStyle w:val="BodyText"/>
      </w:pPr>
    </w:p>
    <w:p w:rsidR="00000000" w:rsidRPr="00D723F4" w:rsidP="00D723F4"/>
    <w:sectPr w:rsidSect="00D723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F4" w:rsidRPr="00CD7C45" w:rsidP="00CD7C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45" w:rsidP="00D72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CD7C45" w:rsidP="00D723F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CD7C45" w:rsidP="00D72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F4" w:rsidRPr="00CD7C45" w:rsidP="00CD7C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45" w:rsidRPr="002D2AF8" w:rsidP="00D723F4">
    <w:pPr>
      <w:pStyle w:val="Header"/>
      <w:framePr w:wrap="around"/>
    </w:pPr>
    <w:r>
      <w:fldChar w:fldCharType="begin"/>
    </w:r>
    <w:r>
      <w:instrText xml:space="preserve"> TITLE   \* MERGEFORMAT </w:instrText>
    </w:r>
    <w:r>
      <w:fldChar w:fldCharType="separate"/>
    </w:r>
    <w:r>
      <w:t>UEENEEH131A Fault find and repair radar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CD7C45" w:rsidP="00D72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56B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C43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26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3F4"/>
    <w:pPr>
      <w:spacing w:before="360" w:after="60"/>
      <w:outlineLvl w:val="0"/>
    </w:pPr>
    <w:rPr>
      <w:sz w:val="32"/>
    </w:rPr>
  </w:style>
  <w:style w:type="paragraph" w:styleId="Heading2">
    <w:name w:val="heading 2"/>
    <w:basedOn w:val="HeadingBase"/>
    <w:next w:val="BodyText"/>
    <w:link w:val="Heading2Char"/>
    <w:qFormat/>
    <w:rsid w:val="00D723F4"/>
    <w:pPr>
      <w:keepLines/>
      <w:spacing w:before="240" w:after="120"/>
      <w:outlineLvl w:val="1"/>
    </w:pPr>
    <w:rPr>
      <w:sz w:val="28"/>
      <w:szCs w:val="40"/>
    </w:rPr>
  </w:style>
  <w:style w:type="paragraph" w:styleId="Heading3">
    <w:name w:val="heading 3"/>
    <w:basedOn w:val="HeadingBase"/>
    <w:next w:val="BodyText"/>
    <w:link w:val="Heading3Char"/>
    <w:qFormat/>
    <w:rsid w:val="00D723F4"/>
    <w:pPr>
      <w:spacing w:before="180" w:after="120"/>
      <w:outlineLvl w:val="2"/>
    </w:pPr>
    <w:rPr>
      <w:spacing w:val="-10"/>
      <w:kern w:val="32"/>
    </w:rPr>
  </w:style>
  <w:style w:type="paragraph" w:styleId="Heading4">
    <w:name w:val="heading 4"/>
    <w:basedOn w:val="HeadingBase"/>
    <w:next w:val="BodyText"/>
    <w:link w:val="Heading4Char"/>
    <w:qFormat/>
    <w:rsid w:val="00D723F4"/>
    <w:pPr>
      <w:spacing w:before="160" w:after="120"/>
      <w:outlineLvl w:val="3"/>
    </w:pPr>
    <w:rPr>
      <w:sz w:val="22"/>
    </w:rPr>
  </w:style>
  <w:style w:type="paragraph" w:styleId="Heading5">
    <w:name w:val="heading 5"/>
    <w:basedOn w:val="HeadingBase"/>
    <w:next w:val="Normal"/>
    <w:link w:val="Heading5Char"/>
    <w:qFormat/>
    <w:rsid w:val="00D723F4"/>
    <w:pPr>
      <w:spacing w:before="80"/>
      <w:outlineLvl w:val="4"/>
    </w:pPr>
    <w:rPr>
      <w:color w:val="918585"/>
      <w:sz w:val="20"/>
    </w:rPr>
  </w:style>
  <w:style w:type="paragraph" w:styleId="Heading6">
    <w:name w:val="heading 6"/>
    <w:basedOn w:val="HeadingBase"/>
    <w:next w:val="Normal"/>
    <w:link w:val="Heading6Char"/>
    <w:qFormat/>
    <w:rsid w:val="00D723F4"/>
    <w:pPr>
      <w:spacing w:before="60"/>
      <w:outlineLvl w:val="5"/>
    </w:pPr>
    <w:rPr>
      <w:color w:val="918585"/>
      <w:sz w:val="20"/>
    </w:rPr>
  </w:style>
  <w:style w:type="paragraph" w:styleId="Heading7">
    <w:name w:val="heading 7"/>
    <w:basedOn w:val="Normal"/>
    <w:next w:val="Normal"/>
    <w:link w:val="Heading7Char"/>
    <w:qFormat/>
    <w:rsid w:val="00D723F4"/>
    <w:pPr>
      <w:ind w:left="720"/>
      <w:outlineLvl w:val="6"/>
    </w:pPr>
    <w:rPr>
      <w:i/>
    </w:rPr>
  </w:style>
  <w:style w:type="paragraph" w:styleId="Heading8">
    <w:name w:val="heading 8"/>
    <w:basedOn w:val="Normal"/>
    <w:next w:val="Normal"/>
    <w:link w:val="Heading8Char"/>
    <w:qFormat/>
    <w:rsid w:val="00D723F4"/>
    <w:pPr>
      <w:ind w:left="720"/>
      <w:outlineLvl w:val="7"/>
    </w:pPr>
    <w:rPr>
      <w:i/>
    </w:rPr>
  </w:style>
  <w:style w:type="paragraph" w:styleId="Heading9">
    <w:name w:val="heading 9"/>
    <w:basedOn w:val="Normal"/>
    <w:next w:val="Normal"/>
    <w:link w:val="Heading9Char"/>
    <w:qFormat/>
    <w:rsid w:val="00D723F4"/>
    <w:pPr>
      <w:ind w:left="720"/>
      <w:outlineLvl w:val="8"/>
    </w:pPr>
    <w:rPr>
      <w:i/>
    </w:rPr>
  </w:style>
  <w:style w:type="character" w:default="1" w:styleId="DefaultParagraphFont">
    <w:name w:val="Default Paragraph Font"/>
    <w:uiPriority w:val="1"/>
    <w:unhideWhenUsed/>
    <w:rsid w:val="00D72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3F4"/>
  </w:style>
  <w:style w:type="character" w:customStyle="1" w:styleId="Heading1Char">
    <w:name w:val="Heading 1 Char"/>
    <w:basedOn w:val="DefaultParagraphFont"/>
    <w:link w:val="Heading1"/>
    <w:rsid w:val="00D723F4"/>
    <w:rPr>
      <w:rFonts w:ascii="Times New Roman" w:eastAsia="Times New Roman" w:hAnsi="Times New Roman" w:cs="Times New Roman"/>
      <w:b/>
      <w:sz w:val="32"/>
      <w:szCs w:val="20"/>
      <w:lang w:eastAsia="en-US"/>
    </w:rPr>
  </w:style>
  <w:style w:type="paragraph" w:styleId="BodyText">
    <w:name w:val="Body Text"/>
    <w:basedOn w:val="Normal"/>
    <w:link w:val="BodyTextChar"/>
    <w:rsid w:val="00D723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3F4"/>
    <w:rPr>
      <w:rFonts w:ascii="Times New Roman" w:eastAsia="Times New Roman" w:hAnsi="Times New Roman" w:cs="Times New Roman"/>
      <w:sz w:val="24"/>
      <w:lang w:eastAsia="en-US"/>
    </w:rPr>
  </w:style>
  <w:style w:type="paragraph" w:styleId="ListBullet">
    <w:name w:val="List Bullet"/>
    <w:basedOn w:val="List"/>
    <w:rsid w:val="00D723F4"/>
    <w:pPr>
      <w:numPr>
        <w:numId w:val="13"/>
      </w:numPr>
      <w:tabs>
        <w:tab w:val="clear" w:pos="340"/>
      </w:tabs>
      <w:spacing w:before="40" w:after="40"/>
    </w:pPr>
  </w:style>
  <w:style w:type="character" w:customStyle="1" w:styleId="SpecialBold">
    <w:name w:val="Special Bold"/>
    <w:basedOn w:val="DefaultParagraphFont"/>
    <w:rsid w:val="00D723F4"/>
    <w:rPr>
      <w:b/>
      <w:spacing w:val="0"/>
    </w:rPr>
  </w:style>
  <w:style w:type="paragraph" w:styleId="ListBullet2">
    <w:name w:val="List Bullet 2"/>
    <w:basedOn w:val="List2"/>
    <w:rsid w:val="00D723F4"/>
    <w:pPr>
      <w:numPr>
        <w:numId w:val="14"/>
      </w:numPr>
      <w:tabs>
        <w:tab w:val="clear" w:pos="680"/>
      </w:tabs>
    </w:pPr>
  </w:style>
  <w:style w:type="paragraph" w:customStyle="1" w:styleId="SuperHeading">
    <w:name w:val="SuperHeading"/>
    <w:basedOn w:val="Normal"/>
    <w:rsid w:val="00D723F4"/>
    <w:pPr>
      <w:spacing w:before="240" w:after="120"/>
      <w:outlineLvl w:val="0"/>
    </w:pPr>
    <w:rPr>
      <w:rFonts w:ascii="Times New Roman" w:hAnsi="Times New Roman"/>
      <w:b/>
      <w:sz w:val="32"/>
    </w:rPr>
  </w:style>
  <w:style w:type="paragraph" w:customStyle="1" w:styleId="AllowPageBreak">
    <w:name w:val="AllowPageBreak"/>
    <w:rsid w:val="00D723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3F4"/>
    <w:rPr>
      <w:rFonts w:ascii="Courier New" w:eastAsia="Times New Roman" w:hAnsi="Courier New" w:cs="Times New Roman"/>
      <w:i/>
      <w:szCs w:val="20"/>
      <w:lang w:eastAsia="en-US"/>
    </w:rPr>
  </w:style>
  <w:style w:type="paragraph" w:customStyle="1" w:styleId="HeadingBase">
    <w:name w:val="Heading Base"/>
    <w:rsid w:val="00D72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3F4"/>
    <w:pPr>
      <w:tabs>
        <w:tab w:val="right" w:leader="dot" w:pos="9072"/>
      </w:tabs>
      <w:ind w:left="567"/>
    </w:pPr>
    <w:rPr>
      <w:szCs w:val="22"/>
    </w:rPr>
  </w:style>
  <w:style w:type="paragraph" w:customStyle="1" w:styleId="TOCBase">
    <w:name w:val="TOC Base"/>
    <w:rsid w:val="00D72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3F4"/>
    <w:pPr>
      <w:tabs>
        <w:tab w:val="right" w:leader="dot" w:pos="9072"/>
      </w:tabs>
      <w:spacing w:before="40" w:after="40"/>
      <w:ind w:left="284"/>
    </w:pPr>
    <w:rPr>
      <w:rFonts w:ascii="Times New Roman" w:hAnsi="Times New Roman"/>
    </w:rPr>
  </w:style>
  <w:style w:type="paragraph" w:styleId="TOC1">
    <w:name w:val="toc 1"/>
    <w:basedOn w:val="TOCBase"/>
    <w:next w:val="Normal"/>
    <w:rsid w:val="00D72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3F4"/>
    <w:rPr>
      <w:rFonts w:ascii="Times New Roman" w:eastAsia="Times New Roman" w:hAnsi="Times New Roman" w:cs="Times New Roman"/>
      <w:sz w:val="16"/>
      <w:lang w:eastAsia="en-US"/>
    </w:rPr>
  </w:style>
  <w:style w:type="paragraph" w:styleId="Title">
    <w:name w:val="Title"/>
    <w:basedOn w:val="HeadingBase"/>
    <w:link w:val="TitleChar"/>
    <w:qFormat/>
    <w:rsid w:val="00D723F4"/>
    <w:pPr>
      <w:spacing w:before="5040"/>
      <w:jc w:val="center"/>
    </w:pPr>
    <w:rPr>
      <w:sz w:val="48"/>
      <w:szCs w:val="72"/>
      <w:lang w:val="en-US"/>
    </w:rPr>
  </w:style>
  <w:style w:type="character" w:customStyle="1" w:styleId="TitleChar">
    <w:name w:val="Title Char"/>
    <w:basedOn w:val="DefaultParagraphFont"/>
    <w:link w:val="Title"/>
    <w:rsid w:val="00D72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3F4"/>
    <w:pPr>
      <w:tabs>
        <w:tab w:val="left" w:pos="3600"/>
        <w:tab w:val="left" w:pos="3958"/>
      </w:tabs>
    </w:pPr>
  </w:style>
  <w:style w:type="paragraph" w:styleId="List">
    <w:name w:val="List"/>
    <w:basedOn w:val="BodyText"/>
    <w:next w:val="BodyText"/>
    <w:rsid w:val="00D723F4"/>
    <w:pPr>
      <w:tabs>
        <w:tab w:val="left" w:pos="340"/>
      </w:tabs>
      <w:spacing w:before="60" w:after="60"/>
      <w:ind w:left="340" w:hanging="340"/>
    </w:pPr>
  </w:style>
  <w:style w:type="paragraph" w:customStyle="1" w:styleId="Note">
    <w:name w:val="Note"/>
    <w:basedOn w:val="BodyText"/>
    <w:rsid w:val="00D72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3F4"/>
    <w:pPr>
      <w:framePr w:wrap="auto" w:hAnchor="text" w:y="6049"/>
    </w:pPr>
    <w:rPr>
      <w:color w:val="000000"/>
      <w:sz w:val="40"/>
    </w:rPr>
  </w:style>
  <w:style w:type="paragraph" w:customStyle="1" w:styleId="TOCTitle">
    <w:name w:val="TOCTitle"/>
    <w:basedOn w:val="Heading1"/>
    <w:rsid w:val="00D723F4"/>
    <w:pPr>
      <w:spacing w:after="240"/>
      <w:jc w:val="center"/>
      <w:outlineLvl w:val="9"/>
    </w:pPr>
    <w:rPr>
      <w:caps/>
    </w:rPr>
  </w:style>
  <w:style w:type="paragraph" w:customStyle="1" w:styleId="Version">
    <w:name w:val="Version"/>
    <w:rsid w:val="00D72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3F4"/>
    <w:pPr>
      <w:keepNext w:val="0"/>
      <w:tabs>
        <w:tab w:val="right" w:pos="4176"/>
      </w:tabs>
      <w:ind w:left="198" w:hanging="198"/>
    </w:pPr>
    <w:rPr>
      <w:rFonts w:ascii="Garamond" w:hAnsi="Garamond"/>
    </w:rPr>
  </w:style>
  <w:style w:type="paragraph" w:styleId="IndexHeading">
    <w:name w:val="index heading"/>
    <w:basedOn w:val="Normal"/>
    <w:next w:val="Index1"/>
    <w:semiHidden/>
    <w:rsid w:val="00D723F4"/>
    <w:pPr>
      <w:spacing w:before="120" w:after="120"/>
    </w:pPr>
    <w:rPr>
      <w:rFonts w:ascii="Arial" w:hAnsi="Arial"/>
      <w:b/>
      <w:color w:val="918585"/>
      <w:sz w:val="24"/>
    </w:rPr>
  </w:style>
  <w:style w:type="paragraph" w:styleId="Header">
    <w:name w:val="header"/>
    <w:basedOn w:val="Normal"/>
    <w:link w:val="HeaderChar"/>
    <w:rsid w:val="00D72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3F4"/>
    <w:rPr>
      <w:rFonts w:ascii="Times New Roman" w:eastAsia="Times New Roman" w:hAnsi="Times New Roman" w:cs="Times New Roman"/>
      <w:sz w:val="16"/>
      <w:szCs w:val="20"/>
      <w:lang w:val="en-GB" w:eastAsia="en-US"/>
    </w:rPr>
  </w:style>
  <w:style w:type="paragraph" w:customStyle="1" w:styleId="Chapter">
    <w:name w:val="Chapter"/>
    <w:basedOn w:val="Normal"/>
    <w:rsid w:val="00D723F4"/>
    <w:pPr>
      <w:spacing w:before="240"/>
    </w:pPr>
    <w:rPr>
      <w:rFonts w:ascii="Times New Roman" w:hAnsi="Times New Roman"/>
      <w:smallCaps/>
      <w:spacing w:val="80"/>
      <w:sz w:val="28"/>
    </w:rPr>
  </w:style>
  <w:style w:type="paragraph" w:customStyle="1" w:styleId="InChapter">
    <w:name w:val="InChapter"/>
    <w:basedOn w:val="Heading3"/>
    <w:rsid w:val="00D723F4"/>
    <w:pPr>
      <w:spacing w:after="240"/>
      <w:outlineLvl w:val="9"/>
    </w:pPr>
    <w:rPr>
      <w:noProof/>
    </w:rPr>
  </w:style>
  <w:style w:type="paragraph" w:styleId="Index2">
    <w:name w:val="index 2"/>
    <w:basedOn w:val="Normal"/>
    <w:next w:val="Normal"/>
    <w:semiHidden/>
    <w:rsid w:val="00D723F4"/>
    <w:pPr>
      <w:tabs>
        <w:tab w:val="right" w:pos="4176"/>
      </w:tabs>
      <w:ind w:left="568" w:hanging="284"/>
    </w:pPr>
    <w:rPr>
      <w:rFonts w:ascii="Garamond" w:hAnsi="Garamond"/>
    </w:rPr>
  </w:style>
  <w:style w:type="paragraph" w:customStyle="1" w:styleId="Byline">
    <w:name w:val="Byline"/>
    <w:rsid w:val="00D72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3F4"/>
    <w:pPr>
      <w:tabs>
        <w:tab w:val="clear" w:pos="3600"/>
        <w:tab w:val="clear" w:pos="3958"/>
      </w:tabs>
      <w:jc w:val="right"/>
    </w:pPr>
  </w:style>
  <w:style w:type="character" w:styleId="Emphasis">
    <w:name w:val="Emphasis"/>
    <w:basedOn w:val="DefaultParagraphFont"/>
    <w:qFormat/>
    <w:rsid w:val="00D723F4"/>
    <w:rPr>
      <w:i/>
    </w:rPr>
  </w:style>
  <w:style w:type="paragraph" w:styleId="Caption">
    <w:name w:val="caption"/>
    <w:basedOn w:val="BodyText"/>
    <w:next w:val="Normal"/>
    <w:qFormat/>
    <w:rsid w:val="00D723F4"/>
    <w:pPr>
      <w:framePr w:w="2268" w:hSpace="181" w:vSpace="181" w:wrap="around" w:vAnchor="text" w:hAnchor="page" w:x="1135" w:y="285" w:anchorLock="1"/>
    </w:pPr>
    <w:rPr>
      <w:i/>
    </w:rPr>
  </w:style>
  <w:style w:type="paragraph" w:customStyle="1" w:styleId="MiniTOCTitle">
    <w:name w:val="MiniTOCTitle"/>
    <w:basedOn w:val="Heading4"/>
    <w:rsid w:val="00D723F4"/>
    <w:pPr>
      <w:spacing w:before="240"/>
      <w:outlineLvl w:val="9"/>
    </w:pPr>
    <w:rPr>
      <w:noProof/>
      <w:sz w:val="24"/>
    </w:rPr>
  </w:style>
  <w:style w:type="paragraph" w:customStyle="1" w:styleId="MiniTOCItem">
    <w:name w:val="MiniTOCItem"/>
    <w:basedOn w:val="ListBullet"/>
    <w:rsid w:val="00D723F4"/>
    <w:pPr>
      <w:numPr>
        <w:numId w:val="0"/>
      </w:numPr>
      <w:tabs>
        <w:tab w:val="right" w:leader="dot" w:pos="6521"/>
      </w:tabs>
      <w:spacing w:before="0" w:after="0"/>
    </w:pPr>
  </w:style>
  <w:style w:type="paragraph" w:customStyle="1" w:styleId="TOFTitle">
    <w:name w:val="TOFTitle"/>
    <w:basedOn w:val="TOCTitle"/>
    <w:rsid w:val="00D723F4"/>
  </w:style>
  <w:style w:type="paragraph" w:styleId="TableofFigures">
    <w:name w:val="table of figures"/>
    <w:basedOn w:val="Normal"/>
    <w:next w:val="Normal"/>
    <w:semiHidden/>
    <w:rsid w:val="00D723F4"/>
    <w:pPr>
      <w:tabs>
        <w:tab w:val="right" w:leader="dot" w:pos="9072"/>
      </w:tabs>
      <w:ind w:left="970" w:hanging="403"/>
    </w:pPr>
    <w:rPr>
      <w:rFonts w:ascii="Times New Roman" w:hAnsi="Times New Roman"/>
      <w:b/>
    </w:rPr>
  </w:style>
  <w:style w:type="paragraph" w:styleId="ListNumber">
    <w:name w:val="List Number"/>
    <w:basedOn w:val="List"/>
    <w:rsid w:val="00D723F4"/>
    <w:pPr>
      <w:numPr>
        <w:numId w:val="11"/>
      </w:numPr>
    </w:pPr>
  </w:style>
  <w:style w:type="character" w:customStyle="1" w:styleId="WingdingSymbols">
    <w:name w:val="Wingding Symbols"/>
    <w:rsid w:val="00D723F4"/>
    <w:rPr>
      <w:rFonts w:ascii="Wingdings" w:hAnsi="Wingdings"/>
    </w:rPr>
  </w:style>
  <w:style w:type="paragraph" w:customStyle="1" w:styleId="TableHeading">
    <w:name w:val="Table Heading"/>
    <w:basedOn w:val="HeadingBase"/>
    <w:rsid w:val="00D723F4"/>
    <w:pPr>
      <w:keepLines/>
      <w:pBdr>
        <w:bottom w:val="single" w:sz="6" w:space="1" w:color="918585"/>
      </w:pBdr>
      <w:spacing w:before="240"/>
    </w:pPr>
  </w:style>
  <w:style w:type="character" w:customStyle="1" w:styleId="HotSpot">
    <w:name w:val="HotSpot"/>
    <w:rsid w:val="00D723F4"/>
    <w:rPr>
      <w:color w:val="0033CC"/>
      <w:u w:val="none"/>
    </w:rPr>
  </w:style>
  <w:style w:type="paragraph" w:customStyle="1" w:styleId="BodyTextRight">
    <w:name w:val="Body Text Right"/>
    <w:basedOn w:val="BodyText"/>
    <w:rsid w:val="00D723F4"/>
    <w:pPr>
      <w:spacing w:before="0" w:after="0"/>
      <w:jc w:val="right"/>
    </w:pPr>
  </w:style>
  <w:style w:type="paragraph" w:styleId="Index3">
    <w:name w:val="index 3"/>
    <w:basedOn w:val="ListNumber2"/>
    <w:next w:val="Normal"/>
    <w:semiHidden/>
    <w:rsid w:val="00D723F4"/>
    <w:pPr>
      <w:numPr>
        <w:numId w:val="0"/>
      </w:numPr>
      <w:tabs>
        <w:tab w:val="right" w:leader="dot" w:pos="4176"/>
      </w:tabs>
    </w:pPr>
  </w:style>
  <w:style w:type="paragraph" w:styleId="ListNumber2">
    <w:name w:val="List Number 2"/>
    <w:basedOn w:val="List2"/>
    <w:rsid w:val="00D723F4"/>
    <w:pPr>
      <w:numPr>
        <w:numId w:val="10"/>
      </w:numPr>
      <w:tabs>
        <w:tab w:val="clear" w:pos="1060"/>
      </w:tabs>
    </w:pPr>
  </w:style>
  <w:style w:type="paragraph" w:customStyle="1" w:styleId="MarginNote">
    <w:name w:val="Margin Note"/>
    <w:basedOn w:val="BodyText"/>
    <w:rsid w:val="00D72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3F4"/>
    <w:rPr>
      <w:sz w:val="32"/>
    </w:rPr>
  </w:style>
  <w:style w:type="paragraph" w:customStyle="1" w:styleId="HeadingProcedure">
    <w:name w:val="Heading Procedure"/>
    <w:basedOn w:val="HeadingBase"/>
    <w:next w:val="Normal"/>
    <w:rsid w:val="00D723F4"/>
    <w:pPr>
      <w:tabs>
        <w:tab w:val="left" w:pos="0"/>
      </w:tabs>
      <w:spacing w:before="120" w:after="60"/>
    </w:pPr>
    <w:rPr>
      <w:i/>
      <w:color w:val="918585"/>
      <w:sz w:val="22"/>
    </w:rPr>
  </w:style>
  <w:style w:type="paragraph" w:customStyle="1" w:styleId="TableBodyText">
    <w:name w:val="Table Body Text"/>
    <w:basedOn w:val="BodyText"/>
    <w:rsid w:val="00D723F4"/>
    <w:pPr>
      <w:spacing w:before="60" w:after="60"/>
    </w:pPr>
  </w:style>
  <w:style w:type="paragraph" w:styleId="ListContinue">
    <w:name w:val="List Continue"/>
    <w:basedOn w:val="List"/>
    <w:rsid w:val="00D723F4"/>
    <w:pPr>
      <w:ind w:firstLine="0"/>
    </w:pPr>
  </w:style>
  <w:style w:type="paragraph" w:customStyle="1" w:styleId="ListNote">
    <w:name w:val="List Note"/>
    <w:basedOn w:val="List"/>
    <w:rsid w:val="00D723F4"/>
    <w:pPr>
      <w:pBdr>
        <w:top w:val="single" w:sz="6" w:space="2" w:color="918585"/>
        <w:bottom w:val="single" w:sz="6" w:space="2" w:color="918585"/>
      </w:pBdr>
      <w:tabs>
        <w:tab w:val="left" w:pos="1021"/>
      </w:tabs>
      <w:ind w:firstLine="0"/>
    </w:pPr>
  </w:style>
  <w:style w:type="paragraph" w:customStyle="1" w:styleId="Warning">
    <w:name w:val="Warning"/>
    <w:basedOn w:val="BodyText"/>
    <w:rsid w:val="00D723F4"/>
    <w:pPr>
      <w:shd w:val="clear" w:color="auto" w:fill="D9D9D9"/>
      <w:tabs>
        <w:tab w:val="left" w:pos="992"/>
      </w:tabs>
      <w:ind w:left="119" w:right="119"/>
    </w:pPr>
    <w:rPr>
      <w:sz w:val="20"/>
    </w:rPr>
  </w:style>
  <w:style w:type="paragraph" w:customStyle="1" w:styleId="MarginIcons">
    <w:name w:val="Margin Icons"/>
    <w:basedOn w:val="BodyText"/>
    <w:rsid w:val="00D72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3F4"/>
    <w:rPr>
      <w:rFonts w:ascii="Courier New" w:hAnsi="Courier New"/>
    </w:rPr>
  </w:style>
  <w:style w:type="paragraph" w:customStyle="1" w:styleId="NoteBullet">
    <w:name w:val="Note Bullet"/>
    <w:basedOn w:val="Note"/>
    <w:rsid w:val="00D723F4"/>
    <w:pPr>
      <w:tabs>
        <w:tab w:val="clear" w:pos="680"/>
      </w:tabs>
      <w:spacing w:before="60" w:after="60"/>
    </w:pPr>
  </w:style>
  <w:style w:type="paragraph" w:customStyle="1" w:styleId="SubHeading2">
    <w:name w:val="SubHeading2"/>
    <w:basedOn w:val="HeadingBase"/>
    <w:rsid w:val="00D723F4"/>
    <w:pPr>
      <w:spacing w:before="240" w:after="60"/>
    </w:pPr>
    <w:rPr>
      <w:sz w:val="20"/>
    </w:rPr>
  </w:style>
  <w:style w:type="paragraph" w:customStyle="1" w:styleId="SubHeading1">
    <w:name w:val="SubHeading1"/>
    <w:basedOn w:val="HeadingBase"/>
    <w:rsid w:val="00D723F4"/>
    <w:pPr>
      <w:spacing w:before="240" w:after="60"/>
    </w:pPr>
    <w:rPr>
      <w:color w:val="918585"/>
      <w:sz w:val="22"/>
    </w:rPr>
  </w:style>
  <w:style w:type="paragraph" w:customStyle="1" w:styleId="SideHeading">
    <w:name w:val="Side Heading"/>
    <w:basedOn w:val="HeadingBase"/>
    <w:rsid w:val="00D72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3F4"/>
    <w:pPr>
      <w:numPr>
        <w:numId w:val="12"/>
      </w:numPr>
    </w:pPr>
  </w:style>
  <w:style w:type="paragraph" w:styleId="PlainText">
    <w:name w:val="Plain Text"/>
    <w:basedOn w:val="Normal"/>
    <w:link w:val="PlainTextChar"/>
    <w:rsid w:val="00D723F4"/>
    <w:rPr>
      <w:sz w:val="20"/>
    </w:rPr>
  </w:style>
  <w:style w:type="character" w:customStyle="1" w:styleId="PlainTextChar">
    <w:name w:val="Plain Text Char"/>
    <w:basedOn w:val="DefaultParagraphFont"/>
    <w:link w:val="PlainText"/>
    <w:rsid w:val="00D723F4"/>
    <w:rPr>
      <w:rFonts w:ascii="Courier New" w:eastAsia="Times New Roman" w:hAnsi="Courier New" w:cs="Times New Roman"/>
      <w:sz w:val="20"/>
      <w:szCs w:val="20"/>
      <w:lang w:eastAsia="en-US"/>
    </w:rPr>
  </w:style>
  <w:style w:type="character" w:customStyle="1" w:styleId="MenuOption">
    <w:name w:val="Menu Option"/>
    <w:basedOn w:val="DefaultParagraphFont"/>
    <w:rsid w:val="00D723F4"/>
    <w:rPr>
      <w:b/>
      <w:smallCaps/>
    </w:rPr>
  </w:style>
  <w:style w:type="paragraph" w:customStyle="1" w:styleId="TableListNumber">
    <w:name w:val="Table List Number"/>
    <w:basedOn w:val="ListNumber"/>
    <w:rsid w:val="00D723F4"/>
    <w:pPr>
      <w:numPr>
        <w:numId w:val="0"/>
      </w:numPr>
    </w:pPr>
  </w:style>
  <w:style w:type="paragraph" w:styleId="TOC4">
    <w:name w:val="toc 4"/>
    <w:basedOn w:val="TOCBase"/>
    <w:next w:val="Normal"/>
    <w:semiHidden/>
    <w:rsid w:val="00D723F4"/>
    <w:pPr>
      <w:tabs>
        <w:tab w:val="right" w:leader="dot" w:pos="9071"/>
      </w:tabs>
      <w:ind w:left="1701"/>
    </w:pPr>
  </w:style>
  <w:style w:type="paragraph" w:customStyle="1" w:styleId="ListAlpha">
    <w:name w:val="List Alpha"/>
    <w:basedOn w:val="List"/>
    <w:rsid w:val="00D723F4"/>
    <w:pPr>
      <w:numPr>
        <w:numId w:val="9"/>
      </w:numPr>
    </w:pPr>
  </w:style>
  <w:style w:type="paragraph" w:customStyle="1" w:styleId="ListAlpha2">
    <w:name w:val="List Alpha 2"/>
    <w:basedOn w:val="List2"/>
    <w:rsid w:val="00D723F4"/>
    <w:pPr>
      <w:numPr>
        <w:numId w:val="8"/>
      </w:numPr>
    </w:pPr>
  </w:style>
  <w:style w:type="paragraph" w:styleId="List2">
    <w:name w:val="List 2"/>
    <w:basedOn w:val="BodyText"/>
    <w:rsid w:val="00D723F4"/>
    <w:pPr>
      <w:tabs>
        <w:tab w:val="left" w:pos="680"/>
      </w:tabs>
      <w:spacing w:before="60" w:after="60"/>
      <w:ind w:left="680" w:hanging="340"/>
    </w:pPr>
  </w:style>
  <w:style w:type="paragraph" w:styleId="List3">
    <w:name w:val="List 3"/>
    <w:basedOn w:val="BodyText"/>
    <w:rsid w:val="00D723F4"/>
    <w:pPr>
      <w:tabs>
        <w:tab w:val="left" w:pos="1021"/>
      </w:tabs>
      <w:spacing w:before="60" w:after="60"/>
      <w:ind w:left="1020" w:hanging="340"/>
    </w:pPr>
  </w:style>
  <w:style w:type="paragraph" w:styleId="List4">
    <w:name w:val="List 4"/>
    <w:basedOn w:val="BodyText"/>
    <w:rsid w:val="00D723F4"/>
    <w:pPr>
      <w:tabs>
        <w:tab w:val="left" w:pos="1361"/>
      </w:tabs>
      <w:spacing w:before="60" w:after="60"/>
      <w:ind w:left="1361" w:hanging="340"/>
    </w:pPr>
  </w:style>
  <w:style w:type="paragraph" w:styleId="List5">
    <w:name w:val="List 5"/>
    <w:basedOn w:val="BodyText"/>
    <w:rsid w:val="00D723F4"/>
    <w:pPr>
      <w:tabs>
        <w:tab w:val="left" w:pos="1701"/>
      </w:tabs>
      <w:spacing w:before="60" w:after="60"/>
      <w:ind w:left="1701" w:hanging="340"/>
    </w:pPr>
  </w:style>
  <w:style w:type="paragraph" w:styleId="ListBullet3">
    <w:name w:val="List Bullet 3"/>
    <w:basedOn w:val="List3"/>
    <w:rsid w:val="00D723F4"/>
    <w:pPr>
      <w:numPr>
        <w:numId w:val="15"/>
      </w:numPr>
      <w:tabs>
        <w:tab w:val="clear" w:pos="1021"/>
      </w:tabs>
      <w:ind w:left="1037" w:hanging="357"/>
    </w:pPr>
  </w:style>
  <w:style w:type="paragraph" w:styleId="ListBullet4">
    <w:name w:val="List Bullet 4"/>
    <w:basedOn w:val="List4"/>
    <w:rsid w:val="00D723F4"/>
    <w:pPr>
      <w:numPr>
        <w:numId w:val="3"/>
      </w:numPr>
      <w:tabs>
        <w:tab w:val="clear" w:pos="1361"/>
      </w:tabs>
    </w:pPr>
  </w:style>
  <w:style w:type="paragraph" w:styleId="ListBullet5">
    <w:name w:val="List Bullet 5"/>
    <w:basedOn w:val="List5"/>
    <w:rsid w:val="00D723F4"/>
    <w:pPr>
      <w:numPr>
        <w:numId w:val="4"/>
      </w:numPr>
    </w:pPr>
  </w:style>
  <w:style w:type="paragraph" w:styleId="ListContinue2">
    <w:name w:val="List Continue 2"/>
    <w:basedOn w:val="List2"/>
    <w:rsid w:val="00D723F4"/>
    <w:pPr>
      <w:ind w:firstLine="0"/>
    </w:pPr>
  </w:style>
  <w:style w:type="paragraph" w:styleId="ListContinue3">
    <w:name w:val="List Continue 3"/>
    <w:basedOn w:val="List3"/>
    <w:rsid w:val="00D723F4"/>
    <w:pPr>
      <w:ind w:left="1021" w:firstLine="0"/>
    </w:pPr>
  </w:style>
  <w:style w:type="paragraph" w:styleId="ListContinue4">
    <w:name w:val="List Continue 4"/>
    <w:basedOn w:val="List4"/>
    <w:rsid w:val="00D723F4"/>
    <w:pPr>
      <w:ind w:firstLine="0"/>
    </w:pPr>
  </w:style>
  <w:style w:type="paragraph" w:styleId="ListContinue5">
    <w:name w:val="List Continue 5"/>
    <w:basedOn w:val="List5"/>
    <w:rsid w:val="00D723F4"/>
    <w:pPr>
      <w:ind w:firstLine="0"/>
    </w:pPr>
  </w:style>
  <w:style w:type="paragraph" w:styleId="ListNumber3">
    <w:name w:val="List Number 3"/>
    <w:basedOn w:val="List3"/>
    <w:rsid w:val="00D723F4"/>
    <w:pPr>
      <w:numPr>
        <w:numId w:val="5"/>
      </w:numPr>
    </w:pPr>
  </w:style>
  <w:style w:type="paragraph" w:styleId="ListNumber4">
    <w:name w:val="List Number 4"/>
    <w:basedOn w:val="List4"/>
    <w:rsid w:val="00D723F4"/>
    <w:pPr>
      <w:numPr>
        <w:numId w:val="6"/>
      </w:numPr>
    </w:pPr>
  </w:style>
  <w:style w:type="paragraph" w:styleId="ListNumber5">
    <w:name w:val="List Number 5"/>
    <w:basedOn w:val="List5"/>
    <w:rsid w:val="00D723F4"/>
    <w:pPr>
      <w:numPr>
        <w:numId w:val="7"/>
      </w:numPr>
    </w:pPr>
  </w:style>
  <w:style w:type="paragraph" w:styleId="BlockText">
    <w:name w:val="Block Text"/>
    <w:basedOn w:val="Normal"/>
    <w:rsid w:val="00D723F4"/>
    <w:pPr>
      <w:spacing w:after="120"/>
      <w:ind w:left="1440" w:right="1440"/>
    </w:pPr>
  </w:style>
  <w:style w:type="character" w:customStyle="1" w:styleId="Subscript">
    <w:name w:val="Subscript"/>
    <w:basedOn w:val="DefaultParagraphFont"/>
    <w:rsid w:val="00D723F4"/>
    <w:rPr>
      <w:sz w:val="16"/>
      <w:vertAlign w:val="subscript"/>
    </w:rPr>
  </w:style>
  <w:style w:type="character" w:customStyle="1" w:styleId="Superscript">
    <w:name w:val="Superscript"/>
    <w:basedOn w:val="DefaultParagraphFont"/>
    <w:rsid w:val="00D723F4"/>
    <w:rPr>
      <w:sz w:val="16"/>
      <w:vertAlign w:val="superscript"/>
    </w:rPr>
  </w:style>
  <w:style w:type="character" w:customStyle="1" w:styleId="Symbols">
    <w:name w:val="Symbols"/>
    <w:basedOn w:val="DefaultParagraphFont"/>
    <w:rsid w:val="00D723F4"/>
    <w:rPr>
      <w:rFonts w:ascii="Symbol" w:hAnsi="Symbol"/>
    </w:rPr>
  </w:style>
  <w:style w:type="character" w:customStyle="1" w:styleId="MenuOptions">
    <w:name w:val="Menu Options"/>
    <w:basedOn w:val="DefaultParagraphFont"/>
    <w:rsid w:val="00D723F4"/>
    <w:rPr>
      <w:rFonts w:ascii="Arial Narrow" w:hAnsi="Arial Narrow"/>
      <w:smallCaps/>
    </w:rPr>
  </w:style>
  <w:style w:type="character" w:customStyle="1" w:styleId="Buttons">
    <w:name w:val="Buttons"/>
    <w:basedOn w:val="DefaultParagraphFont"/>
    <w:rsid w:val="00D723F4"/>
    <w:rPr>
      <w:b/>
    </w:rPr>
  </w:style>
  <w:style w:type="character" w:customStyle="1" w:styleId="Underlined">
    <w:name w:val="Underlined"/>
    <w:basedOn w:val="DefaultParagraphFont"/>
    <w:rsid w:val="00D723F4"/>
    <w:rPr>
      <w:u w:val="single"/>
    </w:rPr>
  </w:style>
  <w:style w:type="paragraph" w:customStyle="1" w:styleId="TableBodyTextRight">
    <w:name w:val="Table Body Text Right"/>
    <w:basedOn w:val="TableBodyText"/>
    <w:rsid w:val="00D723F4"/>
    <w:pPr>
      <w:widowControl w:val="0"/>
      <w:autoSpaceDE w:val="0"/>
      <w:autoSpaceDN w:val="0"/>
      <w:adjustRightInd w:val="0"/>
      <w:jc w:val="right"/>
    </w:pPr>
    <w:rPr>
      <w:rFonts w:cs="Arial"/>
      <w:szCs w:val="18"/>
    </w:rPr>
  </w:style>
  <w:style w:type="paragraph" w:customStyle="1" w:styleId="CopyrightText">
    <w:name w:val="Copyright Text"/>
    <w:basedOn w:val="BodyText"/>
    <w:rsid w:val="00D723F4"/>
    <w:rPr>
      <w:sz w:val="18"/>
    </w:rPr>
  </w:style>
  <w:style w:type="paragraph" w:customStyle="1" w:styleId="BodySmallRight">
    <w:name w:val="Body Small Right"/>
    <w:basedOn w:val="BodyTextRight"/>
    <w:rsid w:val="00D723F4"/>
    <w:rPr>
      <w:sz w:val="18"/>
      <w:szCs w:val="18"/>
    </w:rPr>
  </w:style>
  <w:style w:type="paragraph" w:customStyle="1" w:styleId="MarginEdition">
    <w:name w:val="Margin Edition"/>
    <w:basedOn w:val="MarginNote"/>
    <w:rsid w:val="00D723F4"/>
    <w:pPr>
      <w:spacing w:before="0" w:after="0"/>
    </w:pPr>
    <w:rPr>
      <w:rFonts w:ascii="Times New Roman" w:hAnsi="Times New Roman"/>
      <w:color w:val="999999"/>
    </w:rPr>
  </w:style>
  <w:style w:type="paragraph" w:customStyle="1" w:styleId="Spacer">
    <w:name w:val="Spacer"/>
    <w:basedOn w:val="Normal"/>
    <w:rsid w:val="00D723F4"/>
    <w:rPr>
      <w:sz w:val="2"/>
      <w:szCs w:val="2"/>
    </w:rPr>
  </w:style>
  <w:style w:type="character" w:customStyle="1" w:styleId="Small">
    <w:name w:val="Small"/>
    <w:basedOn w:val="DefaultParagraphFont"/>
    <w:rsid w:val="00D723F4"/>
    <w:rPr>
      <w:sz w:val="16"/>
    </w:rPr>
  </w:style>
  <w:style w:type="paragraph" w:customStyle="1" w:styleId="WideTable">
    <w:name w:val="Wide Table"/>
    <w:basedOn w:val="Normal"/>
    <w:rsid w:val="00D723F4"/>
    <w:pPr>
      <w:ind w:left="-1418"/>
    </w:pPr>
    <w:rPr>
      <w:sz w:val="2"/>
      <w:szCs w:val="2"/>
    </w:rPr>
  </w:style>
  <w:style w:type="character" w:styleId="PageNumber">
    <w:name w:val="page number"/>
    <w:basedOn w:val="DefaultParagraphFont"/>
    <w:rsid w:val="00D723F4"/>
  </w:style>
  <w:style w:type="paragraph" w:styleId="Quote">
    <w:name w:val="Quote"/>
    <w:basedOn w:val="Heading1"/>
    <w:link w:val="QuoteChar"/>
    <w:qFormat/>
    <w:rsid w:val="00D723F4"/>
    <w:rPr>
      <w:b w:val="0"/>
      <w:sz w:val="72"/>
      <w:szCs w:val="72"/>
      <w:lang w:val="en-NZ"/>
    </w:rPr>
  </w:style>
  <w:style w:type="character" w:customStyle="1" w:styleId="QuoteChar">
    <w:name w:val="Quote Char"/>
    <w:basedOn w:val="DefaultParagraphFont"/>
    <w:link w:val="Quote"/>
    <w:rsid w:val="00D72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3F4"/>
    <w:pPr>
      <w:pageBreakBefore/>
    </w:pPr>
  </w:style>
  <w:style w:type="paragraph" w:customStyle="1" w:styleId="Border">
    <w:name w:val="Border"/>
    <w:basedOn w:val="Normal"/>
    <w:qFormat/>
    <w:rsid w:val="00D72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3F4"/>
    <w:rPr>
      <w:b/>
      <w:bCs/>
      <w:i/>
      <w:iCs/>
      <w:color w:val="auto"/>
    </w:rPr>
  </w:style>
  <w:style w:type="paragraph" w:styleId="IntenseQuote">
    <w:name w:val="Intense Quote"/>
    <w:basedOn w:val="Normal"/>
    <w:next w:val="Normal"/>
    <w:link w:val="IntenseQuoteChar"/>
    <w:uiPriority w:val="30"/>
    <w:qFormat/>
    <w:rsid w:val="00D72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3F4"/>
    <w:rPr>
      <w:smallCaps/>
      <w:color w:val="auto"/>
      <w:u w:val="single"/>
    </w:rPr>
  </w:style>
  <w:style w:type="character" w:styleId="IntenseReference">
    <w:name w:val="Intense Reference"/>
    <w:basedOn w:val="DefaultParagraphFont"/>
    <w:uiPriority w:val="32"/>
    <w:qFormat/>
    <w:rsid w:val="00D723F4"/>
    <w:rPr>
      <w:b/>
      <w:bCs/>
      <w:smallCaps/>
      <w:color w:val="auto"/>
      <w:spacing w:val="5"/>
      <w:u w:val="single"/>
    </w:rPr>
  </w:style>
  <w:style w:type="paragraph" w:customStyle="1" w:styleId="2ColumnHeading">
    <w:name w:val="2Column Heading"/>
    <w:basedOn w:val="BodyText"/>
    <w:qFormat/>
    <w:rsid w:val="00D723F4"/>
    <w:pPr>
      <w:spacing w:after="60"/>
      <w:ind w:left="-2268"/>
    </w:pPr>
    <w:rPr>
      <w:b/>
    </w:rPr>
  </w:style>
  <w:style w:type="paragraph" w:customStyle="1" w:styleId="Heading1TOC">
    <w:name w:val="Heading1 TOC"/>
    <w:basedOn w:val="Normal"/>
    <w:qFormat/>
    <w:rsid w:val="00D723F4"/>
    <w:pPr>
      <w:spacing w:before="240" w:after="120"/>
    </w:pPr>
    <w:rPr>
      <w:rFonts w:ascii="Times New Roman" w:hAnsi="Times New Roman"/>
      <w:b/>
      <w:sz w:val="32"/>
    </w:rPr>
  </w:style>
  <w:style w:type="paragraph" w:customStyle="1" w:styleId="Heading2TOC">
    <w:name w:val="Heading2 TOC"/>
    <w:basedOn w:val="Normal"/>
    <w:qFormat/>
    <w:rsid w:val="00D723F4"/>
    <w:pPr>
      <w:spacing w:before="240" w:after="60"/>
    </w:pPr>
    <w:rPr>
      <w:rFonts w:ascii="Times New Roman" w:hAnsi="Times New Roman"/>
      <w:b/>
      <w:sz w:val="28"/>
    </w:rPr>
  </w:style>
  <w:style w:type="character" w:customStyle="1" w:styleId="Underline">
    <w:name w:val="Underline"/>
    <w:basedOn w:val="DefaultParagraphFont"/>
    <w:qFormat/>
    <w:rsid w:val="00D723F4"/>
    <w:rPr>
      <w:u w:val="single"/>
    </w:rPr>
  </w:style>
  <w:style w:type="character" w:customStyle="1" w:styleId="BoldandItalics">
    <w:name w:val="Bold and Italics"/>
    <w:qFormat/>
    <w:rsid w:val="00D723F4"/>
    <w:rPr>
      <w:b/>
      <w:i/>
      <w:u w:val="none"/>
    </w:rPr>
  </w:style>
  <w:style w:type="paragraph" w:styleId="BalloonText">
    <w:name w:val="Balloon Text"/>
    <w:basedOn w:val="Normal"/>
    <w:link w:val="BalloonTextChar"/>
    <w:rsid w:val="00D723F4"/>
    <w:rPr>
      <w:rFonts w:ascii="Tahoma" w:hAnsi="Tahoma" w:cs="Tahoma"/>
      <w:sz w:val="16"/>
      <w:szCs w:val="16"/>
    </w:rPr>
  </w:style>
  <w:style w:type="character" w:customStyle="1" w:styleId="BalloonTextChar">
    <w:name w:val="Balloon Text Char"/>
    <w:basedOn w:val="DefaultParagraphFont"/>
    <w:link w:val="BalloonText"/>
    <w:rsid w:val="00D72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3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3F4"/>
    <w:rPr>
      <w:b/>
      <w:color w:val="660033"/>
      <w:spacing w:val="0"/>
    </w:rPr>
  </w:style>
  <w:style w:type="paragraph" w:customStyle="1" w:styleId="Nameditemlist">
    <w:name w:val="Named item list"/>
    <w:basedOn w:val="BodyText"/>
    <w:qFormat/>
    <w:rsid w:val="00D723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2434</Words>
  <Characters>14942</Characters>
  <Application>Microsoft Office Word</Application>
  <DocSecurity>0</DocSecurity>
  <Lines>590</Lines>
  <Paragraphs>268</Paragraphs>
  <ScaleCrop>false</ScaleCrop>
  <Company>Author-it Software Corporation Ltd.</Company>
  <LinksUpToDate>false</LinksUpToDate>
  <CharactersWithSpaces>17212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UEENEEH131A Fault find and repair radar apparatus and systems</dc:title>
  <dc:subject>Approved</dc:subject>
  <dc:creator>E-OZ Training Standards</dc:creator>
  <cp:keywords>Release 3</cp:keywords>
  <dc:description>Review Date: 12 April 2008</dc:description>
  <cp:lastModifiedBy>TPCMS</cp:lastModifiedBy>
  <cp:revision>3</cp:revision>
  <dcterms:created xsi:type="dcterms:W3CDTF">2014-12-16T11:51:45Z</dcterms:created>
  <dcterms:modified xsi:type="dcterms:W3CDTF">2014-12-16T00:20:00Z</dcterms:modified>
</cp:coreProperties>
</file>