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5D97" w:rsidP="00345D97">
      <w:pPr>
        <w:pStyle w:val="Title"/>
      </w:pPr>
      <w:r>
        <w:fldChar w:fldCharType="begin"/>
      </w:r>
      <w:r>
        <w:instrText xml:space="preserve"> TITLE   \* MERGEFORMAT </w:instrText>
      </w:r>
      <w:r>
        <w:fldChar w:fldCharType="separate"/>
      </w:r>
      <w:r>
        <w:t>UEENEEH130A Fault find and repair satellite-based surveillance and observation systems</w:t>
      </w:r>
      <w:r>
        <w:fldChar w:fldCharType="end"/>
      </w:r>
    </w:p>
    <w:p w:rsidR="00345D97" w:rsidP="00345D97">
      <w:pPr>
        <w:pStyle w:val="Version"/>
        <w:sectPr w:rsidSect="005E71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E71D2" w:rsidP="005E71D2">
      <w:pPr>
        <w:pStyle w:val="SuperHeading"/>
      </w:pPr>
      <w:r w:rsidRPr="005E71D2">
        <w:t>UEENEEH130A Fault find and repair satellite-based surveillance and observation systems</w:t>
      </w:r>
    </w:p>
    <w:p w:rsidR="00000000" w:rsidRPr="005E71D2" w:rsidP="005E71D2">
      <w:pPr>
        <w:pStyle w:val="Heading1"/>
      </w:pPr>
      <w:bookmarkStart w:id="1" w:name="O_705584"/>
      <w:bookmarkEnd w:id="1"/>
      <w:r w:rsidRPr="005E71D2">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345D9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1D2">
            <w:pPr>
              <w:pStyle w:val="BodyText"/>
              <w:rPr>
                <w:lang w:val="en-NZ"/>
              </w:rPr>
            </w:pPr>
            <w:r w:rsidRPr="005E71D2">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1D2">
            <w:pPr>
              <w:pStyle w:val="BodyText"/>
              <w:rPr>
                <w:lang w:val="en-NZ"/>
              </w:rPr>
            </w:pPr>
            <w:r w:rsidRPr="005E71D2">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1D2">
            <w:pPr>
              <w:pStyle w:val="BodyText"/>
              <w:rPr>
                <w:lang w:val="en-NZ"/>
              </w:rPr>
            </w:pPr>
            <w:r w:rsidRPr="005E71D2">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1D2">
            <w:pPr>
              <w:pStyle w:val="BodyText"/>
              <w:rPr>
                <w:lang w:val="en-NZ"/>
              </w:rPr>
            </w:pPr>
            <w:r w:rsidRPr="005E71D2">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1D2">
            <w:pPr>
              <w:pStyle w:val="BodyText"/>
              <w:rPr>
                <w:lang w:val="en-NZ"/>
              </w:rPr>
            </w:pPr>
            <w:r w:rsidRPr="005E71D2">
              <w:t>Points</w:t>
            </w:r>
          </w:p>
        </w:tc>
      </w:tr>
      <w:tr w:rsidTr="00345D9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71D2">
            <w:pPr>
              <w:pStyle w:val="BodyText"/>
              <w:rPr>
                <w:lang w:val="en-NZ"/>
              </w:rPr>
            </w:pPr>
            <w:r w:rsidRPr="005E71D2">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71D2">
            <w:pPr>
              <w:pStyle w:val="BodyText"/>
              <w:rPr>
                <w:lang w:val="en-NZ"/>
              </w:rPr>
            </w:pPr>
            <w:r w:rsidRPr="005E71D2">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E71D2" w:rsidP="005E71D2">
            <w:pPr>
              <w:pStyle w:val="BodyText"/>
            </w:pPr>
            <w:r w:rsidRPr="005E71D2">
              <w:t>Correct Prerequisite title</w:t>
            </w:r>
          </w:p>
          <w:p w:rsidR="00000000" w:rsidP="005E71D2">
            <w:pPr>
              <w:pStyle w:val="BodyText"/>
              <w:rPr>
                <w:lang w:val="en-NZ"/>
              </w:rPr>
            </w:pPr>
            <w:r w:rsidRPr="005E71D2">
              <w:t>UEENEEH114A - Troubleshoot resonance circuits in an electronic apparatus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E71D2" w:rsidP="005E71D2">
            <w:pPr>
              <w:pStyle w:val="BodyText"/>
            </w:pPr>
          </w:p>
        </w:tc>
      </w:tr>
    </w:tbl>
    <w:p w:rsidR="00000000" w:rsidRPr="005E71D2" w:rsidP="005E71D2">
      <w:pPr>
        <w:pStyle w:val="BodyText"/>
      </w:pPr>
    </w:p>
    <w:p w:rsidR="00000000" w:rsidRPr="005E71D2" w:rsidP="005E71D2">
      <w:pPr>
        <w:pStyle w:val="AllowPageBreak"/>
      </w:pPr>
    </w:p>
    <w:p w:rsidR="00000000" w:rsidRPr="005E71D2" w:rsidP="005E71D2">
      <w:pPr>
        <w:pStyle w:val="Heading1"/>
      </w:pPr>
      <w:bookmarkStart w:id="2" w:name="O_705583"/>
      <w:bookmarkEnd w:id="2"/>
      <w:r w:rsidRPr="005E71D2">
        <w:t>Unit Descriptor</w:t>
      </w:r>
    </w:p>
    <w:tbl>
      <w:tblPr>
        <w:tblW w:w="0" w:type="auto"/>
        <w:tblLayout w:type="fixed"/>
        <w:tblCellMar>
          <w:left w:w="62" w:type="dxa"/>
          <w:right w:w="62" w:type="dxa"/>
        </w:tblCellMar>
        <w:tblLook w:val="0000"/>
      </w:tblPr>
      <w:tblGrid>
        <w:gridCol w:w="2700"/>
        <w:gridCol w:w="5760"/>
      </w:tblGrid>
      <w:tr w:rsidTr="00345D9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E71D2" w:rsidP="005E71D2">
            <w:pPr>
              <w:pStyle w:val="BodyText"/>
            </w:pPr>
            <w:r w:rsidRPr="005E71D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rPr>
                <w:rStyle w:val="SpecialBold"/>
              </w:rPr>
              <w:t>1)</w:t>
            </w:r>
            <w:r w:rsidRPr="005E71D2">
              <w:t xml:space="preserve"> </w:t>
            </w:r>
            <w:r w:rsidRPr="005E71D2">
              <w:rPr>
                <w:rStyle w:val="SpecialBold"/>
              </w:rPr>
              <w:t>Scope:</w:t>
            </w:r>
          </w:p>
        </w:tc>
      </w:tr>
      <w:tr w:rsidTr="00345D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E71D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rPr>
                <w:rStyle w:val="SpecialBold"/>
              </w:rPr>
              <w:t>1.1) Descriptor</w:t>
            </w:r>
          </w:p>
        </w:tc>
      </w:tr>
      <w:tr w:rsidTr="00345D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E71D2" w:rsidP="005E71D2">
            <w:pPr>
              <w:pStyle w:val="BodyText"/>
            </w:pPr>
            <w:r w:rsidRPr="005E71D2">
              <w:t xml:space="preserve">This unit covers fault finding and repair surveillance and observation systems. The unit encompasses safe working practices, interpreting diagrams, applying logical diagnostic methods and knowledge of surveillance system components, rectify faults, safety </w:t>
            </w:r>
            <w:r w:rsidRPr="005E71D2">
              <w:t>and functional testing and completing the necessary service documentation.</w:t>
            </w:r>
          </w:p>
        </w:tc>
      </w:tr>
    </w:tbl>
    <w:p w:rsidR="00000000" w:rsidRPr="005E71D2" w:rsidP="005E71D2">
      <w:pPr>
        <w:pStyle w:val="BodyText"/>
      </w:pPr>
    </w:p>
    <w:p w:rsidR="00000000" w:rsidRPr="005E71D2" w:rsidP="005E71D2">
      <w:pPr>
        <w:pStyle w:val="AllowPageBreak"/>
      </w:pPr>
    </w:p>
    <w:p w:rsidR="00000000" w:rsidRPr="005E71D2" w:rsidP="005E71D2">
      <w:pPr>
        <w:pStyle w:val="Heading1"/>
      </w:pPr>
      <w:bookmarkStart w:id="3" w:name="O_705582"/>
      <w:bookmarkEnd w:id="3"/>
      <w:r w:rsidRPr="005E71D2">
        <w:t>Application of the Unit</w:t>
      </w:r>
    </w:p>
    <w:tbl>
      <w:tblPr>
        <w:tblW w:w="0" w:type="auto"/>
        <w:tblLayout w:type="fixed"/>
        <w:tblCellMar>
          <w:left w:w="62" w:type="dxa"/>
          <w:right w:w="62" w:type="dxa"/>
        </w:tblCellMar>
        <w:tblLook w:val="0000"/>
      </w:tblPr>
      <w:tblGrid>
        <w:gridCol w:w="2672"/>
        <w:gridCol w:w="5699"/>
      </w:tblGrid>
      <w:tr w:rsidTr="00345D9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5E71D2" w:rsidP="005E71D2">
            <w:pPr>
              <w:pStyle w:val="BodyText"/>
            </w:pPr>
            <w:r w:rsidRPr="005E71D2">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rPr>
                <w:rStyle w:val="SpecialBold"/>
              </w:rPr>
              <w:t>2)</w:t>
            </w:r>
          </w:p>
        </w:tc>
      </w:tr>
      <w:tr w:rsidTr="00345D9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5E71D2" w:rsidP="005E71D2">
            <w:pPr>
              <w:pStyle w:val="BodyText"/>
            </w:pPr>
            <w:r w:rsidRPr="005E71D2">
              <w:t>This unit is intended as an additional competency to relevant competencies previously acquired. It is suitabl</w:t>
            </w:r>
            <w:r w:rsidRPr="005E71D2">
              <w:t>e for employment-based programs under an approved contract of training at the aligned AQF 4 level or higher.</w:t>
            </w:r>
          </w:p>
        </w:tc>
      </w:tr>
    </w:tbl>
    <w:p w:rsidR="00000000" w:rsidRPr="005E71D2" w:rsidP="005E71D2">
      <w:pPr>
        <w:pStyle w:val="BodyText"/>
      </w:pPr>
    </w:p>
    <w:p w:rsidR="00000000" w:rsidRPr="005E71D2" w:rsidP="005E71D2">
      <w:pPr>
        <w:pStyle w:val="AllowPageBreak"/>
      </w:pPr>
    </w:p>
    <w:p w:rsidR="00000000" w:rsidRPr="005E71D2" w:rsidP="005E71D2">
      <w:pPr>
        <w:pStyle w:val="Heading1"/>
      </w:pPr>
      <w:bookmarkStart w:id="4" w:name="O_705581"/>
      <w:bookmarkEnd w:id="4"/>
      <w:r w:rsidRPr="005E71D2">
        <w:t>Licensing/Regulatory Information</w:t>
      </w:r>
    </w:p>
    <w:tbl>
      <w:tblPr>
        <w:tblW w:w="0" w:type="auto"/>
        <w:tblLayout w:type="fixed"/>
        <w:tblCellMar>
          <w:left w:w="62" w:type="dxa"/>
          <w:right w:w="62" w:type="dxa"/>
        </w:tblCellMar>
        <w:tblLook w:val="0000"/>
      </w:tblPr>
      <w:tblGrid>
        <w:gridCol w:w="2700"/>
        <w:gridCol w:w="5760"/>
      </w:tblGrid>
      <w:tr w:rsidTr="00345D9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E71D2" w:rsidP="005E71D2">
            <w:pPr>
              <w:pStyle w:val="BodyText"/>
            </w:pPr>
            <w:r w:rsidRPr="005E71D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rPr>
                <w:rStyle w:val="SpecialBold"/>
              </w:rPr>
              <w:t xml:space="preserve">3) </w:t>
            </w:r>
          </w:p>
        </w:tc>
      </w:tr>
      <w:tr w:rsidTr="00345D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E71D2" w:rsidP="005E71D2">
            <w:pPr>
              <w:pStyle w:val="BodyText"/>
            </w:pPr>
            <w:r w:rsidRPr="005E71D2">
              <w:t>The skills and knowledge described in this unit require a license to practice in the workplace where plant and equipment operate at voltage above 50 V a.c. or 120 V d.c. However other conditions may apply in some jurisdictions subject to regulations relate</w:t>
            </w:r>
            <w:r w:rsidRPr="005E71D2">
              <w:t>d to electrical work. Practice in the workplace and during training is also subject to regulations directly related to occupational health and safety and where applicable contracts of training such as apprenticeships.</w:t>
            </w:r>
          </w:p>
          <w:p w:rsidR="00000000" w:rsidRPr="005E71D2" w:rsidP="005E71D2">
            <w:pPr>
              <w:pStyle w:val="BodyText"/>
            </w:pPr>
            <w:r w:rsidRPr="005E71D2">
              <w:t xml:space="preserve">Note: </w:t>
            </w:r>
          </w:p>
          <w:p w:rsidR="00000000" w:rsidRPr="005E71D2" w:rsidP="005E71D2">
            <w:pPr>
              <w:pStyle w:val="BodyText"/>
            </w:pPr>
            <w:r w:rsidRPr="005E71D2">
              <w:t xml:space="preserve">1. Compliance with permits may </w:t>
            </w:r>
            <w:r w:rsidRPr="005E71D2">
              <w:t>be required in various jurisdictions and typically relates to the operation of plant, machinery and equipment such as elevating work platforms, powder operated fixing tools, power operated tools, vehicles, road signage and traffic control, lifting equipmen</w:t>
            </w:r>
            <w:r w:rsidRPr="005E71D2">
              <w:t>t and the like. Permits may also be required for some work environments such as confined spaces, working aloft, near live electrical apparatus and site rehabilitation.</w:t>
            </w:r>
          </w:p>
          <w:p w:rsidR="00000000" w:rsidRPr="005E71D2" w:rsidP="005E71D2">
            <w:pPr>
              <w:pStyle w:val="BodyText"/>
            </w:pPr>
            <w:r w:rsidRPr="005E71D2">
              <w:t>2. Compliance may be required in various jurisdictions relating to currency in First Aid</w:t>
            </w:r>
            <w:r w:rsidRPr="005E71D2">
              <w:t>, confined space, lifting and risk safety measures.</w:t>
            </w:r>
          </w:p>
        </w:tc>
      </w:tr>
    </w:tbl>
    <w:p w:rsidR="00000000" w:rsidRPr="005E71D2" w:rsidP="005E71D2">
      <w:pPr>
        <w:pStyle w:val="BodyText"/>
      </w:pPr>
    </w:p>
    <w:p w:rsidR="00000000" w:rsidRPr="005E71D2" w:rsidP="005E71D2">
      <w:pPr>
        <w:pStyle w:val="AllowPageBreak"/>
      </w:pPr>
    </w:p>
    <w:p w:rsidR="00000000" w:rsidRPr="005E71D2" w:rsidP="005E71D2">
      <w:pPr>
        <w:pStyle w:val="Heading1"/>
      </w:pPr>
      <w:bookmarkStart w:id="5" w:name="O_705580"/>
      <w:bookmarkEnd w:id="5"/>
      <w:r w:rsidRPr="005E71D2">
        <w:t>Pre-Requisites</w:t>
      </w:r>
    </w:p>
    <w:tbl>
      <w:tblPr>
        <w:tblW w:w="0" w:type="auto"/>
        <w:tblLayout w:type="fixed"/>
        <w:tblCellMar>
          <w:left w:w="62" w:type="dxa"/>
          <w:right w:w="62" w:type="dxa"/>
        </w:tblCellMar>
        <w:tblLook w:val="0000"/>
      </w:tblPr>
      <w:tblGrid>
        <w:gridCol w:w="2700"/>
        <w:gridCol w:w="1440"/>
        <w:gridCol w:w="4320"/>
      </w:tblGrid>
      <w:tr w:rsidTr="00345D9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E71D2" w:rsidP="005E71D2">
            <w:pPr>
              <w:pStyle w:val="BodyText"/>
            </w:pPr>
            <w:r w:rsidRPr="005E71D2">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rPr>
                <w:rStyle w:val="SpecialBold"/>
              </w:rPr>
              <w:t xml:space="preserve">4) </w:t>
            </w:r>
          </w:p>
        </w:tc>
      </w:tr>
      <w:tr w:rsidTr="00345D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E71D2" w:rsidP="005E71D2">
            <w:pPr>
              <w:pStyle w:val="BodyText"/>
            </w:pPr>
            <w:r w:rsidRPr="005E71D2">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rPr>
                <w:rStyle w:val="SpecialBold"/>
              </w:rPr>
              <w:t>4.1)</w:t>
            </w:r>
          </w:p>
        </w:tc>
      </w:tr>
      <w:tr w:rsidTr="00345D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Granting competency in this unit shall be made only after competency in the following unit(s) has/have been confirmed.</w:t>
            </w:r>
          </w:p>
        </w:tc>
      </w:tr>
      <w:tr w:rsidTr="00345D97">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UEENEEE101A</w:t>
            </w:r>
          </w:p>
        </w:tc>
        <w:tc>
          <w:tcPr>
            <w:tcW w:w="4320"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Apply Occupational Health and Safety regulations, codes and practices in the workplace</w:t>
            </w:r>
          </w:p>
        </w:tc>
      </w:tr>
      <w:tr w:rsidTr="00345D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UEENEEE104A</w:t>
            </w:r>
          </w:p>
        </w:tc>
        <w:tc>
          <w:tcPr>
            <w:tcW w:w="4320"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Solve problems in d.c. circuits</w:t>
            </w:r>
          </w:p>
        </w:tc>
      </w:tr>
      <w:tr w:rsidTr="00345D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UEENEEH1</w:t>
            </w:r>
            <w:r w:rsidRPr="005E71D2">
              <w:t>02A</w:t>
            </w:r>
          </w:p>
        </w:tc>
        <w:tc>
          <w:tcPr>
            <w:tcW w:w="4320"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 xml:space="preserve">Repair basic electronic apparatus faults by </w:t>
            </w:r>
            <w:r w:rsidRPr="005E71D2">
              <w:t>replacement of components</w:t>
            </w:r>
          </w:p>
        </w:tc>
      </w:tr>
      <w:tr w:rsidTr="00345D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 xml:space="preserve">UEENEEH113A </w:t>
            </w:r>
          </w:p>
        </w:tc>
        <w:tc>
          <w:tcPr>
            <w:tcW w:w="4320"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Troubleshoot amplifiers in an electronic apparatus</w:t>
            </w:r>
          </w:p>
        </w:tc>
      </w:tr>
      <w:tr w:rsidTr="00345D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UEENEEH116A</w:t>
            </w:r>
          </w:p>
        </w:tc>
        <w:tc>
          <w:tcPr>
            <w:tcW w:w="4320"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Find and repair microwave amplifier section faults in electronic apparatus</w:t>
            </w:r>
          </w:p>
        </w:tc>
      </w:tr>
      <w:tr w:rsidTr="00345D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UEENEEH139A</w:t>
            </w:r>
          </w:p>
        </w:tc>
        <w:tc>
          <w:tcPr>
            <w:tcW w:w="4320"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Troubleshoot basic amplifier circuits</w:t>
            </w:r>
          </w:p>
        </w:tc>
      </w:tr>
      <w:tr w:rsidTr="00345D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UEENEEH146A</w:t>
            </w:r>
          </w:p>
        </w:tc>
        <w:tc>
          <w:tcPr>
            <w:tcW w:w="4320"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Solve fundamental electronic communications system problems</w:t>
            </w:r>
          </w:p>
        </w:tc>
      </w:tr>
      <w:tr w:rsidTr="00345D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UEENEEH172A</w:t>
            </w:r>
          </w:p>
        </w:tc>
        <w:tc>
          <w:tcPr>
            <w:tcW w:w="4320"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Fault find and repair communication systems</w:t>
            </w:r>
          </w:p>
        </w:tc>
      </w:tr>
      <w:tr w:rsidTr="00345D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AND</w:t>
            </w:r>
          </w:p>
        </w:tc>
        <w:tc>
          <w:tcPr>
            <w:tcW w:w="4320"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p>
        </w:tc>
      </w:tr>
      <w:tr w:rsidTr="00345D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UEENEEH114A</w:t>
            </w:r>
          </w:p>
        </w:tc>
        <w:tc>
          <w:tcPr>
            <w:tcW w:w="4320"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Troubleshoot resonance circuits in an electronic apparatus</w:t>
            </w:r>
          </w:p>
        </w:tc>
      </w:tr>
      <w:tr w:rsidTr="00345D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 xml:space="preserve">UEENEEH169A </w:t>
            </w:r>
          </w:p>
        </w:tc>
        <w:tc>
          <w:tcPr>
            <w:tcW w:w="4320"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Solve problems in basic electronic circuits</w:t>
            </w:r>
          </w:p>
        </w:tc>
      </w:tr>
      <w:tr w:rsidTr="00345D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OR</w:t>
            </w:r>
          </w:p>
        </w:tc>
        <w:tc>
          <w:tcPr>
            <w:tcW w:w="4320"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p>
        </w:tc>
      </w:tr>
      <w:tr w:rsidTr="00345D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UEENEEG101A</w:t>
            </w:r>
          </w:p>
        </w:tc>
        <w:tc>
          <w:tcPr>
            <w:tcW w:w="4320"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Solve problems in electromagnetic devices and related circuits</w:t>
            </w:r>
          </w:p>
        </w:tc>
      </w:tr>
      <w:tr w:rsidTr="00345D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UEENEEG102A</w:t>
            </w:r>
          </w:p>
        </w:tc>
        <w:tc>
          <w:tcPr>
            <w:tcW w:w="4320" w:type="dxa"/>
            <w:tcBorders>
              <w:top w:val="nil"/>
              <w:left w:val="nil"/>
              <w:bottom w:val="nil"/>
              <w:right w:val="nil"/>
            </w:tcBorders>
            <w:tcMar>
              <w:top w:w="0" w:type="dxa"/>
              <w:left w:w="62" w:type="dxa"/>
              <w:bottom w:w="0" w:type="dxa"/>
              <w:right w:w="62" w:type="dxa"/>
            </w:tcMar>
          </w:tcPr>
          <w:p w:rsidR="00000000" w:rsidRPr="005E71D2" w:rsidP="005E71D2">
            <w:pPr>
              <w:pStyle w:val="BodyText"/>
            </w:pPr>
            <w:r w:rsidRPr="005E71D2">
              <w:t>Solve problems in low voltage a.c. circuits</w:t>
            </w:r>
          </w:p>
        </w:tc>
      </w:tr>
    </w:tbl>
    <w:p w:rsidR="00000000" w:rsidRPr="005E71D2" w:rsidP="005E71D2">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345D97">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5E71D2" w:rsidP="005E71D2">
            <w:pPr>
              <w:pStyle w:val="BodyText"/>
            </w:pPr>
            <w:r w:rsidRPr="005E71D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rPr>
                <w:rStyle w:val="SpecialBold"/>
              </w:rPr>
              <w:t xml:space="preserve">4.2) </w:t>
            </w:r>
          </w:p>
        </w:tc>
      </w:tr>
      <w:tr w:rsidTr="00345D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Participants are best equipped to achieve competency in this unit if they have reading, writing and numeracy skills indicated by the following scales. Description of each scale is given in Volume 2, Part 3 ‘Literacy and Numeracy’</w:t>
            </w:r>
          </w:p>
        </w:tc>
      </w:tr>
      <w:tr w:rsidTr="00345D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Reading</w:t>
            </w:r>
          </w:p>
        </w:tc>
        <w:tc>
          <w:tcPr>
            <w:tcW w:w="810"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4</w:t>
            </w:r>
          </w:p>
        </w:tc>
        <w:tc>
          <w:tcPr>
            <w:tcW w:w="990"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Writing</w:t>
            </w:r>
          </w:p>
        </w:tc>
        <w:tc>
          <w:tcPr>
            <w:tcW w:w="900"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4</w:t>
            </w:r>
          </w:p>
        </w:tc>
        <w:tc>
          <w:tcPr>
            <w:tcW w:w="1260"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Numeracy</w:t>
            </w:r>
          </w:p>
        </w:tc>
        <w:tc>
          <w:tcPr>
            <w:tcW w:w="720" w:type="dxa"/>
            <w:tcBorders>
              <w:top w:val="nil"/>
              <w:left w:val="nil"/>
              <w:bottom w:val="nil"/>
              <w:right w:val="nil"/>
            </w:tcBorders>
            <w:tcMar>
              <w:top w:w="0" w:type="dxa"/>
              <w:left w:w="62" w:type="dxa"/>
              <w:bottom w:w="0" w:type="dxa"/>
              <w:right w:w="62" w:type="dxa"/>
            </w:tcMar>
          </w:tcPr>
          <w:p w:rsidR="00000000" w:rsidRPr="005E71D2" w:rsidP="005E71D2">
            <w:pPr>
              <w:pStyle w:val="BodyText"/>
            </w:pPr>
            <w:r w:rsidRPr="005E71D2">
              <w:t>4</w:t>
            </w:r>
          </w:p>
        </w:tc>
      </w:tr>
    </w:tbl>
    <w:p w:rsidR="00000000" w:rsidRPr="005E71D2" w:rsidP="005E71D2">
      <w:pPr>
        <w:pStyle w:val="BodyText"/>
      </w:pPr>
    </w:p>
    <w:p w:rsidR="00000000" w:rsidRPr="005E71D2" w:rsidP="005E71D2">
      <w:pPr>
        <w:pStyle w:val="AllowPageBreak"/>
      </w:pPr>
    </w:p>
    <w:p w:rsidR="00000000" w:rsidRPr="005E71D2" w:rsidP="005E71D2">
      <w:pPr>
        <w:pStyle w:val="Heading1"/>
      </w:pPr>
      <w:bookmarkStart w:id="6" w:name="O_705579"/>
      <w:bookmarkEnd w:id="6"/>
      <w:r w:rsidRPr="005E71D2">
        <w:t>Employability Skills Information</w:t>
      </w:r>
    </w:p>
    <w:tbl>
      <w:tblPr>
        <w:tblW w:w="0" w:type="auto"/>
        <w:tblLayout w:type="fixed"/>
        <w:tblCellMar>
          <w:left w:w="62" w:type="dxa"/>
          <w:right w:w="62" w:type="dxa"/>
        </w:tblCellMar>
        <w:tblLook w:val="0000"/>
      </w:tblPr>
      <w:tblGrid>
        <w:gridCol w:w="2700"/>
        <w:gridCol w:w="5760"/>
      </w:tblGrid>
      <w:tr w:rsidTr="00345D9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E71D2" w:rsidP="005E71D2">
            <w:pPr>
              <w:pStyle w:val="BodyText"/>
            </w:pPr>
            <w:r w:rsidRPr="005E71D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rPr>
                <w:rStyle w:val="SpecialBold"/>
              </w:rPr>
              <w:t xml:space="preserve">5) </w:t>
            </w:r>
          </w:p>
        </w:tc>
      </w:tr>
      <w:tr w:rsidTr="00345D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E71D2" w:rsidP="005E71D2">
            <w:pPr>
              <w:pStyle w:val="BodyText"/>
            </w:pPr>
            <w:r w:rsidRPr="005E71D2">
              <w:t>This unit contains Employability Skills</w:t>
            </w:r>
          </w:p>
          <w:p w:rsidR="00000000" w:rsidRPr="005E71D2" w:rsidP="005E71D2">
            <w:pPr>
              <w:pStyle w:val="BodyText"/>
            </w:pPr>
            <w:r w:rsidRPr="005E71D2">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5E71D2">
              <w:t>requirements.</w:t>
            </w:r>
          </w:p>
        </w:tc>
      </w:tr>
    </w:tbl>
    <w:p w:rsidR="00000000" w:rsidRPr="005E71D2" w:rsidP="005E71D2">
      <w:pPr>
        <w:pStyle w:val="BodyText"/>
      </w:pPr>
    </w:p>
    <w:p w:rsidR="00000000" w:rsidRPr="005E71D2" w:rsidP="005E71D2">
      <w:pPr>
        <w:pStyle w:val="AllowPageBreak"/>
      </w:pPr>
    </w:p>
    <w:p w:rsidR="00000000" w:rsidRPr="005E71D2" w:rsidP="005E71D2">
      <w:pPr>
        <w:pStyle w:val="Heading1"/>
      </w:pPr>
      <w:bookmarkStart w:id="7" w:name="O_705578"/>
      <w:bookmarkEnd w:id="7"/>
      <w:r w:rsidRPr="005E71D2">
        <w:t>Elements and Performance Criteria Pre-Content</w:t>
      </w:r>
    </w:p>
    <w:tbl>
      <w:tblPr>
        <w:tblW w:w="0" w:type="auto"/>
        <w:tblLayout w:type="fixed"/>
        <w:tblCellMar>
          <w:left w:w="62" w:type="dxa"/>
          <w:right w:w="62" w:type="dxa"/>
        </w:tblCellMar>
        <w:tblLook w:val="0000"/>
      </w:tblPr>
      <w:tblGrid>
        <w:gridCol w:w="2700"/>
        <w:gridCol w:w="5760"/>
      </w:tblGrid>
      <w:tr w:rsidTr="00345D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rPr>
                <w:rStyle w:val="SpecialBold"/>
              </w:rPr>
              <w:t>6)</w:t>
            </w:r>
            <w:r w:rsidRPr="005E71D2">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5E71D2" w:rsidP="005E71D2">
            <w:pPr>
              <w:pStyle w:val="BodyText"/>
            </w:pPr>
            <w:r w:rsidRPr="005E71D2">
              <w:t>Performance Criteria describe the required performance needed to demonstrate achievement of the element. Assessment of performance is to be consistent with the Evidence Guide.</w:t>
            </w:r>
          </w:p>
        </w:tc>
      </w:tr>
    </w:tbl>
    <w:p w:rsidR="00000000" w:rsidRPr="005E71D2" w:rsidP="005E71D2">
      <w:pPr>
        <w:pStyle w:val="BodyText"/>
      </w:pPr>
    </w:p>
    <w:p w:rsidR="00000000" w:rsidRPr="005E71D2" w:rsidP="005E71D2">
      <w:pPr>
        <w:pStyle w:val="AllowPageBreak"/>
      </w:pPr>
    </w:p>
    <w:p w:rsidR="00000000" w:rsidRPr="005E71D2" w:rsidP="005E71D2">
      <w:pPr>
        <w:pStyle w:val="Heading1"/>
      </w:pPr>
      <w:bookmarkStart w:id="8" w:name="O_705577"/>
      <w:bookmarkEnd w:id="8"/>
      <w:r w:rsidRPr="005E71D2">
        <w:t>Elements and Performance Criteria</w:t>
      </w:r>
    </w:p>
    <w:tbl>
      <w:tblPr>
        <w:tblW w:w="9782" w:type="dxa"/>
        <w:tblLayout w:type="fixed"/>
        <w:tblCellMar>
          <w:left w:w="62" w:type="dxa"/>
          <w:right w:w="62" w:type="dxa"/>
        </w:tblCellMar>
        <w:tblLook w:val="0000"/>
      </w:tblPr>
      <w:tblGrid>
        <w:gridCol w:w="520"/>
        <w:gridCol w:w="2180"/>
        <w:gridCol w:w="422"/>
        <w:gridCol w:w="1041"/>
        <w:gridCol w:w="4297"/>
        <w:gridCol w:w="1322"/>
      </w:tblGrid>
      <w:tr w:rsidTr="00345D97">
        <w:tblPrEx>
          <w:tblW w:w="9782" w:type="dxa"/>
          <w:tblLayout w:type="fixed"/>
          <w:tblCellMar>
            <w:left w:w="62" w:type="dxa"/>
            <w:right w:w="62" w:type="dxa"/>
          </w:tblCellMar>
          <w:tblLook w:val="0000"/>
        </w:tblPrEx>
        <w:trPr>
          <w:gridAfter w:val="1"/>
          <w:wAfter w:w="1322" w:type="dxa"/>
          <w:tblHeader/>
        </w:trPr>
        <w:tc>
          <w:tcPr>
            <w:tcW w:w="2700" w:type="dxa"/>
            <w:gridSpan w:val="2"/>
            <w:tcBorders>
              <w:top w:val="nil"/>
              <w:left w:val="nil"/>
              <w:bottom w:val="nil"/>
              <w:right w:val="nil"/>
            </w:tcBorders>
            <w:tcMar>
              <w:top w:w="0" w:type="dxa"/>
              <w:left w:w="62" w:type="dxa"/>
              <w:bottom w:w="0" w:type="dxa"/>
              <w:right w:w="62" w:type="dxa"/>
            </w:tcMar>
          </w:tcPr>
          <w:p w:rsidR="00000000" w:rsidRPr="005E71D2" w:rsidP="005E71D2">
            <w:pPr>
              <w:pStyle w:val="BodyText"/>
            </w:pPr>
            <w:r w:rsidRPr="005E71D2">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rPr>
                <w:rStyle w:val="SpecialBold"/>
              </w:rPr>
              <w:t>PERFORMANCE CRITER</w:t>
            </w:r>
            <w:r w:rsidRPr="005E71D2">
              <w:rPr>
                <w:rStyle w:val="SpecialBold"/>
              </w:rPr>
              <w:t>IA</w:t>
            </w:r>
          </w:p>
        </w:tc>
      </w:tr>
      <w:tr w:rsidTr="00345D97">
        <w:tblPrEx>
          <w:tblW w:w="9782" w:type="dxa"/>
          <w:tblLayout w:type="fixed"/>
          <w:tblCellMar>
            <w:left w:w="62" w:type="dxa"/>
            <w:right w:w="62" w:type="dxa"/>
          </w:tblCellMar>
          <w:tblLook w:val="0000"/>
        </w:tblPrEx>
        <w:trPr>
          <w:trHeight w:val="1607"/>
        </w:trPr>
        <w:tc>
          <w:tcPr>
            <w:tcW w:w="520"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1</w:t>
            </w:r>
          </w:p>
        </w:tc>
        <w:tc>
          <w:tcPr>
            <w:tcW w:w="2602" w:type="dxa"/>
            <w:gridSpan w:val="2"/>
            <w:vMerge w:val="restart"/>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Prepare to find and repair faults.</w:t>
            </w:r>
          </w:p>
        </w:tc>
        <w:tc>
          <w:tcPr>
            <w:tcW w:w="1041"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1.1</w:t>
            </w:r>
          </w:p>
        </w:tc>
        <w:tc>
          <w:tcPr>
            <w:tcW w:w="5619" w:type="dxa"/>
            <w:gridSpan w:val="2"/>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OHS procedures for a given work area are obtained and understood.</w:t>
            </w:r>
          </w:p>
        </w:tc>
      </w:tr>
      <w:tr w:rsidTr="00345D97">
        <w:tblPrEx>
          <w:tblW w:w="9782" w:type="dxa"/>
          <w:tblLayout w:type="fixed"/>
          <w:tblCellMar>
            <w:left w:w="62" w:type="dxa"/>
            <w:right w:w="62" w:type="dxa"/>
          </w:tblCellMar>
          <w:tblLook w:val="0000"/>
        </w:tblPrEx>
        <w:tc>
          <w:tcPr>
            <w:tcW w:w="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2"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1"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1.2</w:t>
            </w:r>
          </w:p>
        </w:tc>
        <w:tc>
          <w:tcPr>
            <w:tcW w:w="5619" w:type="dxa"/>
            <w:gridSpan w:val="2"/>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Established OHS risk control measures and procedures are followed in preparation for the work.</w:t>
            </w:r>
          </w:p>
        </w:tc>
      </w:tr>
      <w:tr w:rsidTr="00345D97">
        <w:tblPrEx>
          <w:tblW w:w="9782" w:type="dxa"/>
          <w:tblLayout w:type="fixed"/>
          <w:tblCellMar>
            <w:left w:w="62" w:type="dxa"/>
            <w:right w:w="62" w:type="dxa"/>
          </w:tblCellMar>
          <w:tblLook w:val="0000"/>
        </w:tblPrEx>
        <w:tc>
          <w:tcPr>
            <w:tcW w:w="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1"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1.3</w:t>
            </w:r>
          </w:p>
        </w:tc>
        <w:tc>
          <w:tcPr>
            <w:tcW w:w="5619" w:type="dxa"/>
            <w:gridSpan w:val="2"/>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Safety hazards that have not previously been identified are documented and risk control measures devised and implemented in consultation with appropriate personnel.</w:t>
            </w:r>
          </w:p>
        </w:tc>
      </w:tr>
      <w:tr w:rsidTr="00345D97">
        <w:tblPrEx>
          <w:tblW w:w="9782" w:type="dxa"/>
          <w:tblLayout w:type="fixed"/>
          <w:tblCellMar>
            <w:left w:w="62" w:type="dxa"/>
            <w:right w:w="62" w:type="dxa"/>
          </w:tblCellMar>
          <w:tblLook w:val="0000"/>
        </w:tblPrEx>
        <w:tc>
          <w:tcPr>
            <w:tcW w:w="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1"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1.4</w:t>
            </w:r>
          </w:p>
        </w:tc>
        <w:tc>
          <w:tcPr>
            <w:tcW w:w="5619" w:type="dxa"/>
            <w:gridSpan w:val="2"/>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The extent of faults is determined from reports and other documentation and fro dis</w:t>
            </w:r>
            <w:r w:rsidRPr="005E71D2">
              <w:t>cussion with appropriate personnel.</w:t>
            </w:r>
          </w:p>
        </w:tc>
      </w:tr>
      <w:tr w:rsidTr="00345D97">
        <w:tblPrEx>
          <w:tblW w:w="9782" w:type="dxa"/>
          <w:tblLayout w:type="fixed"/>
          <w:tblCellMar>
            <w:left w:w="62" w:type="dxa"/>
            <w:right w:w="62" w:type="dxa"/>
          </w:tblCellMar>
          <w:tblLook w:val="0000"/>
        </w:tblPrEx>
        <w:tc>
          <w:tcPr>
            <w:tcW w:w="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1"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1.5</w:t>
            </w:r>
          </w:p>
        </w:tc>
        <w:tc>
          <w:tcPr>
            <w:tcW w:w="5619" w:type="dxa"/>
            <w:gridSpan w:val="2"/>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Appropriate personnel are consulted to ensure the work is co-ordinated effectively with others involved on the work site.</w:t>
            </w:r>
          </w:p>
        </w:tc>
      </w:tr>
      <w:tr w:rsidTr="00345D97">
        <w:tblPrEx>
          <w:tblW w:w="9782" w:type="dxa"/>
          <w:tblLayout w:type="fixed"/>
          <w:tblCellMar>
            <w:left w:w="62" w:type="dxa"/>
            <w:right w:w="62" w:type="dxa"/>
          </w:tblCellMar>
          <w:tblLook w:val="0000"/>
        </w:tblPrEx>
        <w:tc>
          <w:tcPr>
            <w:tcW w:w="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1"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1.6</w:t>
            </w:r>
          </w:p>
        </w:tc>
        <w:tc>
          <w:tcPr>
            <w:tcW w:w="5619" w:type="dxa"/>
            <w:gridSpan w:val="2"/>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Tools, equipment and testing devices n</w:t>
            </w:r>
            <w:r w:rsidRPr="005E71D2">
              <w:t>eeded to diagnose faults are obtained in accordance with established procedures and checked for correct operation and safety.</w:t>
            </w:r>
          </w:p>
        </w:tc>
      </w:tr>
      <w:tr w:rsidTr="00345D97">
        <w:tblPrEx>
          <w:tblW w:w="9782" w:type="dxa"/>
          <w:tblLayout w:type="fixed"/>
          <w:tblCellMar>
            <w:left w:w="62" w:type="dxa"/>
            <w:right w:w="62" w:type="dxa"/>
          </w:tblCellMar>
          <w:tblLook w:val="0000"/>
        </w:tblPrEx>
        <w:tc>
          <w:tcPr>
            <w:tcW w:w="520"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2</w:t>
            </w:r>
          </w:p>
        </w:tc>
        <w:tc>
          <w:tcPr>
            <w:tcW w:w="2602" w:type="dxa"/>
            <w:gridSpan w:val="2"/>
            <w:vMerge w:val="restart"/>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Find and repair faults.</w:t>
            </w:r>
          </w:p>
        </w:tc>
        <w:tc>
          <w:tcPr>
            <w:tcW w:w="1041"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2.1</w:t>
            </w:r>
          </w:p>
        </w:tc>
        <w:tc>
          <w:tcPr>
            <w:tcW w:w="5619" w:type="dxa"/>
            <w:gridSpan w:val="2"/>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OHS risk control measures and procedures for carrying out the work are followed.</w:t>
            </w:r>
          </w:p>
        </w:tc>
      </w:tr>
      <w:tr w:rsidTr="00345D97">
        <w:tblPrEx>
          <w:tblW w:w="9782" w:type="dxa"/>
          <w:tblLayout w:type="fixed"/>
          <w:tblCellMar>
            <w:left w:w="62" w:type="dxa"/>
            <w:right w:w="62" w:type="dxa"/>
          </w:tblCellMar>
          <w:tblLook w:val="0000"/>
        </w:tblPrEx>
        <w:tc>
          <w:tcPr>
            <w:tcW w:w="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2"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1"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2.2</w:t>
            </w:r>
          </w:p>
        </w:tc>
        <w:tc>
          <w:tcPr>
            <w:tcW w:w="5619" w:type="dxa"/>
            <w:gridSpan w:val="2"/>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The need to test or measure live is determined in strict accordance with OHS requirements and when necessary conducted within established safety procedures.</w:t>
            </w:r>
          </w:p>
        </w:tc>
      </w:tr>
      <w:tr w:rsidTr="00345D97">
        <w:tblPrEx>
          <w:tblW w:w="9782" w:type="dxa"/>
          <w:tblLayout w:type="fixed"/>
          <w:tblCellMar>
            <w:left w:w="62" w:type="dxa"/>
            <w:right w:w="62" w:type="dxa"/>
          </w:tblCellMar>
          <w:tblLook w:val="0000"/>
        </w:tblPrEx>
        <w:tc>
          <w:tcPr>
            <w:tcW w:w="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1"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2.3</w:t>
            </w:r>
          </w:p>
        </w:tc>
        <w:tc>
          <w:tcPr>
            <w:tcW w:w="5619" w:type="dxa"/>
            <w:gridSpan w:val="2"/>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 xml:space="preserve">Circuits/machines/plant are checked as being isolated where necessary in strict accordance </w:t>
            </w:r>
            <w:r w:rsidRPr="005E71D2">
              <w:t>OHS requirements and procedures</w:t>
            </w:r>
          </w:p>
        </w:tc>
      </w:tr>
      <w:tr w:rsidTr="00345D97">
        <w:tblPrEx>
          <w:tblW w:w="9782" w:type="dxa"/>
          <w:tblLayout w:type="fixed"/>
          <w:tblCellMar>
            <w:left w:w="62" w:type="dxa"/>
            <w:right w:w="62" w:type="dxa"/>
          </w:tblCellMar>
          <w:tblLook w:val="0000"/>
        </w:tblPrEx>
        <w:tc>
          <w:tcPr>
            <w:tcW w:w="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1"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2.4</w:t>
            </w:r>
          </w:p>
        </w:tc>
        <w:tc>
          <w:tcPr>
            <w:tcW w:w="5619" w:type="dxa"/>
            <w:gridSpan w:val="2"/>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 xml:space="preserve">Logical diagnostic methods are applied to diagnose satellite-based surveillance and observation system faults employing measurements and estimations </w:t>
            </w:r>
            <w:r w:rsidRPr="005E71D2">
              <w:t>of system operating parameters referenced to system operational requirements.</w:t>
            </w:r>
          </w:p>
        </w:tc>
      </w:tr>
      <w:tr w:rsidTr="00345D97">
        <w:tblPrEx>
          <w:tblW w:w="9782" w:type="dxa"/>
          <w:tblLayout w:type="fixed"/>
          <w:tblCellMar>
            <w:left w:w="62" w:type="dxa"/>
            <w:right w:w="62" w:type="dxa"/>
          </w:tblCellMar>
          <w:tblLook w:val="0000"/>
        </w:tblPrEx>
        <w:tc>
          <w:tcPr>
            <w:tcW w:w="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1"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2.5</w:t>
            </w:r>
          </w:p>
        </w:tc>
        <w:tc>
          <w:tcPr>
            <w:tcW w:w="5619" w:type="dxa"/>
            <w:gridSpan w:val="2"/>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Suspected fault scenarios are tested as being the source of system problems.</w:t>
            </w:r>
          </w:p>
        </w:tc>
      </w:tr>
      <w:tr w:rsidTr="00345D97">
        <w:tblPrEx>
          <w:tblW w:w="9782" w:type="dxa"/>
          <w:tblLayout w:type="fixed"/>
          <w:tblCellMar>
            <w:left w:w="62" w:type="dxa"/>
            <w:right w:w="62" w:type="dxa"/>
          </w:tblCellMar>
          <w:tblLook w:val="0000"/>
        </w:tblPrEx>
        <w:tc>
          <w:tcPr>
            <w:tcW w:w="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1"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2.6</w:t>
            </w:r>
          </w:p>
        </w:tc>
        <w:tc>
          <w:tcPr>
            <w:tcW w:w="5619" w:type="dxa"/>
            <w:gridSpan w:val="2"/>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 xml:space="preserve">Source of the fault is identified and appropriately competent persons are engaged to </w:t>
            </w:r>
            <w:r w:rsidRPr="005E71D2">
              <w:t>rectify the fault where it is outside the scope of electronics.</w:t>
            </w:r>
          </w:p>
        </w:tc>
      </w:tr>
      <w:tr w:rsidTr="00345D97">
        <w:tblPrEx>
          <w:tblW w:w="9782" w:type="dxa"/>
          <w:tblLayout w:type="fixed"/>
          <w:tblCellMar>
            <w:left w:w="62" w:type="dxa"/>
            <w:right w:w="62" w:type="dxa"/>
          </w:tblCellMar>
          <w:tblLook w:val="0000"/>
        </w:tblPrEx>
        <w:tc>
          <w:tcPr>
            <w:tcW w:w="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1"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2.7</w:t>
            </w:r>
          </w:p>
        </w:tc>
        <w:tc>
          <w:tcPr>
            <w:tcW w:w="5619" w:type="dxa"/>
            <w:gridSpan w:val="2"/>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Faults in the electronic components of the system are rectified to raise satellite-based surveillance and observation system to its operation standard.</w:t>
            </w:r>
          </w:p>
        </w:tc>
      </w:tr>
      <w:tr w:rsidTr="00345D97">
        <w:tblPrEx>
          <w:tblW w:w="9782" w:type="dxa"/>
          <w:tblLayout w:type="fixed"/>
          <w:tblCellMar>
            <w:left w:w="62" w:type="dxa"/>
            <w:right w:w="62" w:type="dxa"/>
          </w:tblCellMar>
          <w:tblLook w:val="0000"/>
        </w:tblPrEx>
        <w:tc>
          <w:tcPr>
            <w:tcW w:w="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1"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2.8</w:t>
            </w:r>
          </w:p>
        </w:tc>
        <w:tc>
          <w:tcPr>
            <w:tcW w:w="5619" w:type="dxa"/>
            <w:gridSpan w:val="2"/>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System is tested to verify that the system operates as intended and to specified requirements.</w:t>
            </w:r>
          </w:p>
        </w:tc>
      </w:tr>
      <w:tr w:rsidTr="00345D97">
        <w:tblPrEx>
          <w:tblW w:w="9782" w:type="dxa"/>
          <w:tblLayout w:type="fixed"/>
          <w:tblCellMar>
            <w:left w:w="62" w:type="dxa"/>
            <w:right w:w="62" w:type="dxa"/>
          </w:tblCellMar>
          <w:tblLook w:val="0000"/>
        </w:tblPrEx>
        <w:tc>
          <w:tcPr>
            <w:tcW w:w="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1"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2.9</w:t>
            </w:r>
          </w:p>
        </w:tc>
        <w:tc>
          <w:tcPr>
            <w:tcW w:w="5619" w:type="dxa"/>
            <w:gridSpan w:val="2"/>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Decisions for dealing with unexpected situations are made from discussions with appropriate persons and job specifications and requirements.</w:t>
            </w:r>
          </w:p>
        </w:tc>
      </w:tr>
      <w:tr w:rsidTr="00345D97">
        <w:tblPrEx>
          <w:tblW w:w="9782" w:type="dxa"/>
          <w:tblLayout w:type="fixed"/>
          <w:tblCellMar>
            <w:left w:w="62" w:type="dxa"/>
            <w:right w:w="62" w:type="dxa"/>
          </w:tblCellMar>
          <w:tblLook w:val="0000"/>
        </w:tblPrEx>
        <w:tc>
          <w:tcPr>
            <w:tcW w:w="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1"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2.10</w:t>
            </w:r>
          </w:p>
        </w:tc>
        <w:tc>
          <w:tcPr>
            <w:tcW w:w="5619" w:type="dxa"/>
            <w:gridSpan w:val="2"/>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Methods for dealing with unexpected situations are selected on the basis of safety and specified work outcomes.</w:t>
            </w:r>
          </w:p>
        </w:tc>
      </w:tr>
      <w:tr w:rsidTr="00345D97">
        <w:tblPrEx>
          <w:tblW w:w="9782" w:type="dxa"/>
          <w:tblLayout w:type="fixed"/>
          <w:tblCellMar>
            <w:left w:w="62" w:type="dxa"/>
            <w:right w:w="62" w:type="dxa"/>
          </w:tblCellMar>
          <w:tblLook w:val="0000"/>
        </w:tblPrEx>
        <w:tc>
          <w:tcPr>
            <w:tcW w:w="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1"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2.11</w:t>
            </w:r>
          </w:p>
        </w:tc>
        <w:tc>
          <w:tcPr>
            <w:tcW w:w="5619" w:type="dxa"/>
            <w:gridSpan w:val="2"/>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Diagnosis and rectification activities are carried out efficiently without waste of materials or damage to apparatus and the surroundin</w:t>
            </w:r>
            <w:r w:rsidRPr="005E71D2">
              <w:t>g environment or services and using sustainable energy practices.</w:t>
            </w:r>
          </w:p>
        </w:tc>
      </w:tr>
      <w:tr w:rsidTr="00345D97">
        <w:tblPrEx>
          <w:tblW w:w="9782" w:type="dxa"/>
          <w:tblLayout w:type="fixed"/>
          <w:tblCellMar>
            <w:left w:w="62" w:type="dxa"/>
            <w:right w:w="62" w:type="dxa"/>
          </w:tblCellMar>
          <w:tblLook w:val="0000"/>
        </w:tblPrEx>
        <w:tc>
          <w:tcPr>
            <w:tcW w:w="520"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3</w:t>
            </w:r>
          </w:p>
        </w:tc>
        <w:tc>
          <w:tcPr>
            <w:tcW w:w="2602" w:type="dxa"/>
            <w:gridSpan w:val="2"/>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Complete and report fault finding and repair activities.</w:t>
            </w:r>
          </w:p>
        </w:tc>
        <w:tc>
          <w:tcPr>
            <w:tcW w:w="1041"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3.1</w:t>
            </w:r>
          </w:p>
        </w:tc>
        <w:tc>
          <w:tcPr>
            <w:tcW w:w="5619" w:type="dxa"/>
            <w:gridSpan w:val="2"/>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OHS work completion risk control measures and procedures are followed.</w:t>
            </w:r>
          </w:p>
        </w:tc>
      </w:tr>
      <w:tr w:rsidTr="00345D97">
        <w:tblPrEx>
          <w:tblW w:w="9782" w:type="dxa"/>
          <w:tblLayout w:type="fixed"/>
          <w:tblCellMar>
            <w:left w:w="62" w:type="dxa"/>
            <w:right w:w="62" w:type="dxa"/>
          </w:tblCellMar>
          <w:tblLook w:val="0000"/>
        </w:tblPrEx>
        <w:tc>
          <w:tcPr>
            <w:tcW w:w="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2" w:type="dxa"/>
            <w:gridSpan w:val="2"/>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1"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3.2</w:t>
            </w:r>
          </w:p>
        </w:tc>
        <w:tc>
          <w:tcPr>
            <w:tcW w:w="5619" w:type="dxa"/>
            <w:gridSpan w:val="2"/>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Work site is made safe in accordance with esta</w:t>
            </w:r>
            <w:r w:rsidRPr="005E71D2">
              <w:t>blished safety procedures.</w:t>
            </w:r>
          </w:p>
        </w:tc>
      </w:tr>
      <w:tr w:rsidTr="00345D97">
        <w:tblPrEx>
          <w:tblW w:w="9782" w:type="dxa"/>
          <w:tblLayout w:type="fixed"/>
          <w:tblCellMar>
            <w:left w:w="62" w:type="dxa"/>
            <w:right w:w="62" w:type="dxa"/>
          </w:tblCellMar>
          <w:tblLook w:val="0000"/>
        </w:tblPrEx>
        <w:tc>
          <w:tcPr>
            <w:tcW w:w="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2"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1"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3.3</w:t>
            </w:r>
          </w:p>
        </w:tc>
        <w:tc>
          <w:tcPr>
            <w:tcW w:w="5619" w:type="dxa"/>
            <w:gridSpan w:val="2"/>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Rectification of faults is documented in accordance with established procedures.</w:t>
            </w:r>
          </w:p>
        </w:tc>
      </w:tr>
      <w:tr w:rsidTr="00345D97">
        <w:tblPrEx>
          <w:tblW w:w="9782" w:type="dxa"/>
          <w:tblLayout w:type="fixed"/>
          <w:tblCellMar>
            <w:left w:w="62" w:type="dxa"/>
            <w:right w:w="62" w:type="dxa"/>
          </w:tblCellMar>
          <w:tblLook w:val="0000"/>
        </w:tblPrEx>
        <w:tc>
          <w:tcPr>
            <w:tcW w:w="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41"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3.4</w:t>
            </w:r>
          </w:p>
        </w:tc>
        <w:tc>
          <w:tcPr>
            <w:tcW w:w="5619" w:type="dxa"/>
            <w:gridSpan w:val="2"/>
            <w:tcBorders>
              <w:top w:val="nil"/>
              <w:left w:val="nil"/>
              <w:bottom w:val="nil"/>
              <w:right w:val="nil"/>
            </w:tcBorders>
            <w:tcMar>
              <w:top w:w="0" w:type="dxa"/>
              <w:left w:w="62" w:type="dxa"/>
              <w:bottom w:w="0" w:type="dxa"/>
              <w:right w:w="62" w:type="dxa"/>
            </w:tcMar>
          </w:tcPr>
          <w:p w:rsidR="00000000" w:rsidRPr="005E71D2" w:rsidP="005E71D2">
            <w:pPr>
              <w:pStyle w:val="BodyText"/>
            </w:pPr>
            <w:r w:rsidRPr="005E71D2">
              <w:t>Appropriate person or persons notified, in accordance with established procedures, that the system faults have been rectified.</w:t>
            </w:r>
          </w:p>
        </w:tc>
      </w:tr>
    </w:tbl>
    <w:p w:rsidR="00000000" w:rsidRPr="005E71D2" w:rsidP="005E71D2">
      <w:pPr>
        <w:pStyle w:val="BodyText"/>
      </w:pPr>
    </w:p>
    <w:p w:rsidR="00000000" w:rsidRPr="005E71D2" w:rsidP="005E71D2">
      <w:pPr>
        <w:pStyle w:val="AllowPageBreak"/>
      </w:pPr>
    </w:p>
    <w:p w:rsidR="00000000" w:rsidRPr="005E71D2" w:rsidP="005E71D2">
      <w:pPr>
        <w:pStyle w:val="Heading1"/>
      </w:pPr>
      <w:bookmarkStart w:id="9" w:name="O_705576"/>
      <w:bookmarkEnd w:id="9"/>
      <w:r w:rsidRPr="005E71D2">
        <w:t>Required Skills and Knowledge</w:t>
      </w:r>
    </w:p>
    <w:tbl>
      <w:tblPr>
        <w:tblW w:w="0" w:type="auto"/>
        <w:tblLayout w:type="fixed"/>
        <w:tblCellMar>
          <w:left w:w="62" w:type="dxa"/>
          <w:right w:w="62" w:type="dxa"/>
        </w:tblCellMar>
        <w:tblLook w:val="0000"/>
      </w:tblPr>
      <w:tblGrid>
        <w:gridCol w:w="8460"/>
      </w:tblGrid>
      <w:tr w:rsidTr="00345D9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rPr>
                <w:rStyle w:val="SpecialBold"/>
              </w:rPr>
              <w:t>REQUIRED SKILLS AND KNOWLEDGE</w:t>
            </w:r>
          </w:p>
        </w:tc>
      </w:tr>
      <w:tr w:rsidTr="00345D97">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5E71D2" w:rsidP="005E71D2">
            <w:pPr>
              <w:pStyle w:val="BodyText"/>
            </w:pPr>
            <w:r w:rsidRPr="005E71D2">
              <w:rPr>
                <w:rStyle w:val="SpecialBold"/>
              </w:rPr>
              <w:t>8)</w:t>
            </w:r>
            <w:r w:rsidRPr="005E71D2">
              <w:t xml:space="preserve"> This describes the essential skills and knowledge and their level, required for this unit.</w:t>
            </w:r>
          </w:p>
          <w:p w:rsidR="00000000" w:rsidRPr="005E71D2" w:rsidP="005E71D2">
            <w:pPr>
              <w:pStyle w:val="BodyText"/>
            </w:pPr>
            <w:r w:rsidRPr="005E71D2">
              <w:t xml:space="preserve">Evidence shall show that knowledge has been acquired of safe working practices and diagnosing and rectifying faults in satellite-based surveillance and observation systems. </w:t>
            </w:r>
          </w:p>
          <w:p w:rsidR="00000000" w:rsidRPr="005E71D2" w:rsidP="005E71D2">
            <w:pPr>
              <w:pStyle w:val="BodyText"/>
            </w:pPr>
            <w:r w:rsidRPr="005E71D2">
              <w:t>All knowledge and skills detailed in this unit should be contextualised to current</w:t>
            </w:r>
            <w:r w:rsidRPr="005E71D2">
              <w:t xml:space="preserve"> industry practices and technologies.</w:t>
            </w:r>
          </w:p>
          <w:p w:rsidR="00000000" w:rsidRPr="005E71D2" w:rsidP="005E71D2">
            <w:pPr>
              <w:pStyle w:val="BodyText"/>
            </w:pPr>
            <w:r w:rsidRPr="005E71D2">
              <w:rPr>
                <w:rStyle w:val="SpecialBold"/>
              </w:rPr>
              <w:t>KS01-EH130A</w:t>
            </w:r>
            <w:r w:rsidRPr="005E71D2">
              <w:rPr>
                <w:rStyle w:val="SpecialBold"/>
              </w:rPr>
              <w:tab/>
              <w:t xml:space="preserve">              Satellite-based surveillance and observation systems</w:t>
            </w:r>
          </w:p>
          <w:p w:rsidR="00000000" w:rsidRPr="005E71D2" w:rsidP="005E71D2">
            <w:pPr>
              <w:pStyle w:val="BodyText"/>
            </w:pPr>
            <w:r w:rsidRPr="005E71D2">
              <w:t>Evidence shall show an understanding of satellite-based surveillance and observation system fault finding and repair, applying safe working</w:t>
            </w:r>
            <w:r w:rsidRPr="005E71D2">
              <w:t xml:space="preserve"> practices and relevant Standards, Codes and Regulations to an extent indicated by the following aspects:</w:t>
            </w:r>
          </w:p>
          <w:p w:rsidR="00000000" w:rsidRPr="005E71D2" w:rsidP="005E71D2">
            <w:pPr>
              <w:pStyle w:val="BodyText"/>
            </w:pPr>
            <w:r w:rsidRPr="005E71D2">
              <w:t>T1.</w:t>
            </w:r>
            <w:r w:rsidRPr="005E71D2">
              <w:tab/>
              <w:t>Types of satellite systems and sub-systems</w:t>
            </w:r>
          </w:p>
          <w:p w:rsidR="00000000" w:rsidRPr="005E71D2" w:rsidP="005E71D2">
            <w:pPr>
              <w:pStyle w:val="BodyText"/>
            </w:pPr>
            <w:r w:rsidRPr="005E71D2">
              <w:t>T2.</w:t>
            </w:r>
            <w:r w:rsidRPr="005E71D2">
              <w:tab/>
              <w:t>Earth station locality and antenna parameters</w:t>
            </w:r>
          </w:p>
          <w:p w:rsidR="00000000" w:rsidRPr="005E71D2" w:rsidP="005E71D2">
            <w:pPr>
              <w:pStyle w:val="BodyText"/>
            </w:pPr>
            <w:r w:rsidRPr="005E71D2">
              <w:t>T3.</w:t>
            </w:r>
            <w:r w:rsidRPr="005E71D2">
              <w:tab/>
              <w:t>Link specifications and link calculations</w:t>
            </w:r>
          </w:p>
          <w:p w:rsidR="00000000" w:rsidRPr="005E71D2" w:rsidP="005E71D2">
            <w:pPr>
              <w:pStyle w:val="BodyText"/>
            </w:pPr>
            <w:r w:rsidRPr="005E71D2">
              <w:t>T4.</w:t>
            </w:r>
            <w:r w:rsidRPr="005E71D2">
              <w:tab/>
            </w:r>
            <w:r w:rsidRPr="005E71D2">
              <w:t>Base band signalling processes</w:t>
            </w:r>
          </w:p>
          <w:p w:rsidR="00000000" w:rsidRPr="005E71D2" w:rsidP="005E71D2">
            <w:pPr>
              <w:pStyle w:val="BodyText"/>
            </w:pPr>
            <w:r w:rsidRPr="005E71D2">
              <w:t>T5.</w:t>
            </w:r>
            <w:r w:rsidRPr="005E71D2">
              <w:tab/>
              <w:t>Modulation and system access</w:t>
            </w:r>
          </w:p>
          <w:p w:rsidR="00000000" w:rsidRPr="005E71D2" w:rsidP="005E71D2">
            <w:pPr>
              <w:pStyle w:val="BodyText"/>
            </w:pPr>
            <w:r w:rsidRPr="005E71D2">
              <w:t>T6.</w:t>
            </w:r>
            <w:r w:rsidRPr="005E71D2">
              <w:tab/>
              <w:t>Sub-system components (i.e. functional blocks) and their operating parameters</w:t>
            </w:r>
          </w:p>
          <w:p w:rsidR="00000000" w:rsidRPr="005E71D2" w:rsidP="005E71D2">
            <w:pPr>
              <w:pStyle w:val="BodyText"/>
            </w:pPr>
            <w:r w:rsidRPr="005E71D2">
              <w:t>T7.</w:t>
            </w:r>
            <w:r w:rsidRPr="005E71D2">
              <w:tab/>
              <w:t>Environment factors effecting system performance</w:t>
            </w:r>
          </w:p>
          <w:p w:rsidR="00000000" w:rsidRPr="005E71D2" w:rsidP="005E71D2">
            <w:pPr>
              <w:pStyle w:val="BodyText"/>
            </w:pPr>
            <w:r w:rsidRPr="005E71D2">
              <w:t>T8.</w:t>
            </w:r>
            <w:r w:rsidRPr="005E71D2">
              <w:tab/>
              <w:t>Typical faults, their symptoms and cause.</w:t>
            </w:r>
          </w:p>
          <w:p w:rsidR="00000000" w:rsidRPr="005E71D2" w:rsidP="005E71D2">
            <w:pPr>
              <w:pStyle w:val="BodyText"/>
            </w:pPr>
            <w:r w:rsidRPr="005E71D2">
              <w:t>T9.</w:t>
            </w:r>
            <w:r w:rsidRPr="005E71D2">
              <w:tab/>
              <w:t>Fault d</w:t>
            </w:r>
            <w:r w:rsidRPr="005E71D2">
              <w:t xml:space="preserve">iagnosis procedures and testing </w:t>
            </w:r>
          </w:p>
          <w:p w:rsidR="00000000" w:rsidRPr="005E71D2" w:rsidP="005E71D2">
            <w:pPr>
              <w:pStyle w:val="BodyText"/>
            </w:pPr>
            <w:r w:rsidRPr="005E71D2">
              <w:t>T10.</w:t>
            </w:r>
            <w:r w:rsidRPr="005E71D2">
              <w:tab/>
              <w:t>Component replacement</w:t>
            </w:r>
          </w:p>
          <w:p w:rsidR="00000000" w:rsidRPr="005E71D2" w:rsidP="005E71D2">
            <w:pPr>
              <w:pStyle w:val="BodyText"/>
            </w:pPr>
            <w:r w:rsidRPr="005E71D2">
              <w:t>T11.</w:t>
            </w:r>
            <w:r w:rsidRPr="005E71D2">
              <w:tab/>
              <w:t>Sub-system adjustments</w:t>
            </w:r>
          </w:p>
        </w:tc>
      </w:tr>
    </w:tbl>
    <w:p w:rsidR="00000000" w:rsidRPr="005E71D2" w:rsidP="005E71D2">
      <w:pPr>
        <w:pStyle w:val="BodyText"/>
      </w:pPr>
    </w:p>
    <w:p w:rsidR="00000000" w:rsidRPr="005E71D2" w:rsidP="005E71D2">
      <w:pPr>
        <w:pStyle w:val="AllowPageBreak"/>
      </w:pPr>
    </w:p>
    <w:p w:rsidR="00000000" w:rsidRPr="005E71D2" w:rsidP="005E71D2">
      <w:pPr>
        <w:pStyle w:val="Heading1"/>
      </w:pPr>
      <w:bookmarkStart w:id="10" w:name="O_705575"/>
      <w:bookmarkEnd w:id="10"/>
      <w:r w:rsidRPr="005E71D2">
        <w:t>Evidence Guide</w:t>
      </w:r>
    </w:p>
    <w:tbl>
      <w:tblPr>
        <w:tblW w:w="0" w:type="auto"/>
        <w:tblLayout w:type="fixed"/>
        <w:tblCellMar>
          <w:left w:w="62" w:type="dxa"/>
          <w:right w:w="62" w:type="dxa"/>
        </w:tblCellMar>
        <w:tblLook w:val="0000"/>
      </w:tblPr>
      <w:tblGrid>
        <w:gridCol w:w="8460"/>
      </w:tblGrid>
      <w:tr w:rsidTr="00345D9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rPr>
                <w:rStyle w:val="SpecialBold"/>
              </w:rPr>
              <w:t>EVIDENCE GUIDE</w:t>
            </w:r>
          </w:p>
        </w:tc>
      </w:tr>
      <w:tr w:rsidTr="00345D9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E71D2" w:rsidP="005E71D2">
            <w:pPr>
              <w:pStyle w:val="BodyText"/>
            </w:pPr>
            <w:r w:rsidRPr="005E71D2">
              <w:rPr>
                <w:rStyle w:val="SpecialBold"/>
              </w:rPr>
              <w:t>9)</w:t>
            </w:r>
            <w:r w:rsidRPr="005E71D2">
              <w:t xml:space="preserve"> The evidence guide provides advice on assessment and must be read in conjunction with the Performance Criteria, Req</w:t>
            </w:r>
            <w:r w:rsidRPr="005E71D2">
              <w:t>uired Skills and Knowledge, the Range Statement and the Assessment Guidelines for this Training Package. .</w:t>
            </w:r>
          </w:p>
          <w:p w:rsidR="00000000" w:rsidRPr="005E71D2" w:rsidP="005E71D2">
            <w:pPr>
              <w:pStyle w:val="BodyText"/>
            </w:pPr>
            <w:r w:rsidRPr="005E71D2">
              <w:t>The Evidence Guide forms an integral part of this unit. It must be used in conjunction with all parts of the unit and performed in accordance with th</w:t>
            </w:r>
            <w:r w:rsidRPr="005E71D2">
              <w:t>e Assessment Guidelines of this Training Package.</w:t>
            </w:r>
          </w:p>
        </w:tc>
      </w:tr>
    </w:tbl>
    <w:p w:rsidR="00000000" w:rsidRPr="005E71D2" w:rsidP="005E71D2">
      <w:pPr>
        <w:pStyle w:val="BodyText"/>
      </w:pPr>
    </w:p>
    <w:tbl>
      <w:tblPr>
        <w:tblW w:w="0" w:type="auto"/>
        <w:tblLayout w:type="fixed"/>
        <w:tblCellMar>
          <w:left w:w="62" w:type="dxa"/>
          <w:right w:w="62" w:type="dxa"/>
        </w:tblCellMar>
        <w:tblLook w:val="0000"/>
      </w:tblPr>
      <w:tblGrid>
        <w:gridCol w:w="1890"/>
        <w:gridCol w:w="6570"/>
      </w:tblGrid>
      <w:tr w:rsidTr="00345D9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E71D2" w:rsidP="005E71D2">
            <w:pPr>
              <w:pStyle w:val="BodyText"/>
            </w:pPr>
            <w:r w:rsidRPr="005E71D2">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rPr>
                <w:rStyle w:val="SpecialBold"/>
              </w:rPr>
              <w:t>9.1)</w:t>
            </w:r>
          </w:p>
        </w:tc>
      </w:tr>
      <w:tr w:rsidTr="00345D9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E71D2" w:rsidP="005E71D2">
            <w:pPr>
              <w:pStyle w:val="BodyText"/>
            </w:pPr>
            <w:r w:rsidRPr="005E71D2">
              <w:t xml:space="preserve">Longitudinal competency development approaches to assessment, such as Profiling, require data to be reliably gathered in a form that can be </w:t>
            </w:r>
            <w:r w:rsidRPr="005E71D2">
              <w:t>consistently interpreted over time. This approach is best utilised in Apprenticeship programs and reduces assessment intervention. It is the Industry-preferred model for apprenticeships. However, where summative (or final) assessment is used it must includ</w:t>
            </w:r>
            <w:r w:rsidRPr="005E71D2">
              <w:t>e the application of the competency in the normal work environment or, at a minimum, the application of the competency in a realistically simulated work environment. It is recognised that, in some circumstances, assessment in part or full can occur outside</w:t>
            </w:r>
            <w:r w:rsidRPr="005E71D2">
              <w:t xml:space="preserve"> the workplace. However, it must be in accord with industry and regulatory policy.</w:t>
            </w:r>
          </w:p>
          <w:p w:rsidR="00000000" w:rsidRPr="005E71D2" w:rsidP="005E71D2">
            <w:pPr>
              <w:pStyle w:val="BodyText"/>
            </w:pPr>
            <w:r w:rsidRPr="005E71D2">
              <w:t>Methods chosen for a particular assessment will be influenced by various factors. These include the extent of the assessment, the most effective locations for the assessment</w:t>
            </w:r>
            <w:r w:rsidRPr="005E71D2">
              <w:t xml:space="preserve"> activities to take place, access to physical resources, additional safety measures that may be required and the critical nature of the competencies being assessed.</w:t>
            </w:r>
          </w:p>
          <w:p w:rsidR="00000000" w:rsidRPr="005E71D2" w:rsidP="005E71D2">
            <w:pPr>
              <w:pStyle w:val="BodyText"/>
            </w:pPr>
            <w:r w:rsidRPr="005E71D2">
              <w:t>The critical safety nature of working with electricity, electrical equipment, gas or any ot</w:t>
            </w:r>
            <w:r w:rsidRPr="005E71D2">
              <w:t>her hazardous substance/material carries risk in deeming a person competent. Sources of evidence need to be ‘rich’ in nature to minimise error in judgment.</w:t>
            </w:r>
          </w:p>
          <w:p w:rsidR="00000000" w:rsidRPr="005E71D2" w:rsidP="005E71D2">
            <w:pPr>
              <w:pStyle w:val="BodyText"/>
            </w:pPr>
            <w:r w:rsidRPr="005E71D2">
              <w:t>Activities associated with normal everyday work influence decisions about how/how much the data gath</w:t>
            </w:r>
            <w:r w:rsidRPr="005E71D2">
              <w:t>ered will contribute to its ‘richness’. Some skills are more critical to safety and operational requirements while the same skills may be more or less frequently practised. These points are raised for the assessors to consider when choosing an assessment m</w:t>
            </w:r>
            <w:r w:rsidRPr="005E71D2">
              <w:t>ethod and developing assessment instruments. Sample assessment instruments are included for Assessors in the Assessment Guidelines of this Training Package.</w:t>
            </w:r>
          </w:p>
        </w:tc>
      </w:tr>
    </w:tbl>
    <w:p w:rsidR="00000000" w:rsidRPr="005E71D2" w:rsidP="005E71D2">
      <w:pPr>
        <w:pStyle w:val="BodyText"/>
      </w:pPr>
    </w:p>
    <w:tbl>
      <w:tblPr>
        <w:tblW w:w="12364" w:type="dxa"/>
        <w:tblLayout w:type="fixed"/>
        <w:tblCellMar>
          <w:left w:w="62" w:type="dxa"/>
          <w:right w:w="62" w:type="dxa"/>
        </w:tblCellMar>
        <w:tblLook w:val="0000"/>
      </w:tblPr>
      <w:tblGrid>
        <w:gridCol w:w="1890"/>
        <w:gridCol w:w="872"/>
        <w:gridCol w:w="2236"/>
        <w:gridCol w:w="3464"/>
        <w:gridCol w:w="3902"/>
      </w:tblGrid>
      <w:tr w:rsidTr="00345D97">
        <w:tblPrEx>
          <w:tblW w:w="12364" w:type="dxa"/>
          <w:tblLayout w:type="fixed"/>
          <w:tblCellMar>
            <w:left w:w="62" w:type="dxa"/>
            <w:right w:w="62" w:type="dxa"/>
          </w:tblCellMar>
          <w:tblLook w:val="0000"/>
        </w:tblPrEx>
        <w:trPr>
          <w:gridAfter w:val="1"/>
          <w:wAfter w:w="3902" w:type="dxa"/>
        </w:trPr>
        <w:tc>
          <w:tcPr>
            <w:tcW w:w="1890" w:type="dxa"/>
            <w:tcBorders>
              <w:top w:val="nil"/>
              <w:left w:val="nil"/>
              <w:bottom w:val="nil"/>
              <w:right w:val="nil"/>
            </w:tcBorders>
            <w:tcMar>
              <w:top w:w="0" w:type="dxa"/>
              <w:left w:w="62" w:type="dxa"/>
              <w:bottom w:w="0" w:type="dxa"/>
              <w:right w:w="62" w:type="dxa"/>
            </w:tcMar>
          </w:tcPr>
          <w:p w:rsidR="00000000" w:rsidRPr="005E71D2" w:rsidP="005E71D2">
            <w:pPr>
              <w:pStyle w:val="BodyText"/>
            </w:pPr>
            <w:r w:rsidRPr="005E71D2">
              <w:rPr>
                <w:rStyle w:val="SpecialBold"/>
              </w:rPr>
              <w:t>Critical aspects of evidence required to demonstrate competency in this unit</w:t>
            </w:r>
          </w:p>
        </w:tc>
        <w:tc>
          <w:tcPr>
            <w:tcW w:w="6572" w:type="dxa"/>
            <w:gridSpan w:val="3"/>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rPr>
                <w:rStyle w:val="SpecialBold"/>
              </w:rPr>
              <w:t>9.2)</w:t>
            </w:r>
          </w:p>
        </w:tc>
      </w:tr>
      <w:tr w:rsidTr="00345D97">
        <w:tblPrEx>
          <w:tblW w:w="12364" w:type="dxa"/>
          <w:tblLayout w:type="fixed"/>
          <w:tblCellMar>
            <w:left w:w="62" w:type="dxa"/>
            <w:right w:w="62" w:type="dxa"/>
          </w:tblCellMar>
          <w:tblLook w:val="0000"/>
        </w:tblPrEx>
        <w:trPr>
          <w:gridAfter w:val="1"/>
          <w:wAfter w:w="3902" w:type="dxa"/>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2" w:type="dxa"/>
            <w:gridSpan w:val="3"/>
            <w:tcBorders>
              <w:top w:val="nil"/>
              <w:left w:val="nil"/>
              <w:bottom w:val="nil"/>
              <w:right w:val="nil"/>
            </w:tcBorders>
            <w:tcMar>
              <w:top w:w="0" w:type="dxa"/>
              <w:left w:w="62" w:type="dxa"/>
              <w:bottom w:w="0" w:type="dxa"/>
              <w:right w:w="62" w:type="dxa"/>
            </w:tcMar>
          </w:tcPr>
          <w:p w:rsidR="00000000" w:rsidRPr="005E71D2" w:rsidP="005E71D2">
            <w:pPr>
              <w:pStyle w:val="BodyText"/>
            </w:pPr>
            <w:r w:rsidRPr="005E71D2">
              <w:t>Before the critical aspects of evidence are considered all prerequisites shall be met.</w:t>
            </w:r>
          </w:p>
          <w:p w:rsidR="00000000" w:rsidRPr="005E71D2" w:rsidP="005E71D2">
            <w:pPr>
              <w:pStyle w:val="BodyText"/>
            </w:pPr>
            <w:r w:rsidRPr="005E71D2">
              <w:t xml:space="preserve">Evidence for competence in this unit shall be considered holistically.  Each Element and associated performance criteria shall be demonstrated on at least two occasions </w:t>
            </w:r>
            <w:r w:rsidRPr="005E71D2">
              <w:t>in accordance with the ‘Assessment Guidelines – UEE11’.  Evidence shall also comprise:</w:t>
            </w:r>
          </w:p>
          <w:p w:rsidR="00000000" w:rsidRPr="005E71D2" w:rsidP="005E71D2">
            <w:pPr>
              <w:pStyle w:val="ListBullet"/>
            </w:pPr>
            <w:r w:rsidRPr="005E71D2">
              <w:t>A representative body of work performance demonstrated within the timeframes typically expected of the discipline, work function and industrial environment. In particul</w:t>
            </w:r>
            <w:r w:rsidRPr="005E71D2">
              <w:t>ar this shall incorporate evidence that shows a candidate is able to:</w:t>
            </w:r>
          </w:p>
          <w:p w:rsidR="00000000" w:rsidRPr="005E71D2" w:rsidP="005E71D2">
            <w:pPr>
              <w:pStyle w:val="ListBullet2"/>
            </w:pPr>
            <w:r w:rsidRPr="005E71D2">
              <w:t>Implement Occupational Health and Safety workplace procedures and practices, including the use of risk control measures as specified in the performance criteria and range statement</w:t>
            </w:r>
          </w:p>
          <w:p w:rsidR="00000000" w:rsidRPr="005E71D2" w:rsidP="005E71D2">
            <w:pPr>
              <w:pStyle w:val="ListBullet2"/>
            </w:pPr>
            <w:r w:rsidRPr="005E71D2">
              <w:t>Appl</w:t>
            </w:r>
            <w:r w:rsidRPr="005E71D2">
              <w:t>y sustainable energy principles and practices as specified in the performance criteria and range statement</w:t>
            </w:r>
          </w:p>
          <w:p w:rsidR="00000000" w:rsidRPr="005E71D2" w:rsidP="005E71D2">
            <w:pPr>
              <w:pStyle w:val="ListBullet2"/>
            </w:pPr>
            <w:r w:rsidRPr="005E71D2">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5E71D2" w:rsidP="005E71D2">
            <w:pPr>
              <w:pStyle w:val="ListBullet2"/>
            </w:pPr>
            <w:r w:rsidRPr="005E71D2">
              <w:t>Demonst</w:t>
            </w:r>
            <w:r w:rsidRPr="005E71D2">
              <w:t>rate an appropriate level of skills enabling employment</w:t>
            </w:r>
          </w:p>
          <w:p w:rsidR="00000000" w:rsidRPr="005E71D2" w:rsidP="005E71D2">
            <w:pPr>
              <w:pStyle w:val="ListBullet2"/>
            </w:pPr>
            <w:r w:rsidRPr="005E71D2">
              <w:t>Conduct work observing the relevant Anti Discrimination legislation, regulations, polices and workplace procedures</w:t>
            </w:r>
          </w:p>
          <w:p w:rsidR="00000000" w:rsidRPr="005E71D2" w:rsidP="005E71D2">
            <w:pPr>
              <w:pStyle w:val="ListBullet"/>
            </w:pPr>
            <w:r w:rsidRPr="005E71D2">
              <w:t>Demonstrated consistent performance across a representative range of contexts from t</w:t>
            </w:r>
            <w:r w:rsidRPr="005E71D2">
              <w:t>he prescribed items below:</w:t>
            </w:r>
          </w:p>
          <w:p w:rsidR="00000000" w:rsidP="005E71D2">
            <w:pPr>
              <w:pStyle w:val="ListBullet2"/>
              <w:rPr>
                <w:lang w:val="en-NZ"/>
              </w:rPr>
            </w:pPr>
            <w:r w:rsidRPr="005E71D2">
              <w:t>Fault find and repair satellite based surveillance and observation systems as described in 8) and including:</w:t>
            </w:r>
          </w:p>
        </w:tc>
      </w:tr>
      <w:tr w:rsidTr="00345D97">
        <w:tblPrEx>
          <w:tblW w:w="12364" w:type="dxa"/>
          <w:tblLayout w:type="fixed"/>
          <w:tblCellMar>
            <w:left w:w="62" w:type="dxa"/>
            <w:right w:w="62" w:type="dxa"/>
          </w:tblCellMar>
          <w:tblLook w:val="0000"/>
        </w:tblPrEx>
        <w:tc>
          <w:tcPr>
            <w:tcW w:w="276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6"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A</w:t>
            </w:r>
          </w:p>
        </w:tc>
        <w:tc>
          <w:tcPr>
            <w:tcW w:w="7366" w:type="dxa"/>
            <w:gridSpan w:val="2"/>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Applying logical diagnostic methods.</w:t>
            </w:r>
          </w:p>
        </w:tc>
      </w:tr>
      <w:tr w:rsidTr="00345D97">
        <w:tblPrEx>
          <w:tblW w:w="12364" w:type="dxa"/>
          <w:tblLayout w:type="fixed"/>
          <w:tblCellMar>
            <w:left w:w="62" w:type="dxa"/>
            <w:right w:w="62" w:type="dxa"/>
          </w:tblCellMar>
          <w:tblLook w:val="0000"/>
        </w:tblPrEx>
        <w:tc>
          <w:tcPr>
            <w:tcW w:w="276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6"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B</w:t>
            </w:r>
          </w:p>
        </w:tc>
        <w:tc>
          <w:tcPr>
            <w:tcW w:w="7366" w:type="dxa"/>
            <w:gridSpan w:val="2"/>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Using fault scenarios to test the source of system faults.</w:t>
            </w:r>
          </w:p>
        </w:tc>
      </w:tr>
      <w:tr w:rsidTr="00345D97">
        <w:tblPrEx>
          <w:tblW w:w="12364" w:type="dxa"/>
          <w:tblLayout w:type="fixed"/>
          <w:tblCellMar>
            <w:left w:w="62" w:type="dxa"/>
            <w:right w:w="62" w:type="dxa"/>
          </w:tblCellMar>
          <w:tblLook w:val="0000"/>
        </w:tblPrEx>
        <w:tc>
          <w:tcPr>
            <w:tcW w:w="276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6"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C</w:t>
            </w:r>
          </w:p>
        </w:tc>
        <w:tc>
          <w:tcPr>
            <w:tcW w:w="7366" w:type="dxa"/>
            <w:gridSpan w:val="2"/>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Identifying faults and competency needed to rectify them.</w:t>
            </w:r>
          </w:p>
        </w:tc>
      </w:tr>
      <w:tr w:rsidTr="00345D97">
        <w:tblPrEx>
          <w:tblW w:w="12364" w:type="dxa"/>
          <w:tblLayout w:type="fixed"/>
          <w:tblCellMar>
            <w:left w:w="62" w:type="dxa"/>
            <w:right w:w="62" w:type="dxa"/>
          </w:tblCellMar>
          <w:tblLook w:val="0000"/>
        </w:tblPrEx>
        <w:tc>
          <w:tcPr>
            <w:tcW w:w="276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6"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D</w:t>
            </w:r>
          </w:p>
        </w:tc>
        <w:tc>
          <w:tcPr>
            <w:tcW w:w="7366" w:type="dxa"/>
            <w:gridSpan w:val="2"/>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Rectifying faults in system electronics.</w:t>
            </w:r>
          </w:p>
        </w:tc>
      </w:tr>
      <w:tr w:rsidTr="00345D97">
        <w:tblPrEx>
          <w:tblW w:w="12364" w:type="dxa"/>
          <w:tblLayout w:type="fixed"/>
          <w:tblCellMar>
            <w:left w:w="62" w:type="dxa"/>
            <w:right w:w="62" w:type="dxa"/>
          </w:tblCellMar>
          <w:tblLook w:val="0000"/>
        </w:tblPrEx>
        <w:tc>
          <w:tcPr>
            <w:tcW w:w="276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6"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E</w:t>
            </w:r>
          </w:p>
        </w:tc>
        <w:tc>
          <w:tcPr>
            <w:tcW w:w="7366" w:type="dxa"/>
            <w:gridSpan w:val="2"/>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Verifying that the system operates correctly.</w:t>
            </w:r>
          </w:p>
        </w:tc>
      </w:tr>
      <w:tr w:rsidTr="00345D97">
        <w:tblPrEx>
          <w:tblW w:w="12364" w:type="dxa"/>
          <w:tblLayout w:type="fixed"/>
          <w:tblCellMar>
            <w:left w:w="62" w:type="dxa"/>
            <w:right w:w="62" w:type="dxa"/>
          </w:tblCellMar>
          <w:tblLook w:val="0000"/>
        </w:tblPrEx>
        <w:tc>
          <w:tcPr>
            <w:tcW w:w="276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6"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F</w:t>
            </w:r>
          </w:p>
        </w:tc>
        <w:tc>
          <w:tcPr>
            <w:tcW w:w="7366" w:type="dxa"/>
            <w:gridSpan w:val="2"/>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Documenting fault rectification.</w:t>
            </w:r>
          </w:p>
        </w:tc>
      </w:tr>
      <w:tr w:rsidTr="00345D97">
        <w:tblPrEx>
          <w:tblW w:w="12364" w:type="dxa"/>
          <w:tblLayout w:type="fixed"/>
          <w:tblCellMar>
            <w:left w:w="62" w:type="dxa"/>
            <w:right w:w="62" w:type="dxa"/>
          </w:tblCellMar>
          <w:tblLook w:val="0000"/>
        </w:tblPrEx>
        <w:tc>
          <w:tcPr>
            <w:tcW w:w="276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6"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G</w:t>
            </w:r>
          </w:p>
        </w:tc>
        <w:tc>
          <w:tcPr>
            <w:tcW w:w="7366" w:type="dxa"/>
            <w:gridSpan w:val="2"/>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t>Dealing with unplanned events by drawing on essential knowledge and skills to provide appropriate solutions incorporated in a holistic assessment with the above listed items.</w:t>
            </w:r>
          </w:p>
        </w:tc>
      </w:tr>
      <w:tr w:rsidTr="00345D97">
        <w:tblPrEx>
          <w:tblW w:w="12364" w:type="dxa"/>
          <w:tblLayout w:type="fixed"/>
          <w:tblCellMar>
            <w:left w:w="62" w:type="dxa"/>
            <w:right w:w="62" w:type="dxa"/>
          </w:tblCellMar>
          <w:tblLook w:val="0000"/>
        </w:tblPrEx>
        <w:trPr>
          <w:gridAfter w:val="1"/>
          <w:wAfter w:w="3902" w:type="dxa"/>
        </w:trPr>
        <w:tc>
          <w:tcPr>
            <w:tcW w:w="8462" w:type="dxa"/>
            <w:gridSpan w:val="4"/>
            <w:tcBorders>
              <w:top w:val="nil"/>
              <w:left w:val="nil"/>
              <w:bottom w:val="nil"/>
              <w:right w:val="nil"/>
            </w:tcBorders>
            <w:tcMar>
              <w:top w:w="0" w:type="dxa"/>
              <w:left w:w="62" w:type="dxa"/>
              <w:bottom w:w="0" w:type="dxa"/>
              <w:right w:w="62" w:type="dxa"/>
            </w:tcMar>
          </w:tcPr>
          <w:p w:rsidR="00000000" w:rsidRPr="005E71D2" w:rsidP="005E71D2">
            <w:pPr>
              <w:pStyle w:val="BodyText"/>
            </w:pPr>
            <w:r w:rsidRPr="005E71D2">
              <w:t xml:space="preserve">Note: </w:t>
            </w:r>
            <w:r w:rsidRPr="005E71D2">
              <w:br/>
              <w:t>Successful completion of relevant vendor training may be used to contribu</w:t>
            </w:r>
            <w:r w:rsidRPr="005E71D2">
              <w:t>te to evidence on which competency is deemed. In these cases the alignment of outcomes of vendor training with performance criteria and critical aspects of evidence shall be clearly identified.</w:t>
            </w:r>
          </w:p>
        </w:tc>
      </w:tr>
    </w:tbl>
    <w:p w:rsidR="00000000" w:rsidRPr="005E71D2" w:rsidP="005E71D2">
      <w:pPr>
        <w:pStyle w:val="BodyText"/>
      </w:pPr>
    </w:p>
    <w:tbl>
      <w:tblPr>
        <w:tblW w:w="0" w:type="auto"/>
        <w:tblLayout w:type="fixed"/>
        <w:tblCellMar>
          <w:left w:w="62" w:type="dxa"/>
          <w:right w:w="62" w:type="dxa"/>
        </w:tblCellMar>
        <w:tblLook w:val="0000"/>
      </w:tblPr>
      <w:tblGrid>
        <w:gridCol w:w="1890"/>
        <w:gridCol w:w="6570"/>
      </w:tblGrid>
      <w:tr w:rsidTr="00345D97">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5E71D2" w:rsidP="005E71D2">
            <w:pPr>
              <w:pStyle w:val="BodyText"/>
            </w:pPr>
            <w:r w:rsidRPr="005E71D2">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rPr>
                <w:rStyle w:val="SpecialBold"/>
              </w:rPr>
              <w:t>9.3)</w:t>
            </w:r>
          </w:p>
        </w:tc>
      </w:tr>
      <w:tr w:rsidTr="00345D97">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E71D2" w:rsidP="005E71D2">
            <w:pPr>
              <w:pStyle w:val="BodyText"/>
            </w:pPr>
            <w:r w:rsidRPr="005E71D2">
              <w:t>This unit should be assessed as it relates to normal work practice using procedures, information and resources typical of a workplace. This should include:</w:t>
            </w:r>
          </w:p>
          <w:p w:rsidR="00000000" w:rsidRPr="005E71D2" w:rsidP="005E71D2">
            <w:pPr>
              <w:pStyle w:val="ListBullet"/>
            </w:pPr>
            <w:r w:rsidRPr="005E71D2">
              <w:t>OHS policy and work procedures and instructions.</w:t>
            </w:r>
          </w:p>
          <w:p w:rsidR="00000000" w:rsidRPr="005E71D2" w:rsidP="005E71D2">
            <w:pPr>
              <w:pStyle w:val="ListBullet"/>
            </w:pPr>
            <w:r w:rsidRPr="005E71D2">
              <w:t>Suitable work environment, facilities, equipment and materials to undertake actual work as prescribed by this unit.</w:t>
            </w:r>
          </w:p>
          <w:p w:rsidR="00000000" w:rsidRPr="005E71D2" w:rsidP="005E71D2">
            <w:pPr>
              <w:pStyle w:val="BodyText"/>
            </w:pPr>
            <w:r w:rsidRPr="005E71D2">
              <w:t>These should be part of the formal learning/assessment environment.</w:t>
            </w:r>
          </w:p>
          <w:p w:rsidR="00000000" w:rsidRPr="005E71D2" w:rsidP="005E71D2">
            <w:pPr>
              <w:pStyle w:val="BodyText"/>
            </w:pPr>
            <w:r w:rsidRPr="005E71D2">
              <w:t>Note:</w:t>
            </w:r>
          </w:p>
          <w:p w:rsidR="00000000" w:rsidRPr="005E71D2" w:rsidP="005E71D2">
            <w:pPr>
              <w:pStyle w:val="BodyText"/>
            </w:pPr>
            <w:r w:rsidRPr="005E71D2">
              <w:t>Where simulation is considered a suitable strategy for assessment,</w:t>
            </w:r>
            <w:r w:rsidRPr="005E71D2">
              <w:t xml:space="preserve"> conditions must be authentic and as far as possible reproduce and replicate the workplace and be consistent with the approved industry simulation policy.</w:t>
            </w:r>
          </w:p>
          <w:p w:rsidR="00000000" w:rsidRPr="005E71D2" w:rsidP="005E71D2">
            <w:pPr>
              <w:pStyle w:val="BodyText"/>
            </w:pPr>
            <w:r w:rsidRPr="005E71D2">
              <w:t>The resources used for assessment should reflect current industry practices in relation to diagnosing</w:t>
            </w:r>
            <w:r w:rsidRPr="005E71D2">
              <w:t xml:space="preserve"> and rectifying faults in satellite based surveillance and observation systems.</w:t>
            </w:r>
          </w:p>
        </w:tc>
      </w:tr>
    </w:tbl>
    <w:p w:rsidR="00000000" w:rsidRPr="005E71D2" w:rsidP="005E71D2">
      <w:pPr>
        <w:pStyle w:val="BodyText"/>
      </w:pPr>
    </w:p>
    <w:tbl>
      <w:tblPr>
        <w:tblW w:w="0" w:type="auto"/>
        <w:tblLayout w:type="fixed"/>
        <w:tblCellMar>
          <w:left w:w="62" w:type="dxa"/>
          <w:right w:w="62" w:type="dxa"/>
        </w:tblCellMar>
        <w:tblLook w:val="0000"/>
      </w:tblPr>
      <w:tblGrid>
        <w:gridCol w:w="1890"/>
        <w:gridCol w:w="6570"/>
      </w:tblGrid>
      <w:tr w:rsidTr="00345D9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E71D2" w:rsidP="005E71D2">
            <w:pPr>
              <w:pStyle w:val="BodyText"/>
            </w:pPr>
            <w:r w:rsidRPr="005E71D2">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rPr>
                <w:rStyle w:val="SpecialBold"/>
              </w:rPr>
              <w:t>9.4)</w:t>
            </w:r>
          </w:p>
        </w:tc>
      </w:tr>
      <w:tr w:rsidTr="00345D9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E71D2" w:rsidP="005E71D2">
            <w:pPr>
              <w:pStyle w:val="BodyText"/>
            </w:pPr>
            <w:r w:rsidRPr="005E71D2">
              <w:t>This unit shall be assessed by methods given in Volume 1, Part 3 ‘Assessment Guidelines’.</w:t>
            </w:r>
          </w:p>
          <w:p w:rsidR="00000000" w:rsidRPr="005E71D2" w:rsidP="005E71D2">
            <w:pPr>
              <w:pStyle w:val="BodyText"/>
            </w:pPr>
            <w:r w:rsidRPr="005E71D2">
              <w:t xml:space="preserve">Note: </w:t>
            </w:r>
          </w:p>
          <w:p w:rsidR="00000000" w:rsidRPr="005E71D2" w:rsidP="005E71D2">
            <w:pPr>
              <w:pStyle w:val="BodyText"/>
            </w:pPr>
            <w:r w:rsidRPr="005E71D2">
              <w:t>Competent performance with inherent safe working practices is expected in the industry to which this unit applies. This requires that the specified essential knowledge and associated skills are assessed in a structured environment which is primarily intend</w:t>
            </w:r>
            <w:r w:rsidRPr="005E71D2">
              <w:t>ed for learning/assessment and incorporates all necessary equipment and facilities for learners to develop and demonstrate the essential knowledge and skills described in this unit.</w:t>
            </w:r>
          </w:p>
        </w:tc>
      </w:tr>
    </w:tbl>
    <w:p w:rsidR="00000000" w:rsidRPr="005E71D2" w:rsidP="005E71D2">
      <w:pPr>
        <w:pStyle w:val="BodyText"/>
      </w:pPr>
    </w:p>
    <w:tbl>
      <w:tblPr>
        <w:tblW w:w="0" w:type="auto"/>
        <w:tblLayout w:type="fixed"/>
        <w:tblCellMar>
          <w:left w:w="62" w:type="dxa"/>
          <w:right w:w="62" w:type="dxa"/>
        </w:tblCellMar>
        <w:tblLook w:val="0000"/>
      </w:tblPr>
      <w:tblGrid>
        <w:gridCol w:w="1890"/>
        <w:gridCol w:w="6570"/>
      </w:tblGrid>
      <w:tr w:rsidTr="00345D9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E71D2" w:rsidP="005E71D2">
            <w:pPr>
              <w:pStyle w:val="BodyText"/>
            </w:pPr>
            <w:r w:rsidRPr="005E71D2">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rPr>
                <w:rStyle w:val="SpecialBold"/>
              </w:rPr>
              <w:t>9.5)</w:t>
            </w:r>
          </w:p>
        </w:tc>
      </w:tr>
      <w:tr w:rsidTr="00345D9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E71D2" w:rsidP="005E71D2">
            <w:pPr>
              <w:pStyle w:val="BodyText"/>
            </w:pPr>
            <w:r w:rsidRPr="005E71D2">
              <w:t>There are</w:t>
            </w:r>
            <w:r w:rsidRPr="005E71D2">
              <w:t xml:space="preserve"> no concurrent assessment recommendations for this unit.</w:t>
            </w:r>
          </w:p>
          <w:p w:rsidR="00000000" w:rsidRPr="005E71D2" w:rsidP="005E71D2">
            <w:pPr>
              <w:pStyle w:val="BodyText"/>
            </w:pPr>
            <w:r w:rsidRPr="005E71D2">
              <w:t>The critical aspects of occupational health and safety covered in unit UEENEEE101A and other discipline specific occupational health and safety units shall be incorporated in relation to this unit.</w:t>
            </w:r>
          </w:p>
        </w:tc>
      </w:tr>
    </w:tbl>
    <w:p w:rsidR="00000000" w:rsidRPr="005E71D2" w:rsidP="005E71D2">
      <w:pPr>
        <w:pStyle w:val="BodyText"/>
      </w:pPr>
    </w:p>
    <w:p w:rsidR="00000000" w:rsidRPr="005E71D2" w:rsidP="005E71D2">
      <w:pPr>
        <w:pStyle w:val="AllowPageBreak"/>
      </w:pPr>
    </w:p>
    <w:p w:rsidR="00000000" w:rsidRPr="005E71D2" w:rsidP="005E71D2">
      <w:pPr>
        <w:pStyle w:val="Heading1"/>
      </w:pPr>
      <w:bookmarkStart w:id="11" w:name="O_705574"/>
      <w:bookmarkEnd w:id="11"/>
      <w:r w:rsidRPr="005E71D2">
        <w:t>Range Statement</w:t>
      </w:r>
    </w:p>
    <w:tbl>
      <w:tblPr>
        <w:tblW w:w="0" w:type="auto"/>
        <w:tblLayout w:type="fixed"/>
        <w:tblCellMar>
          <w:left w:w="62" w:type="dxa"/>
          <w:right w:w="62" w:type="dxa"/>
        </w:tblCellMar>
        <w:tblLook w:val="0000"/>
      </w:tblPr>
      <w:tblGrid>
        <w:gridCol w:w="8460"/>
      </w:tblGrid>
      <w:tr w:rsidTr="00345D9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rPr>
                <w:rStyle w:val="SpecialBold"/>
              </w:rPr>
              <w:t>RANGE STATEMENT</w:t>
            </w:r>
          </w:p>
        </w:tc>
      </w:tr>
      <w:tr w:rsidTr="00345D9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E71D2" w:rsidP="005E71D2">
            <w:pPr>
              <w:pStyle w:val="BodyText"/>
            </w:pPr>
            <w:r w:rsidRPr="005E71D2">
              <w:rPr>
                <w:rStyle w:val="SpecialBold"/>
              </w:rPr>
              <w:t>10)</w:t>
            </w:r>
            <w:r w:rsidRPr="005E71D2">
              <w:t xml:space="preserve"> This relates to the unit as a whole providing the range of contexts and conditions to which </w:t>
            </w:r>
            <w:r w:rsidRPr="005E71D2">
              <w:t>the performance criteria apply. It allows for different work environments and situations that will affect performance.</w:t>
            </w:r>
          </w:p>
          <w:p w:rsidR="00000000" w:rsidRPr="005E71D2" w:rsidP="005E71D2">
            <w:pPr>
              <w:pStyle w:val="BodyText"/>
            </w:pPr>
            <w:r w:rsidRPr="005E71D2">
              <w:t>This unit shall be demonstrated by fault finding and repairing at least four faults system faults in a representative range of electronic</w:t>
            </w:r>
            <w:r w:rsidRPr="005E71D2">
              <w:t xml:space="preserve"> satellite-based surveillance and observation systems.</w:t>
            </w:r>
          </w:p>
          <w:p w:rsidR="00000000" w:rsidRPr="005E71D2" w:rsidP="005E71D2">
            <w:pPr>
              <w:pStyle w:val="BodyText"/>
            </w:pPr>
            <w:r w:rsidRPr="005E71D2">
              <w:t>Generic terms used throughout this Vocational Standard shall be regarded as part of the Range Statement in which competency is demonstrated. The definition of these and other terms that apply are given</w:t>
            </w:r>
            <w:r w:rsidRPr="005E71D2">
              <w:t xml:space="preserve"> in Volume 2, Part 2.1.</w:t>
            </w:r>
          </w:p>
        </w:tc>
      </w:tr>
    </w:tbl>
    <w:p w:rsidR="00000000" w:rsidRPr="005E71D2" w:rsidP="005E71D2">
      <w:pPr>
        <w:pStyle w:val="BodyText"/>
      </w:pPr>
    </w:p>
    <w:p w:rsidR="00000000" w:rsidRPr="005E71D2" w:rsidP="005E71D2">
      <w:pPr>
        <w:pStyle w:val="AllowPageBreak"/>
      </w:pPr>
    </w:p>
    <w:p w:rsidR="00000000" w:rsidRPr="005E71D2" w:rsidP="005E71D2">
      <w:pPr>
        <w:pStyle w:val="Heading1"/>
      </w:pPr>
      <w:bookmarkStart w:id="12" w:name="O_705573"/>
      <w:bookmarkEnd w:id="12"/>
      <w:r w:rsidRPr="005E71D2">
        <w:t>Unit Sector(s)</w:t>
      </w:r>
    </w:p>
    <w:p w:rsidR="00000000" w:rsidRPr="005E71D2" w:rsidP="005E71D2">
      <w:pPr>
        <w:pStyle w:val="BodyText"/>
      </w:pPr>
      <w:r w:rsidRPr="005E71D2">
        <w:t>Not applicable.</w:t>
      </w:r>
    </w:p>
    <w:p w:rsidR="00000000" w:rsidRPr="005E71D2" w:rsidP="005E71D2">
      <w:pPr>
        <w:pStyle w:val="AllowPageBreak"/>
      </w:pPr>
    </w:p>
    <w:p w:rsidR="00000000" w:rsidRPr="005E71D2" w:rsidP="005E71D2">
      <w:pPr>
        <w:pStyle w:val="Heading1"/>
      </w:pPr>
      <w:bookmarkStart w:id="13" w:name="O_705572"/>
      <w:bookmarkEnd w:id="13"/>
      <w:r w:rsidRPr="005E71D2">
        <w:t>Competency Field</w:t>
      </w:r>
    </w:p>
    <w:tbl>
      <w:tblPr>
        <w:tblW w:w="0" w:type="auto"/>
        <w:tblLayout w:type="fixed"/>
        <w:tblCellMar>
          <w:left w:w="62" w:type="dxa"/>
          <w:right w:w="62" w:type="dxa"/>
        </w:tblCellMar>
        <w:tblLook w:val="0000"/>
      </w:tblPr>
      <w:tblGrid>
        <w:gridCol w:w="2700"/>
        <w:gridCol w:w="5760"/>
      </w:tblGrid>
      <w:tr w:rsidTr="00345D9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E71D2" w:rsidP="005E71D2">
            <w:pPr>
              <w:pStyle w:val="BodyText"/>
            </w:pPr>
            <w:r w:rsidRPr="005E71D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E71D2">
            <w:pPr>
              <w:pStyle w:val="BodyText"/>
              <w:rPr>
                <w:lang w:val="en-NZ"/>
              </w:rPr>
            </w:pPr>
            <w:r w:rsidRPr="005E71D2">
              <w:rPr>
                <w:rStyle w:val="SpecialBold"/>
              </w:rPr>
              <w:t xml:space="preserve">11) </w:t>
            </w:r>
          </w:p>
        </w:tc>
      </w:tr>
      <w:tr w:rsidTr="00345D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E71D2" w:rsidP="005E71D2">
            <w:pPr>
              <w:pStyle w:val="BodyText"/>
            </w:pPr>
            <w:r w:rsidRPr="005E71D2">
              <w:t>Electronics</w:t>
            </w:r>
          </w:p>
        </w:tc>
      </w:tr>
    </w:tbl>
    <w:p w:rsidR="00000000" w:rsidRPr="005E71D2" w:rsidP="005E71D2">
      <w:pPr>
        <w:pStyle w:val="BodyText"/>
      </w:pPr>
    </w:p>
    <w:p w:rsidR="00000000" w:rsidRPr="005E71D2" w:rsidP="005E71D2"/>
    <w:sectPr w:rsidSect="005E71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1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1D2" w:rsidRPr="00345D97" w:rsidP="00345D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1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D97" w:rsidP="005E71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345D97" w:rsidP="005E71D2">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345D97" w:rsidP="005E71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1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1D2" w:rsidRPr="00345D97" w:rsidP="00345D9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1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D97" w:rsidRPr="002D2AF8" w:rsidP="005E71D2">
    <w:pPr>
      <w:pStyle w:val="Header"/>
      <w:framePr w:wrap="around"/>
    </w:pPr>
    <w:r>
      <w:fldChar w:fldCharType="begin"/>
    </w:r>
    <w:r>
      <w:instrText xml:space="preserve"> TITLE   \* MERGEFORMAT </w:instrText>
    </w:r>
    <w:r>
      <w:fldChar w:fldCharType="separate"/>
    </w:r>
    <w:r>
      <w:t>UEENEEH130A Fault find and repair satellite-based surveillance and observation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345D97" w:rsidP="005E71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4EAE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B4B5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6088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1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71D2"/>
    <w:pPr>
      <w:spacing w:before="360" w:after="60"/>
      <w:outlineLvl w:val="0"/>
    </w:pPr>
    <w:rPr>
      <w:sz w:val="32"/>
    </w:rPr>
  </w:style>
  <w:style w:type="paragraph" w:styleId="Heading2">
    <w:name w:val="heading 2"/>
    <w:basedOn w:val="HeadingBase"/>
    <w:next w:val="BodyText"/>
    <w:link w:val="Heading2Char"/>
    <w:qFormat/>
    <w:rsid w:val="005E71D2"/>
    <w:pPr>
      <w:keepLines/>
      <w:spacing w:before="240" w:after="120"/>
      <w:outlineLvl w:val="1"/>
    </w:pPr>
    <w:rPr>
      <w:sz w:val="28"/>
      <w:szCs w:val="40"/>
    </w:rPr>
  </w:style>
  <w:style w:type="paragraph" w:styleId="Heading3">
    <w:name w:val="heading 3"/>
    <w:basedOn w:val="HeadingBase"/>
    <w:next w:val="BodyText"/>
    <w:link w:val="Heading3Char"/>
    <w:qFormat/>
    <w:rsid w:val="005E71D2"/>
    <w:pPr>
      <w:spacing w:before="180" w:after="120"/>
      <w:outlineLvl w:val="2"/>
    </w:pPr>
    <w:rPr>
      <w:spacing w:val="-10"/>
      <w:kern w:val="32"/>
    </w:rPr>
  </w:style>
  <w:style w:type="paragraph" w:styleId="Heading4">
    <w:name w:val="heading 4"/>
    <w:basedOn w:val="HeadingBase"/>
    <w:next w:val="BodyText"/>
    <w:link w:val="Heading4Char"/>
    <w:qFormat/>
    <w:rsid w:val="005E71D2"/>
    <w:pPr>
      <w:spacing w:before="160" w:after="120"/>
      <w:outlineLvl w:val="3"/>
    </w:pPr>
    <w:rPr>
      <w:sz w:val="22"/>
    </w:rPr>
  </w:style>
  <w:style w:type="paragraph" w:styleId="Heading5">
    <w:name w:val="heading 5"/>
    <w:basedOn w:val="HeadingBase"/>
    <w:next w:val="Normal"/>
    <w:link w:val="Heading5Char"/>
    <w:qFormat/>
    <w:rsid w:val="005E71D2"/>
    <w:pPr>
      <w:spacing w:before="80"/>
      <w:outlineLvl w:val="4"/>
    </w:pPr>
    <w:rPr>
      <w:color w:val="918585"/>
      <w:sz w:val="20"/>
    </w:rPr>
  </w:style>
  <w:style w:type="paragraph" w:styleId="Heading6">
    <w:name w:val="heading 6"/>
    <w:basedOn w:val="HeadingBase"/>
    <w:next w:val="Normal"/>
    <w:link w:val="Heading6Char"/>
    <w:qFormat/>
    <w:rsid w:val="005E71D2"/>
    <w:pPr>
      <w:spacing w:before="60"/>
      <w:outlineLvl w:val="5"/>
    </w:pPr>
    <w:rPr>
      <w:color w:val="918585"/>
      <w:sz w:val="20"/>
    </w:rPr>
  </w:style>
  <w:style w:type="paragraph" w:styleId="Heading7">
    <w:name w:val="heading 7"/>
    <w:basedOn w:val="Normal"/>
    <w:next w:val="Normal"/>
    <w:link w:val="Heading7Char"/>
    <w:qFormat/>
    <w:rsid w:val="005E71D2"/>
    <w:pPr>
      <w:ind w:left="720"/>
      <w:outlineLvl w:val="6"/>
    </w:pPr>
    <w:rPr>
      <w:i/>
    </w:rPr>
  </w:style>
  <w:style w:type="paragraph" w:styleId="Heading8">
    <w:name w:val="heading 8"/>
    <w:basedOn w:val="Normal"/>
    <w:next w:val="Normal"/>
    <w:link w:val="Heading8Char"/>
    <w:qFormat/>
    <w:rsid w:val="005E71D2"/>
    <w:pPr>
      <w:ind w:left="720"/>
      <w:outlineLvl w:val="7"/>
    </w:pPr>
    <w:rPr>
      <w:i/>
    </w:rPr>
  </w:style>
  <w:style w:type="paragraph" w:styleId="Heading9">
    <w:name w:val="heading 9"/>
    <w:basedOn w:val="Normal"/>
    <w:next w:val="Normal"/>
    <w:link w:val="Heading9Char"/>
    <w:qFormat/>
    <w:rsid w:val="005E71D2"/>
    <w:pPr>
      <w:ind w:left="720"/>
      <w:outlineLvl w:val="8"/>
    </w:pPr>
    <w:rPr>
      <w:i/>
    </w:rPr>
  </w:style>
  <w:style w:type="character" w:default="1" w:styleId="DefaultParagraphFont">
    <w:name w:val="Default Paragraph Font"/>
    <w:uiPriority w:val="1"/>
    <w:unhideWhenUsed/>
    <w:rsid w:val="005E71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71D2"/>
  </w:style>
  <w:style w:type="character" w:customStyle="1" w:styleId="Heading1Char">
    <w:name w:val="Heading 1 Char"/>
    <w:basedOn w:val="DefaultParagraphFont"/>
    <w:link w:val="Heading1"/>
    <w:rsid w:val="005E71D2"/>
    <w:rPr>
      <w:rFonts w:ascii="Times New Roman" w:eastAsia="Times New Roman" w:hAnsi="Times New Roman" w:cs="Times New Roman"/>
      <w:b/>
      <w:sz w:val="32"/>
      <w:szCs w:val="20"/>
      <w:lang w:eastAsia="en-US"/>
    </w:rPr>
  </w:style>
  <w:style w:type="paragraph" w:styleId="BodyText">
    <w:name w:val="Body Text"/>
    <w:basedOn w:val="Normal"/>
    <w:link w:val="BodyTextChar"/>
    <w:rsid w:val="005E71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71D2"/>
    <w:rPr>
      <w:rFonts w:ascii="Times New Roman" w:eastAsia="Times New Roman" w:hAnsi="Times New Roman" w:cs="Times New Roman"/>
      <w:sz w:val="24"/>
      <w:lang w:eastAsia="en-US"/>
    </w:rPr>
  </w:style>
  <w:style w:type="paragraph" w:styleId="ListBullet">
    <w:name w:val="List Bullet"/>
    <w:basedOn w:val="List"/>
    <w:rsid w:val="005E71D2"/>
    <w:pPr>
      <w:numPr>
        <w:numId w:val="13"/>
      </w:numPr>
      <w:tabs>
        <w:tab w:val="clear" w:pos="340"/>
      </w:tabs>
      <w:spacing w:before="40" w:after="40"/>
    </w:pPr>
  </w:style>
  <w:style w:type="character" w:customStyle="1" w:styleId="SpecialBold">
    <w:name w:val="Special Bold"/>
    <w:basedOn w:val="DefaultParagraphFont"/>
    <w:rsid w:val="005E71D2"/>
    <w:rPr>
      <w:b/>
      <w:spacing w:val="0"/>
    </w:rPr>
  </w:style>
  <w:style w:type="paragraph" w:styleId="ListBullet2">
    <w:name w:val="List Bullet 2"/>
    <w:basedOn w:val="List2"/>
    <w:rsid w:val="005E71D2"/>
    <w:pPr>
      <w:numPr>
        <w:numId w:val="14"/>
      </w:numPr>
      <w:tabs>
        <w:tab w:val="clear" w:pos="680"/>
      </w:tabs>
    </w:pPr>
  </w:style>
  <w:style w:type="paragraph" w:customStyle="1" w:styleId="SuperHeading">
    <w:name w:val="SuperHeading"/>
    <w:basedOn w:val="Normal"/>
    <w:rsid w:val="005E71D2"/>
    <w:pPr>
      <w:spacing w:before="240" w:after="120"/>
      <w:outlineLvl w:val="0"/>
    </w:pPr>
    <w:rPr>
      <w:rFonts w:ascii="Times New Roman" w:hAnsi="Times New Roman"/>
      <w:b/>
      <w:sz w:val="32"/>
    </w:rPr>
  </w:style>
  <w:style w:type="paragraph" w:customStyle="1" w:styleId="AllowPageBreak">
    <w:name w:val="AllowPageBreak"/>
    <w:rsid w:val="005E71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71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71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71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71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71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71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71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71D2"/>
    <w:rPr>
      <w:rFonts w:ascii="Courier New" w:eastAsia="Times New Roman" w:hAnsi="Courier New" w:cs="Times New Roman"/>
      <w:i/>
      <w:szCs w:val="20"/>
      <w:lang w:eastAsia="en-US"/>
    </w:rPr>
  </w:style>
  <w:style w:type="paragraph" w:customStyle="1" w:styleId="HeadingBase">
    <w:name w:val="Heading Base"/>
    <w:rsid w:val="005E71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71D2"/>
    <w:pPr>
      <w:tabs>
        <w:tab w:val="right" w:leader="dot" w:pos="9072"/>
      </w:tabs>
      <w:ind w:left="567"/>
    </w:pPr>
    <w:rPr>
      <w:szCs w:val="22"/>
    </w:rPr>
  </w:style>
  <w:style w:type="paragraph" w:customStyle="1" w:styleId="TOCBase">
    <w:name w:val="TOC Base"/>
    <w:rsid w:val="005E71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71D2"/>
    <w:pPr>
      <w:tabs>
        <w:tab w:val="right" w:leader="dot" w:pos="9072"/>
      </w:tabs>
      <w:spacing w:before="40" w:after="40"/>
      <w:ind w:left="284"/>
    </w:pPr>
    <w:rPr>
      <w:rFonts w:ascii="Times New Roman" w:hAnsi="Times New Roman"/>
    </w:rPr>
  </w:style>
  <w:style w:type="paragraph" w:styleId="TOC1">
    <w:name w:val="toc 1"/>
    <w:basedOn w:val="TOCBase"/>
    <w:next w:val="Normal"/>
    <w:rsid w:val="005E71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71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71D2"/>
    <w:rPr>
      <w:rFonts w:ascii="Times New Roman" w:eastAsia="Times New Roman" w:hAnsi="Times New Roman" w:cs="Times New Roman"/>
      <w:sz w:val="16"/>
      <w:lang w:eastAsia="en-US"/>
    </w:rPr>
  </w:style>
  <w:style w:type="paragraph" w:styleId="Title">
    <w:name w:val="Title"/>
    <w:basedOn w:val="HeadingBase"/>
    <w:link w:val="TitleChar"/>
    <w:qFormat/>
    <w:rsid w:val="005E71D2"/>
    <w:pPr>
      <w:spacing w:before="5040"/>
      <w:jc w:val="center"/>
    </w:pPr>
    <w:rPr>
      <w:sz w:val="48"/>
      <w:szCs w:val="72"/>
      <w:lang w:val="en-US"/>
    </w:rPr>
  </w:style>
  <w:style w:type="character" w:customStyle="1" w:styleId="TitleChar">
    <w:name w:val="Title Char"/>
    <w:basedOn w:val="DefaultParagraphFont"/>
    <w:link w:val="Title"/>
    <w:rsid w:val="005E71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71D2"/>
    <w:pPr>
      <w:tabs>
        <w:tab w:val="left" w:pos="3600"/>
        <w:tab w:val="left" w:pos="3958"/>
      </w:tabs>
    </w:pPr>
  </w:style>
  <w:style w:type="paragraph" w:styleId="List">
    <w:name w:val="List"/>
    <w:basedOn w:val="BodyText"/>
    <w:next w:val="BodyText"/>
    <w:rsid w:val="005E71D2"/>
    <w:pPr>
      <w:tabs>
        <w:tab w:val="left" w:pos="340"/>
      </w:tabs>
      <w:spacing w:before="60" w:after="60"/>
      <w:ind w:left="340" w:hanging="340"/>
    </w:pPr>
  </w:style>
  <w:style w:type="paragraph" w:customStyle="1" w:styleId="Note">
    <w:name w:val="Note"/>
    <w:basedOn w:val="BodyText"/>
    <w:rsid w:val="005E71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71D2"/>
    <w:pPr>
      <w:framePr w:wrap="auto" w:hAnchor="text" w:y="6049"/>
    </w:pPr>
    <w:rPr>
      <w:color w:val="000000"/>
      <w:sz w:val="40"/>
    </w:rPr>
  </w:style>
  <w:style w:type="paragraph" w:customStyle="1" w:styleId="TOCTitle">
    <w:name w:val="TOCTitle"/>
    <w:basedOn w:val="Heading1"/>
    <w:rsid w:val="005E71D2"/>
    <w:pPr>
      <w:spacing w:after="240"/>
      <w:jc w:val="center"/>
      <w:outlineLvl w:val="9"/>
    </w:pPr>
    <w:rPr>
      <w:caps/>
    </w:rPr>
  </w:style>
  <w:style w:type="paragraph" w:customStyle="1" w:styleId="Version">
    <w:name w:val="Version"/>
    <w:rsid w:val="005E71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71D2"/>
    <w:pPr>
      <w:keepNext w:val="0"/>
      <w:tabs>
        <w:tab w:val="right" w:pos="4176"/>
      </w:tabs>
      <w:ind w:left="198" w:hanging="198"/>
    </w:pPr>
    <w:rPr>
      <w:rFonts w:ascii="Garamond" w:hAnsi="Garamond"/>
    </w:rPr>
  </w:style>
  <w:style w:type="paragraph" w:styleId="IndexHeading">
    <w:name w:val="index heading"/>
    <w:basedOn w:val="Normal"/>
    <w:next w:val="Index1"/>
    <w:semiHidden/>
    <w:rsid w:val="005E71D2"/>
    <w:pPr>
      <w:spacing w:before="120" w:after="120"/>
    </w:pPr>
    <w:rPr>
      <w:rFonts w:ascii="Arial" w:hAnsi="Arial"/>
      <w:b/>
      <w:color w:val="918585"/>
      <w:sz w:val="24"/>
    </w:rPr>
  </w:style>
  <w:style w:type="paragraph" w:styleId="Header">
    <w:name w:val="header"/>
    <w:basedOn w:val="Normal"/>
    <w:link w:val="HeaderChar"/>
    <w:rsid w:val="005E71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71D2"/>
    <w:rPr>
      <w:rFonts w:ascii="Times New Roman" w:eastAsia="Times New Roman" w:hAnsi="Times New Roman" w:cs="Times New Roman"/>
      <w:sz w:val="16"/>
      <w:szCs w:val="20"/>
      <w:lang w:val="en-GB" w:eastAsia="en-US"/>
    </w:rPr>
  </w:style>
  <w:style w:type="paragraph" w:customStyle="1" w:styleId="Chapter">
    <w:name w:val="Chapter"/>
    <w:basedOn w:val="Normal"/>
    <w:rsid w:val="005E71D2"/>
    <w:pPr>
      <w:spacing w:before="240"/>
    </w:pPr>
    <w:rPr>
      <w:rFonts w:ascii="Times New Roman" w:hAnsi="Times New Roman"/>
      <w:smallCaps/>
      <w:spacing w:val="80"/>
      <w:sz w:val="28"/>
    </w:rPr>
  </w:style>
  <w:style w:type="paragraph" w:customStyle="1" w:styleId="InChapter">
    <w:name w:val="InChapter"/>
    <w:basedOn w:val="Heading3"/>
    <w:rsid w:val="005E71D2"/>
    <w:pPr>
      <w:spacing w:after="240"/>
      <w:outlineLvl w:val="9"/>
    </w:pPr>
    <w:rPr>
      <w:noProof/>
    </w:rPr>
  </w:style>
  <w:style w:type="paragraph" w:styleId="Index2">
    <w:name w:val="index 2"/>
    <w:basedOn w:val="Normal"/>
    <w:next w:val="Normal"/>
    <w:semiHidden/>
    <w:rsid w:val="005E71D2"/>
    <w:pPr>
      <w:tabs>
        <w:tab w:val="right" w:pos="4176"/>
      </w:tabs>
      <w:ind w:left="568" w:hanging="284"/>
    </w:pPr>
    <w:rPr>
      <w:rFonts w:ascii="Garamond" w:hAnsi="Garamond"/>
    </w:rPr>
  </w:style>
  <w:style w:type="paragraph" w:customStyle="1" w:styleId="Byline">
    <w:name w:val="Byline"/>
    <w:rsid w:val="005E71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71D2"/>
    <w:pPr>
      <w:tabs>
        <w:tab w:val="clear" w:pos="3600"/>
        <w:tab w:val="clear" w:pos="3958"/>
      </w:tabs>
      <w:jc w:val="right"/>
    </w:pPr>
  </w:style>
  <w:style w:type="character" w:styleId="Emphasis">
    <w:name w:val="Emphasis"/>
    <w:basedOn w:val="DefaultParagraphFont"/>
    <w:qFormat/>
    <w:rsid w:val="005E71D2"/>
    <w:rPr>
      <w:i/>
    </w:rPr>
  </w:style>
  <w:style w:type="paragraph" w:styleId="Caption">
    <w:name w:val="caption"/>
    <w:basedOn w:val="BodyText"/>
    <w:next w:val="Normal"/>
    <w:qFormat/>
    <w:rsid w:val="005E71D2"/>
    <w:pPr>
      <w:framePr w:w="2268" w:hSpace="181" w:vSpace="181" w:wrap="around" w:vAnchor="text" w:hAnchor="page" w:x="1135" w:y="285" w:anchorLock="1"/>
    </w:pPr>
    <w:rPr>
      <w:i/>
    </w:rPr>
  </w:style>
  <w:style w:type="paragraph" w:customStyle="1" w:styleId="MiniTOCTitle">
    <w:name w:val="MiniTOCTitle"/>
    <w:basedOn w:val="Heading4"/>
    <w:rsid w:val="005E71D2"/>
    <w:pPr>
      <w:spacing w:before="240"/>
      <w:outlineLvl w:val="9"/>
    </w:pPr>
    <w:rPr>
      <w:noProof/>
      <w:sz w:val="24"/>
    </w:rPr>
  </w:style>
  <w:style w:type="paragraph" w:customStyle="1" w:styleId="MiniTOCItem">
    <w:name w:val="MiniTOCItem"/>
    <w:basedOn w:val="ListBullet"/>
    <w:rsid w:val="005E71D2"/>
    <w:pPr>
      <w:numPr>
        <w:numId w:val="0"/>
      </w:numPr>
      <w:tabs>
        <w:tab w:val="right" w:leader="dot" w:pos="6521"/>
      </w:tabs>
      <w:spacing w:before="0" w:after="0"/>
    </w:pPr>
  </w:style>
  <w:style w:type="paragraph" w:customStyle="1" w:styleId="TOFTitle">
    <w:name w:val="TOFTitle"/>
    <w:basedOn w:val="TOCTitle"/>
    <w:rsid w:val="005E71D2"/>
  </w:style>
  <w:style w:type="paragraph" w:styleId="TableofFigures">
    <w:name w:val="table of figures"/>
    <w:basedOn w:val="Normal"/>
    <w:next w:val="Normal"/>
    <w:semiHidden/>
    <w:rsid w:val="005E71D2"/>
    <w:pPr>
      <w:tabs>
        <w:tab w:val="right" w:leader="dot" w:pos="9072"/>
      </w:tabs>
      <w:ind w:left="970" w:hanging="403"/>
    </w:pPr>
    <w:rPr>
      <w:rFonts w:ascii="Times New Roman" w:hAnsi="Times New Roman"/>
      <w:b/>
    </w:rPr>
  </w:style>
  <w:style w:type="paragraph" w:styleId="ListNumber">
    <w:name w:val="List Number"/>
    <w:basedOn w:val="List"/>
    <w:rsid w:val="005E71D2"/>
    <w:pPr>
      <w:numPr>
        <w:numId w:val="11"/>
      </w:numPr>
    </w:pPr>
  </w:style>
  <w:style w:type="character" w:customStyle="1" w:styleId="WingdingSymbols">
    <w:name w:val="Wingding Symbols"/>
    <w:rsid w:val="005E71D2"/>
    <w:rPr>
      <w:rFonts w:ascii="Wingdings" w:hAnsi="Wingdings"/>
    </w:rPr>
  </w:style>
  <w:style w:type="paragraph" w:customStyle="1" w:styleId="TableHeading">
    <w:name w:val="Table Heading"/>
    <w:basedOn w:val="HeadingBase"/>
    <w:rsid w:val="005E71D2"/>
    <w:pPr>
      <w:keepLines/>
      <w:pBdr>
        <w:bottom w:val="single" w:sz="6" w:space="1" w:color="918585"/>
      </w:pBdr>
      <w:spacing w:before="240"/>
    </w:pPr>
  </w:style>
  <w:style w:type="character" w:customStyle="1" w:styleId="HotSpot">
    <w:name w:val="HotSpot"/>
    <w:rsid w:val="005E71D2"/>
    <w:rPr>
      <w:color w:val="0033CC"/>
      <w:u w:val="none"/>
    </w:rPr>
  </w:style>
  <w:style w:type="paragraph" w:customStyle="1" w:styleId="BodyTextRight">
    <w:name w:val="Body Text Right"/>
    <w:basedOn w:val="BodyText"/>
    <w:rsid w:val="005E71D2"/>
    <w:pPr>
      <w:spacing w:before="0" w:after="0"/>
      <w:jc w:val="right"/>
    </w:pPr>
  </w:style>
  <w:style w:type="paragraph" w:styleId="Index3">
    <w:name w:val="index 3"/>
    <w:basedOn w:val="ListNumber2"/>
    <w:next w:val="Normal"/>
    <w:semiHidden/>
    <w:rsid w:val="005E71D2"/>
    <w:pPr>
      <w:numPr>
        <w:numId w:val="0"/>
      </w:numPr>
      <w:tabs>
        <w:tab w:val="right" w:leader="dot" w:pos="4176"/>
      </w:tabs>
    </w:pPr>
  </w:style>
  <w:style w:type="paragraph" w:styleId="ListNumber2">
    <w:name w:val="List Number 2"/>
    <w:basedOn w:val="List2"/>
    <w:rsid w:val="005E71D2"/>
    <w:pPr>
      <w:numPr>
        <w:numId w:val="10"/>
      </w:numPr>
      <w:tabs>
        <w:tab w:val="clear" w:pos="1060"/>
      </w:tabs>
    </w:pPr>
  </w:style>
  <w:style w:type="paragraph" w:customStyle="1" w:styleId="MarginNote">
    <w:name w:val="Margin Note"/>
    <w:basedOn w:val="BodyText"/>
    <w:rsid w:val="005E71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71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71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71D2"/>
    <w:rPr>
      <w:sz w:val="32"/>
    </w:rPr>
  </w:style>
  <w:style w:type="paragraph" w:customStyle="1" w:styleId="HeadingProcedure">
    <w:name w:val="Heading Procedure"/>
    <w:basedOn w:val="HeadingBase"/>
    <w:next w:val="Normal"/>
    <w:rsid w:val="005E71D2"/>
    <w:pPr>
      <w:tabs>
        <w:tab w:val="left" w:pos="0"/>
      </w:tabs>
      <w:spacing w:before="120" w:after="60"/>
    </w:pPr>
    <w:rPr>
      <w:i/>
      <w:color w:val="918585"/>
      <w:sz w:val="22"/>
    </w:rPr>
  </w:style>
  <w:style w:type="paragraph" w:customStyle="1" w:styleId="TableBodyText">
    <w:name w:val="Table Body Text"/>
    <w:basedOn w:val="BodyText"/>
    <w:rsid w:val="005E71D2"/>
    <w:pPr>
      <w:spacing w:before="60" w:after="60"/>
    </w:pPr>
  </w:style>
  <w:style w:type="paragraph" w:styleId="ListContinue">
    <w:name w:val="List Continue"/>
    <w:basedOn w:val="List"/>
    <w:rsid w:val="005E71D2"/>
    <w:pPr>
      <w:ind w:firstLine="0"/>
    </w:pPr>
  </w:style>
  <w:style w:type="paragraph" w:customStyle="1" w:styleId="ListNote">
    <w:name w:val="List Note"/>
    <w:basedOn w:val="List"/>
    <w:rsid w:val="005E71D2"/>
    <w:pPr>
      <w:pBdr>
        <w:top w:val="single" w:sz="6" w:space="2" w:color="918585"/>
        <w:bottom w:val="single" w:sz="6" w:space="2" w:color="918585"/>
      </w:pBdr>
      <w:tabs>
        <w:tab w:val="left" w:pos="1021"/>
      </w:tabs>
      <w:ind w:firstLine="0"/>
    </w:pPr>
  </w:style>
  <w:style w:type="paragraph" w:customStyle="1" w:styleId="Warning">
    <w:name w:val="Warning"/>
    <w:basedOn w:val="BodyText"/>
    <w:rsid w:val="005E71D2"/>
    <w:pPr>
      <w:shd w:val="clear" w:color="auto" w:fill="D9D9D9"/>
      <w:tabs>
        <w:tab w:val="left" w:pos="992"/>
      </w:tabs>
      <w:ind w:left="119" w:right="119"/>
    </w:pPr>
    <w:rPr>
      <w:sz w:val="20"/>
    </w:rPr>
  </w:style>
  <w:style w:type="paragraph" w:customStyle="1" w:styleId="MarginIcons">
    <w:name w:val="Margin Icons"/>
    <w:basedOn w:val="BodyText"/>
    <w:rsid w:val="005E71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71D2"/>
    <w:rPr>
      <w:rFonts w:ascii="Courier New" w:hAnsi="Courier New"/>
    </w:rPr>
  </w:style>
  <w:style w:type="paragraph" w:customStyle="1" w:styleId="NoteBullet">
    <w:name w:val="Note Bullet"/>
    <w:basedOn w:val="Note"/>
    <w:rsid w:val="005E71D2"/>
    <w:pPr>
      <w:tabs>
        <w:tab w:val="clear" w:pos="680"/>
      </w:tabs>
      <w:spacing w:before="60" w:after="60"/>
    </w:pPr>
  </w:style>
  <w:style w:type="paragraph" w:customStyle="1" w:styleId="SubHeading2">
    <w:name w:val="SubHeading2"/>
    <w:basedOn w:val="HeadingBase"/>
    <w:rsid w:val="005E71D2"/>
    <w:pPr>
      <w:spacing w:before="240" w:after="60"/>
    </w:pPr>
    <w:rPr>
      <w:sz w:val="20"/>
    </w:rPr>
  </w:style>
  <w:style w:type="paragraph" w:customStyle="1" w:styleId="SubHeading1">
    <w:name w:val="SubHeading1"/>
    <w:basedOn w:val="HeadingBase"/>
    <w:rsid w:val="005E71D2"/>
    <w:pPr>
      <w:spacing w:before="240" w:after="60"/>
    </w:pPr>
    <w:rPr>
      <w:color w:val="918585"/>
      <w:sz w:val="22"/>
    </w:rPr>
  </w:style>
  <w:style w:type="paragraph" w:customStyle="1" w:styleId="SideHeading">
    <w:name w:val="Side Heading"/>
    <w:basedOn w:val="HeadingBase"/>
    <w:rsid w:val="005E71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71D2"/>
    <w:pPr>
      <w:numPr>
        <w:numId w:val="12"/>
      </w:numPr>
    </w:pPr>
  </w:style>
  <w:style w:type="paragraph" w:styleId="PlainText">
    <w:name w:val="Plain Text"/>
    <w:basedOn w:val="Normal"/>
    <w:link w:val="PlainTextChar"/>
    <w:rsid w:val="005E71D2"/>
    <w:rPr>
      <w:sz w:val="20"/>
    </w:rPr>
  </w:style>
  <w:style w:type="character" w:customStyle="1" w:styleId="PlainTextChar">
    <w:name w:val="Plain Text Char"/>
    <w:basedOn w:val="DefaultParagraphFont"/>
    <w:link w:val="PlainText"/>
    <w:rsid w:val="005E71D2"/>
    <w:rPr>
      <w:rFonts w:ascii="Courier New" w:eastAsia="Times New Roman" w:hAnsi="Courier New" w:cs="Times New Roman"/>
      <w:sz w:val="20"/>
      <w:szCs w:val="20"/>
      <w:lang w:eastAsia="en-US"/>
    </w:rPr>
  </w:style>
  <w:style w:type="character" w:customStyle="1" w:styleId="MenuOption">
    <w:name w:val="Menu Option"/>
    <w:basedOn w:val="DefaultParagraphFont"/>
    <w:rsid w:val="005E71D2"/>
    <w:rPr>
      <w:b/>
      <w:smallCaps/>
    </w:rPr>
  </w:style>
  <w:style w:type="paragraph" w:customStyle="1" w:styleId="TableListNumber">
    <w:name w:val="Table List Number"/>
    <w:basedOn w:val="ListNumber"/>
    <w:rsid w:val="005E71D2"/>
    <w:pPr>
      <w:numPr>
        <w:numId w:val="0"/>
      </w:numPr>
    </w:pPr>
  </w:style>
  <w:style w:type="paragraph" w:styleId="TOC4">
    <w:name w:val="toc 4"/>
    <w:basedOn w:val="TOCBase"/>
    <w:next w:val="Normal"/>
    <w:semiHidden/>
    <w:rsid w:val="005E71D2"/>
    <w:pPr>
      <w:tabs>
        <w:tab w:val="right" w:leader="dot" w:pos="9071"/>
      </w:tabs>
      <w:ind w:left="1701"/>
    </w:pPr>
  </w:style>
  <w:style w:type="paragraph" w:customStyle="1" w:styleId="ListAlpha">
    <w:name w:val="List Alpha"/>
    <w:basedOn w:val="List"/>
    <w:rsid w:val="005E71D2"/>
    <w:pPr>
      <w:numPr>
        <w:numId w:val="9"/>
      </w:numPr>
    </w:pPr>
  </w:style>
  <w:style w:type="paragraph" w:customStyle="1" w:styleId="ListAlpha2">
    <w:name w:val="List Alpha 2"/>
    <w:basedOn w:val="List2"/>
    <w:rsid w:val="005E71D2"/>
    <w:pPr>
      <w:numPr>
        <w:numId w:val="8"/>
      </w:numPr>
    </w:pPr>
  </w:style>
  <w:style w:type="paragraph" w:styleId="List2">
    <w:name w:val="List 2"/>
    <w:basedOn w:val="BodyText"/>
    <w:rsid w:val="005E71D2"/>
    <w:pPr>
      <w:tabs>
        <w:tab w:val="left" w:pos="680"/>
      </w:tabs>
      <w:spacing w:before="60" w:after="60"/>
      <w:ind w:left="680" w:hanging="340"/>
    </w:pPr>
  </w:style>
  <w:style w:type="paragraph" w:styleId="List3">
    <w:name w:val="List 3"/>
    <w:basedOn w:val="BodyText"/>
    <w:rsid w:val="005E71D2"/>
    <w:pPr>
      <w:tabs>
        <w:tab w:val="left" w:pos="1021"/>
      </w:tabs>
      <w:spacing w:before="60" w:after="60"/>
      <w:ind w:left="1020" w:hanging="340"/>
    </w:pPr>
  </w:style>
  <w:style w:type="paragraph" w:styleId="List4">
    <w:name w:val="List 4"/>
    <w:basedOn w:val="BodyText"/>
    <w:rsid w:val="005E71D2"/>
    <w:pPr>
      <w:tabs>
        <w:tab w:val="left" w:pos="1361"/>
      </w:tabs>
      <w:spacing w:before="60" w:after="60"/>
      <w:ind w:left="1361" w:hanging="340"/>
    </w:pPr>
  </w:style>
  <w:style w:type="paragraph" w:styleId="List5">
    <w:name w:val="List 5"/>
    <w:basedOn w:val="BodyText"/>
    <w:rsid w:val="005E71D2"/>
    <w:pPr>
      <w:tabs>
        <w:tab w:val="left" w:pos="1701"/>
      </w:tabs>
      <w:spacing w:before="60" w:after="60"/>
      <w:ind w:left="1701" w:hanging="340"/>
    </w:pPr>
  </w:style>
  <w:style w:type="paragraph" w:styleId="ListBullet3">
    <w:name w:val="List Bullet 3"/>
    <w:basedOn w:val="List3"/>
    <w:rsid w:val="005E71D2"/>
    <w:pPr>
      <w:numPr>
        <w:numId w:val="15"/>
      </w:numPr>
      <w:tabs>
        <w:tab w:val="clear" w:pos="1021"/>
      </w:tabs>
      <w:ind w:left="1037" w:hanging="357"/>
    </w:pPr>
  </w:style>
  <w:style w:type="paragraph" w:styleId="ListBullet4">
    <w:name w:val="List Bullet 4"/>
    <w:basedOn w:val="List4"/>
    <w:rsid w:val="005E71D2"/>
    <w:pPr>
      <w:numPr>
        <w:numId w:val="3"/>
      </w:numPr>
      <w:tabs>
        <w:tab w:val="clear" w:pos="1361"/>
      </w:tabs>
    </w:pPr>
  </w:style>
  <w:style w:type="paragraph" w:styleId="ListBullet5">
    <w:name w:val="List Bullet 5"/>
    <w:basedOn w:val="List5"/>
    <w:rsid w:val="005E71D2"/>
    <w:pPr>
      <w:numPr>
        <w:numId w:val="4"/>
      </w:numPr>
    </w:pPr>
  </w:style>
  <w:style w:type="paragraph" w:styleId="ListContinue2">
    <w:name w:val="List Continue 2"/>
    <w:basedOn w:val="List2"/>
    <w:rsid w:val="005E71D2"/>
    <w:pPr>
      <w:ind w:firstLine="0"/>
    </w:pPr>
  </w:style>
  <w:style w:type="paragraph" w:styleId="ListContinue3">
    <w:name w:val="List Continue 3"/>
    <w:basedOn w:val="List3"/>
    <w:rsid w:val="005E71D2"/>
    <w:pPr>
      <w:ind w:left="1021" w:firstLine="0"/>
    </w:pPr>
  </w:style>
  <w:style w:type="paragraph" w:styleId="ListContinue4">
    <w:name w:val="List Continue 4"/>
    <w:basedOn w:val="List4"/>
    <w:rsid w:val="005E71D2"/>
    <w:pPr>
      <w:ind w:firstLine="0"/>
    </w:pPr>
  </w:style>
  <w:style w:type="paragraph" w:styleId="ListContinue5">
    <w:name w:val="List Continue 5"/>
    <w:basedOn w:val="List5"/>
    <w:rsid w:val="005E71D2"/>
    <w:pPr>
      <w:ind w:firstLine="0"/>
    </w:pPr>
  </w:style>
  <w:style w:type="paragraph" w:styleId="ListNumber3">
    <w:name w:val="List Number 3"/>
    <w:basedOn w:val="List3"/>
    <w:rsid w:val="005E71D2"/>
    <w:pPr>
      <w:numPr>
        <w:numId w:val="5"/>
      </w:numPr>
    </w:pPr>
  </w:style>
  <w:style w:type="paragraph" w:styleId="ListNumber4">
    <w:name w:val="List Number 4"/>
    <w:basedOn w:val="List4"/>
    <w:rsid w:val="005E71D2"/>
    <w:pPr>
      <w:numPr>
        <w:numId w:val="6"/>
      </w:numPr>
    </w:pPr>
  </w:style>
  <w:style w:type="paragraph" w:styleId="ListNumber5">
    <w:name w:val="List Number 5"/>
    <w:basedOn w:val="List5"/>
    <w:rsid w:val="005E71D2"/>
    <w:pPr>
      <w:numPr>
        <w:numId w:val="7"/>
      </w:numPr>
    </w:pPr>
  </w:style>
  <w:style w:type="paragraph" w:styleId="BlockText">
    <w:name w:val="Block Text"/>
    <w:basedOn w:val="Normal"/>
    <w:rsid w:val="005E71D2"/>
    <w:pPr>
      <w:spacing w:after="120"/>
      <w:ind w:left="1440" w:right="1440"/>
    </w:pPr>
  </w:style>
  <w:style w:type="character" w:customStyle="1" w:styleId="Subscript">
    <w:name w:val="Subscript"/>
    <w:basedOn w:val="DefaultParagraphFont"/>
    <w:rsid w:val="005E71D2"/>
    <w:rPr>
      <w:sz w:val="16"/>
      <w:vertAlign w:val="subscript"/>
    </w:rPr>
  </w:style>
  <w:style w:type="character" w:customStyle="1" w:styleId="Superscript">
    <w:name w:val="Superscript"/>
    <w:basedOn w:val="DefaultParagraphFont"/>
    <w:rsid w:val="005E71D2"/>
    <w:rPr>
      <w:sz w:val="16"/>
      <w:vertAlign w:val="superscript"/>
    </w:rPr>
  </w:style>
  <w:style w:type="character" w:customStyle="1" w:styleId="Symbols">
    <w:name w:val="Symbols"/>
    <w:basedOn w:val="DefaultParagraphFont"/>
    <w:rsid w:val="005E71D2"/>
    <w:rPr>
      <w:rFonts w:ascii="Symbol" w:hAnsi="Symbol"/>
    </w:rPr>
  </w:style>
  <w:style w:type="character" w:customStyle="1" w:styleId="MenuOptions">
    <w:name w:val="Menu Options"/>
    <w:basedOn w:val="DefaultParagraphFont"/>
    <w:rsid w:val="005E71D2"/>
    <w:rPr>
      <w:rFonts w:ascii="Arial Narrow" w:hAnsi="Arial Narrow"/>
      <w:smallCaps/>
    </w:rPr>
  </w:style>
  <w:style w:type="character" w:customStyle="1" w:styleId="Buttons">
    <w:name w:val="Buttons"/>
    <w:basedOn w:val="DefaultParagraphFont"/>
    <w:rsid w:val="005E71D2"/>
    <w:rPr>
      <w:b/>
    </w:rPr>
  </w:style>
  <w:style w:type="character" w:customStyle="1" w:styleId="Underlined">
    <w:name w:val="Underlined"/>
    <w:basedOn w:val="DefaultParagraphFont"/>
    <w:rsid w:val="005E71D2"/>
    <w:rPr>
      <w:u w:val="single"/>
    </w:rPr>
  </w:style>
  <w:style w:type="paragraph" w:customStyle="1" w:styleId="TableBodyTextRight">
    <w:name w:val="Table Body Text Right"/>
    <w:basedOn w:val="TableBodyText"/>
    <w:rsid w:val="005E71D2"/>
    <w:pPr>
      <w:widowControl w:val="0"/>
      <w:autoSpaceDE w:val="0"/>
      <w:autoSpaceDN w:val="0"/>
      <w:adjustRightInd w:val="0"/>
      <w:jc w:val="right"/>
    </w:pPr>
    <w:rPr>
      <w:rFonts w:cs="Arial"/>
      <w:szCs w:val="18"/>
    </w:rPr>
  </w:style>
  <w:style w:type="paragraph" w:customStyle="1" w:styleId="CopyrightText">
    <w:name w:val="Copyright Text"/>
    <w:basedOn w:val="BodyText"/>
    <w:rsid w:val="005E71D2"/>
    <w:rPr>
      <w:sz w:val="18"/>
    </w:rPr>
  </w:style>
  <w:style w:type="paragraph" w:customStyle="1" w:styleId="BodySmallRight">
    <w:name w:val="Body Small Right"/>
    <w:basedOn w:val="BodyTextRight"/>
    <w:rsid w:val="005E71D2"/>
    <w:rPr>
      <w:sz w:val="18"/>
      <w:szCs w:val="18"/>
    </w:rPr>
  </w:style>
  <w:style w:type="paragraph" w:customStyle="1" w:styleId="MarginEdition">
    <w:name w:val="Margin Edition"/>
    <w:basedOn w:val="MarginNote"/>
    <w:rsid w:val="005E71D2"/>
    <w:pPr>
      <w:spacing w:before="0" w:after="0"/>
    </w:pPr>
    <w:rPr>
      <w:rFonts w:ascii="Times New Roman" w:hAnsi="Times New Roman"/>
      <w:color w:val="999999"/>
    </w:rPr>
  </w:style>
  <w:style w:type="paragraph" w:customStyle="1" w:styleId="Spacer">
    <w:name w:val="Spacer"/>
    <w:basedOn w:val="Normal"/>
    <w:rsid w:val="005E71D2"/>
    <w:rPr>
      <w:sz w:val="2"/>
      <w:szCs w:val="2"/>
    </w:rPr>
  </w:style>
  <w:style w:type="character" w:customStyle="1" w:styleId="Small">
    <w:name w:val="Small"/>
    <w:basedOn w:val="DefaultParagraphFont"/>
    <w:rsid w:val="005E71D2"/>
    <w:rPr>
      <w:sz w:val="16"/>
    </w:rPr>
  </w:style>
  <w:style w:type="paragraph" w:customStyle="1" w:styleId="WideTable">
    <w:name w:val="Wide Table"/>
    <w:basedOn w:val="Normal"/>
    <w:rsid w:val="005E71D2"/>
    <w:pPr>
      <w:ind w:left="-1418"/>
    </w:pPr>
    <w:rPr>
      <w:sz w:val="2"/>
      <w:szCs w:val="2"/>
    </w:rPr>
  </w:style>
  <w:style w:type="character" w:styleId="PageNumber">
    <w:name w:val="page number"/>
    <w:basedOn w:val="DefaultParagraphFont"/>
    <w:rsid w:val="005E71D2"/>
  </w:style>
  <w:style w:type="paragraph" w:styleId="Quote">
    <w:name w:val="Quote"/>
    <w:basedOn w:val="Heading1"/>
    <w:link w:val="QuoteChar"/>
    <w:qFormat/>
    <w:rsid w:val="005E71D2"/>
    <w:rPr>
      <w:b w:val="0"/>
      <w:sz w:val="72"/>
      <w:szCs w:val="72"/>
      <w:lang w:val="en-NZ"/>
    </w:rPr>
  </w:style>
  <w:style w:type="character" w:customStyle="1" w:styleId="QuoteChar">
    <w:name w:val="Quote Char"/>
    <w:basedOn w:val="DefaultParagraphFont"/>
    <w:link w:val="Quote"/>
    <w:rsid w:val="005E71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71D2"/>
    <w:pPr>
      <w:pageBreakBefore/>
    </w:pPr>
  </w:style>
  <w:style w:type="paragraph" w:customStyle="1" w:styleId="Border">
    <w:name w:val="Border"/>
    <w:basedOn w:val="Normal"/>
    <w:qFormat/>
    <w:rsid w:val="005E71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71D2"/>
    <w:rPr>
      <w:b/>
      <w:bCs/>
      <w:i/>
      <w:iCs/>
      <w:color w:val="auto"/>
    </w:rPr>
  </w:style>
  <w:style w:type="paragraph" w:styleId="IntenseQuote">
    <w:name w:val="Intense Quote"/>
    <w:basedOn w:val="Normal"/>
    <w:next w:val="Normal"/>
    <w:link w:val="IntenseQuoteChar"/>
    <w:uiPriority w:val="30"/>
    <w:qFormat/>
    <w:rsid w:val="005E71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71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71D2"/>
    <w:rPr>
      <w:smallCaps/>
      <w:color w:val="auto"/>
      <w:u w:val="single"/>
    </w:rPr>
  </w:style>
  <w:style w:type="character" w:styleId="IntenseReference">
    <w:name w:val="Intense Reference"/>
    <w:basedOn w:val="DefaultParagraphFont"/>
    <w:uiPriority w:val="32"/>
    <w:qFormat/>
    <w:rsid w:val="005E71D2"/>
    <w:rPr>
      <w:b/>
      <w:bCs/>
      <w:smallCaps/>
      <w:color w:val="auto"/>
      <w:spacing w:val="5"/>
      <w:u w:val="single"/>
    </w:rPr>
  </w:style>
  <w:style w:type="paragraph" w:customStyle="1" w:styleId="2ColumnHeading">
    <w:name w:val="2Column Heading"/>
    <w:basedOn w:val="BodyText"/>
    <w:qFormat/>
    <w:rsid w:val="005E71D2"/>
    <w:pPr>
      <w:spacing w:after="60"/>
      <w:ind w:left="-2268"/>
    </w:pPr>
    <w:rPr>
      <w:b/>
    </w:rPr>
  </w:style>
  <w:style w:type="paragraph" w:customStyle="1" w:styleId="Heading1TOC">
    <w:name w:val="Heading1 TOC"/>
    <w:basedOn w:val="Normal"/>
    <w:qFormat/>
    <w:rsid w:val="005E71D2"/>
    <w:pPr>
      <w:spacing w:before="240" w:after="120"/>
    </w:pPr>
    <w:rPr>
      <w:rFonts w:ascii="Times New Roman" w:hAnsi="Times New Roman"/>
      <w:b/>
      <w:sz w:val="32"/>
    </w:rPr>
  </w:style>
  <w:style w:type="paragraph" w:customStyle="1" w:styleId="Heading2TOC">
    <w:name w:val="Heading2 TOC"/>
    <w:basedOn w:val="Normal"/>
    <w:qFormat/>
    <w:rsid w:val="005E71D2"/>
    <w:pPr>
      <w:spacing w:before="240" w:after="60"/>
    </w:pPr>
    <w:rPr>
      <w:rFonts w:ascii="Times New Roman" w:hAnsi="Times New Roman"/>
      <w:b/>
      <w:sz w:val="28"/>
    </w:rPr>
  </w:style>
  <w:style w:type="character" w:customStyle="1" w:styleId="Underline">
    <w:name w:val="Underline"/>
    <w:basedOn w:val="DefaultParagraphFont"/>
    <w:qFormat/>
    <w:rsid w:val="005E71D2"/>
    <w:rPr>
      <w:u w:val="single"/>
    </w:rPr>
  </w:style>
  <w:style w:type="character" w:customStyle="1" w:styleId="BoldandItalics">
    <w:name w:val="Bold and Italics"/>
    <w:qFormat/>
    <w:rsid w:val="005E71D2"/>
    <w:rPr>
      <w:b/>
      <w:i/>
      <w:u w:val="none"/>
    </w:rPr>
  </w:style>
  <w:style w:type="paragraph" w:styleId="BalloonText">
    <w:name w:val="Balloon Text"/>
    <w:basedOn w:val="Normal"/>
    <w:link w:val="BalloonTextChar"/>
    <w:rsid w:val="005E71D2"/>
    <w:rPr>
      <w:rFonts w:ascii="Tahoma" w:hAnsi="Tahoma" w:cs="Tahoma"/>
      <w:sz w:val="16"/>
      <w:szCs w:val="16"/>
    </w:rPr>
  </w:style>
  <w:style w:type="character" w:customStyle="1" w:styleId="BalloonTextChar">
    <w:name w:val="Balloon Text Char"/>
    <w:basedOn w:val="DefaultParagraphFont"/>
    <w:link w:val="BalloonText"/>
    <w:rsid w:val="005E71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71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71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71D2"/>
    <w:rPr>
      <w:b/>
      <w:color w:val="660033"/>
      <w:spacing w:val="0"/>
    </w:rPr>
  </w:style>
  <w:style w:type="paragraph" w:customStyle="1" w:styleId="Nameditemlist">
    <w:name w:val="Named item list"/>
    <w:basedOn w:val="BodyText"/>
    <w:qFormat/>
    <w:rsid w:val="005E71D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2175</Words>
  <Characters>13179</Characters>
  <Application>Microsoft Office Word</Application>
  <DocSecurity>0</DocSecurity>
  <Lines>528</Lines>
  <Paragraphs>213</Paragraphs>
  <ScaleCrop>false</ScaleCrop>
  <Company>Author-it Software Corporation Ltd.</Company>
  <LinksUpToDate>false</LinksUpToDate>
  <CharactersWithSpaces>15182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UEENEEH130A Fault find and repair satellite-based surveillance and observation systems</dc:title>
  <dc:subject>Approved</dc:subject>
  <dc:creator>E-OZ Training Standards</dc:creator>
  <cp:keywords>Release 3</cp:keywords>
  <dc:description>Review Date: 12 April 2008</dc:description>
  <cp:lastModifiedBy>HSD_TPCMSd.prod</cp:lastModifiedBy>
  <cp:revision>3</cp:revision>
  <dcterms:created xsi:type="dcterms:W3CDTF">2014-12-16T11:52:28Z</dcterms:created>
  <dcterms:modified xsi:type="dcterms:W3CDTF">2014-12-16T00:19:00Z</dcterms:modified>
</cp:coreProperties>
</file>