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F45" w:rsidP="00C71F45">
      <w:pPr>
        <w:pStyle w:val="Title"/>
      </w:pPr>
      <w:r>
        <w:fldChar w:fldCharType="begin"/>
      </w:r>
      <w:r>
        <w:instrText xml:space="preserve"> TITLE   \* MERGEFORMAT </w:instrText>
      </w:r>
      <w:r>
        <w:fldChar w:fldCharType="separate"/>
      </w:r>
      <w:r>
        <w:t>UEENEEH123A Fault find and repair microwave heating apparatus</w:t>
      </w:r>
      <w:r>
        <w:fldChar w:fldCharType="end"/>
      </w:r>
    </w:p>
    <w:p w:rsidR="00C71F45" w:rsidP="00C71F45">
      <w:pPr>
        <w:pStyle w:val="Version"/>
        <w:sectPr w:rsidSect="00DC6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68BB" w:rsidP="00DC68BB">
      <w:pPr>
        <w:pStyle w:val="SuperHeading"/>
      </w:pPr>
      <w:r w:rsidRPr="00DC68BB">
        <w:t>UEENEEH123A Fault find and repair microwave heating apparatus</w:t>
      </w:r>
    </w:p>
    <w:p w:rsidR="00000000" w:rsidRPr="00DC68BB" w:rsidP="00DC68BB">
      <w:pPr>
        <w:pStyle w:val="Heading1"/>
      </w:pPr>
      <w:bookmarkStart w:id="1" w:name="O_587377"/>
      <w:bookmarkEnd w:id="1"/>
      <w:r w:rsidRPr="00DC68BB">
        <w:t>Modification History</w:t>
      </w:r>
    </w:p>
    <w:p w:rsidR="00000000" w:rsidRPr="00DC68BB" w:rsidP="00DC68BB">
      <w:pPr>
        <w:pStyle w:val="BodyText"/>
      </w:pPr>
      <w:r w:rsidRPr="00DC68BB">
        <w:t>Not applicable.</w:t>
      </w:r>
    </w:p>
    <w:p w:rsidR="00000000" w:rsidRPr="00DC68BB" w:rsidP="00DC68BB">
      <w:pPr>
        <w:pStyle w:val="AllowPageBreak"/>
      </w:pPr>
    </w:p>
    <w:p w:rsidR="00000000" w:rsidRPr="00DC68BB" w:rsidP="00DC68BB">
      <w:pPr>
        <w:pStyle w:val="Heading1"/>
      </w:pPr>
      <w:bookmarkStart w:id="2" w:name="O_587376"/>
      <w:bookmarkEnd w:id="2"/>
      <w:r w:rsidRPr="00DC68BB">
        <w:t>Unit Descriptor</w:t>
      </w:r>
    </w:p>
    <w:tbl>
      <w:tblPr>
        <w:tblW w:w="0" w:type="auto"/>
        <w:tblLayout w:type="fixed"/>
        <w:tblCellMar>
          <w:left w:w="62" w:type="dxa"/>
          <w:right w:w="62" w:type="dxa"/>
        </w:tblCellMar>
        <w:tblLook w:val="0000"/>
      </w:tblPr>
      <w:tblGrid>
        <w:gridCol w:w="2700"/>
        <w:gridCol w:w="5760"/>
      </w:tblGrid>
      <w:tr w:rsidTr="00C71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1)</w:t>
            </w:r>
            <w:r w:rsidRPr="00DC68BB">
              <w:t xml:space="preserve"> </w:t>
            </w:r>
            <w:r w:rsidRPr="00DC68BB">
              <w:rPr>
                <w:rStyle w:val="SpecialBold"/>
              </w:rPr>
              <w:t>Scope:</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8B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1.1) Descriptor</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This unit covers fault finding and repair in microwave heating apparatus. The unit encompasses safe working practices, interpreting circuit diagrams, applying knowledge of microwave heating apparatus to logical fault finding procedures, conducting repairs,</w:t>
            </w:r>
            <w:r w:rsidRPr="00DC68BB">
              <w:t xml:space="preserve"> safety and functional testing and completing the necessary service documentation.</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3" w:name="O_587375"/>
      <w:bookmarkEnd w:id="3"/>
      <w:r w:rsidRPr="00DC68BB">
        <w:t>Application of the Unit</w:t>
      </w:r>
    </w:p>
    <w:tbl>
      <w:tblPr>
        <w:tblW w:w="0" w:type="auto"/>
        <w:tblLayout w:type="fixed"/>
        <w:tblCellMar>
          <w:left w:w="62" w:type="dxa"/>
          <w:right w:w="62" w:type="dxa"/>
        </w:tblCellMar>
        <w:tblLook w:val="0000"/>
      </w:tblPr>
      <w:tblGrid>
        <w:gridCol w:w="2672"/>
        <w:gridCol w:w="5699"/>
      </w:tblGrid>
      <w:tr w:rsidTr="00C71F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2)</w:t>
            </w:r>
          </w:p>
        </w:tc>
      </w:tr>
      <w:tr w:rsidTr="00C71F4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This unit is intended for competency development entry-level employment based programs incorporated in approved contracts of training or approved training programs. It may also used to augment previously acquired competencies.</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4" w:name="O_587374"/>
      <w:bookmarkEnd w:id="4"/>
      <w:r w:rsidRPr="00DC68BB">
        <w:t>Licensing/</w:t>
      </w:r>
      <w:r w:rsidRPr="00DC68BB">
        <w:t>Regulatory Information</w:t>
      </w:r>
    </w:p>
    <w:tbl>
      <w:tblPr>
        <w:tblW w:w="0" w:type="auto"/>
        <w:tblLayout w:type="fixed"/>
        <w:tblCellMar>
          <w:left w:w="62" w:type="dxa"/>
          <w:right w:w="62" w:type="dxa"/>
        </w:tblCellMar>
        <w:tblLook w:val="0000"/>
      </w:tblPr>
      <w:tblGrid>
        <w:gridCol w:w="2700"/>
        <w:gridCol w:w="5760"/>
      </w:tblGrid>
      <w:tr w:rsidTr="00C71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 xml:space="preserve">3) </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The skills and knowledge described in this unit do not require a license to practice in the workplace provided equipment is not connected to installation wiring at voltage above 50 V a.c. or 120 V d.c. Howev</w:t>
            </w:r>
            <w:r w:rsidRPr="00DC68BB">
              <w:t xml:space="preserve">er other conditions may apply in some States/Territories subject to </w:t>
            </w:r>
            <w:r w:rsidRPr="00DC68BB">
              <w:t xml:space="preserve">regulations related to electrical work. </w:t>
            </w:r>
          </w:p>
          <w:p w:rsidR="00000000" w:rsidRPr="00DC68BB" w:rsidP="00DC68BB">
            <w:pPr>
              <w:pStyle w:val="BodyText"/>
            </w:pPr>
            <w:r w:rsidRPr="00DC68BB">
              <w:t>Practice in the workplace and during training is also subject to regulations directly related to occupational he</w:t>
            </w:r>
            <w:r w:rsidRPr="00DC68BB">
              <w:t>alth and safety and where applicable contracts of training such as apprenticeships.</w:t>
            </w:r>
          </w:p>
          <w:p w:rsidR="00000000" w:rsidRPr="00DC68BB" w:rsidP="00DC68BB">
            <w:pPr>
              <w:pStyle w:val="BodyText"/>
            </w:pPr>
            <w:r w:rsidRPr="00DC68BB">
              <w:t xml:space="preserve">Note: </w:t>
            </w:r>
          </w:p>
          <w:p w:rsidR="00000000" w:rsidRPr="00DC68BB" w:rsidP="00DC68BB">
            <w:pPr>
              <w:pStyle w:val="BodyText"/>
            </w:pPr>
            <w:r w:rsidRPr="00DC68BB">
              <w:t>1. Compliance with permits may be required in various jurisdictions and typically relates to the operation of plant, machinery and equipment such as elevating work p</w:t>
            </w:r>
            <w:r w:rsidRPr="00DC68BB">
              <w:t>latforms, powder operated fixing tools, power operated tools, vehicles, road signage and traffic control, lifting equipment and the like. Permits may also be required for some work environments such as confined spaces, working aloft, near live electrical a</w:t>
            </w:r>
            <w:r w:rsidRPr="00DC68BB">
              <w:t>pparatus and site rehabilitation.</w:t>
            </w:r>
          </w:p>
          <w:p w:rsidR="00000000" w:rsidRPr="00DC68BB" w:rsidP="00DC68BB">
            <w:pPr>
              <w:pStyle w:val="BodyText"/>
            </w:pPr>
            <w:r w:rsidRPr="00DC68BB">
              <w:t>2. Compliance may be required in various jurisdictions relating to currency in First Aid, confined space, lifting and risk safety measures.</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5" w:name="O_587373"/>
      <w:bookmarkEnd w:id="5"/>
      <w:r w:rsidRPr="00DC68BB">
        <w:t>Pre-Requisites</w:t>
      </w:r>
    </w:p>
    <w:tbl>
      <w:tblPr>
        <w:tblW w:w="0" w:type="auto"/>
        <w:tblLayout w:type="fixed"/>
        <w:tblCellMar>
          <w:left w:w="62" w:type="dxa"/>
          <w:right w:w="62" w:type="dxa"/>
        </w:tblCellMar>
        <w:tblLook w:val="0000"/>
      </w:tblPr>
      <w:tblGrid>
        <w:gridCol w:w="2700"/>
        <w:gridCol w:w="1440"/>
        <w:gridCol w:w="4320"/>
      </w:tblGrid>
      <w:tr w:rsidTr="00C71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 xml:space="preserve">4) </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4.1)</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Granting competency in this unit shall be made only after competency in the following unit(s) has/have been confirmed.</w:t>
            </w:r>
          </w:p>
        </w:tc>
      </w:tr>
      <w:tr w:rsidTr="00C71F45">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UEENEEE101A</w:t>
            </w:r>
          </w:p>
        </w:tc>
        <w:tc>
          <w:tcPr>
            <w:tcW w:w="432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Apply Occupational Health and Safety regulations, codes and practices in the workplace</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UEENEEE137A</w:t>
            </w:r>
          </w:p>
        </w:tc>
        <w:tc>
          <w:tcPr>
            <w:tcW w:w="432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Document and apply me</w:t>
            </w:r>
            <w:r w:rsidRPr="00DC68BB">
              <w:t xml:space="preserve">asures to control OHS risks associated with electrotechnology work </w:t>
            </w:r>
          </w:p>
        </w:tc>
      </w:tr>
    </w:tbl>
    <w:p w:rsidR="00000000" w:rsidRPr="00DC68BB" w:rsidP="00DC68B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71F4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 xml:space="preserve">4.2) </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 xml:space="preserve">Participants are best equipped to achieve competency in </w:t>
            </w:r>
            <w:r w:rsidRPr="00DC68BB">
              <w:t xml:space="preserve">this unit if they have reading, writing and numeracy skills indicated by the following </w:t>
            </w:r>
            <w:r w:rsidRPr="00DC68BB">
              <w:t>scales. Description of each scale is given in Volume 2, Part 3 ‘Literacy and Numeracy’</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Reading</w:t>
            </w:r>
          </w:p>
        </w:tc>
        <w:tc>
          <w:tcPr>
            <w:tcW w:w="81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w:t>
            </w:r>
          </w:p>
        </w:tc>
        <w:tc>
          <w:tcPr>
            <w:tcW w:w="99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Writing</w:t>
            </w:r>
          </w:p>
        </w:tc>
        <w:tc>
          <w:tcPr>
            <w:tcW w:w="90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w:t>
            </w:r>
          </w:p>
        </w:tc>
        <w:tc>
          <w:tcPr>
            <w:tcW w:w="12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Numeracy</w:t>
            </w:r>
          </w:p>
        </w:tc>
        <w:tc>
          <w:tcPr>
            <w:tcW w:w="72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3</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6" w:name="O_587372"/>
      <w:bookmarkEnd w:id="6"/>
      <w:r w:rsidRPr="00DC68BB">
        <w:t>Employability Skills Information</w:t>
      </w:r>
    </w:p>
    <w:tbl>
      <w:tblPr>
        <w:tblW w:w="0" w:type="auto"/>
        <w:tblLayout w:type="fixed"/>
        <w:tblCellMar>
          <w:left w:w="62" w:type="dxa"/>
          <w:right w:w="62" w:type="dxa"/>
        </w:tblCellMar>
        <w:tblLook w:val="0000"/>
      </w:tblPr>
      <w:tblGrid>
        <w:gridCol w:w="2700"/>
        <w:gridCol w:w="5760"/>
      </w:tblGrid>
      <w:tr w:rsidTr="00C71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 xml:space="preserve">5) </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This unit contains Employability Skills</w:t>
            </w:r>
          </w:p>
          <w:p w:rsidR="00000000" w:rsidRPr="00DC68BB" w:rsidP="00DC68BB">
            <w:pPr>
              <w:pStyle w:val="BodyText"/>
            </w:pPr>
            <w:r w:rsidRPr="00DC68B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C68BB">
              <w:t>requirements.</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7" w:name="O_587371"/>
      <w:bookmarkEnd w:id="7"/>
      <w:r w:rsidRPr="00DC68BB">
        <w:t>Elements and Performance Criteria Pre-Content</w:t>
      </w:r>
    </w:p>
    <w:tbl>
      <w:tblPr>
        <w:tblW w:w="0" w:type="auto"/>
        <w:tblLayout w:type="fixed"/>
        <w:tblCellMar>
          <w:left w:w="62" w:type="dxa"/>
          <w:right w:w="62" w:type="dxa"/>
        </w:tblCellMar>
        <w:tblLook w:val="0000"/>
      </w:tblPr>
      <w:tblGrid>
        <w:gridCol w:w="2700"/>
        <w:gridCol w:w="5760"/>
      </w:tblGrid>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6)</w:t>
            </w:r>
            <w:r w:rsidRPr="00DC68B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Performance Criteria describe the required performance needed to demonstrate achievement of the element</w:t>
            </w:r>
            <w:r w:rsidRPr="00DC68BB">
              <w:t>. Assessment of performance is to be consistent with the Evidence Guide.</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8" w:name="O_587370"/>
      <w:bookmarkEnd w:id="8"/>
      <w:r w:rsidRPr="00DC68BB">
        <w:t>Elements and Performance Criteria</w:t>
      </w:r>
    </w:p>
    <w:tbl>
      <w:tblPr>
        <w:tblW w:w="0" w:type="auto"/>
        <w:tblLayout w:type="fixed"/>
        <w:tblCellMar>
          <w:left w:w="62" w:type="dxa"/>
          <w:right w:w="62" w:type="dxa"/>
        </w:tblCellMar>
        <w:tblLook w:val="0000"/>
      </w:tblPr>
      <w:tblGrid>
        <w:gridCol w:w="422"/>
        <w:gridCol w:w="2108"/>
        <w:gridCol w:w="170"/>
        <w:gridCol w:w="674"/>
        <w:gridCol w:w="4552"/>
        <w:gridCol w:w="534"/>
      </w:tblGrid>
      <w:tr w:rsidTr="00C71F4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PERFORMANCE CRITERIA</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w:t>
            </w:r>
          </w:p>
        </w:tc>
        <w:tc>
          <w:tcPr>
            <w:tcW w:w="2108" w:type="dxa"/>
            <w:vMerge w:val="restart"/>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Prepare to find and repair faults.</w:t>
            </w:r>
          </w:p>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1.1</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 xml:space="preserve">OHS procedures for a given work area are identified, obtained and understood.  </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1.2</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OHS risk control measures and procedures are followed in preparation for the work.</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1.3</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The nature of the fault is obtained from documentation, work supervisor and customer to establish the scope of work to be undertaken.</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1.4</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 xml:space="preserve">Advice is sought from the work supervisor to ensure the work is co-ordinated effectively with others. </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1.5</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Sources of materials that may be required for the work are established in accordance with established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1.6</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Tools, equipment and testing devices needed to carry out the work are obtained in accordance with established procedures and checked f</w:t>
            </w:r>
            <w:r w:rsidRPr="00DC68BB">
              <w:t>or correct operation and safety.</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w:t>
            </w:r>
          </w:p>
        </w:tc>
        <w:tc>
          <w:tcPr>
            <w:tcW w:w="2108" w:type="dxa"/>
            <w:vMerge w:val="restart"/>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Find and repair faults.</w:t>
            </w:r>
          </w:p>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2.1</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OHS risk control measures and procedures for carrying out the work are followed.</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2.2</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The need to test or measure live is determined in strict accordance with OHS requirements and when necessary conducted within established safety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2.3</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Apparatus is checked as being isolated where necessary in strict accordance OHS</w:t>
            </w:r>
            <w:r w:rsidRPr="00DC68BB">
              <w:t xml:space="preserve"> requirements and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2.4</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 xml:space="preserve">Fault finding is approached methodically drawing on knowledge of microwave heating apparatus using measured and calculated values of operating parameters and referenced to manufacturer’s specifications. </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2.5</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Equipm</w:t>
            </w:r>
            <w:r w:rsidRPr="00DC68BB">
              <w:t>ent components are dismantled where necessary and parts stored to protect them against loss or damage.</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2.6</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Faulty components are rechecked and their fault status confirmed.</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2.7</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Faulty components are readjusted or replace in accordance with established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2.8</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Effectiveness of the repaired component is tested in accordance with established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2.9</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Apparatus is reassembled, finally tested and prepared for re</w:t>
            </w:r>
            <w:r w:rsidRPr="00DC68BB">
              <w:t>turn to customer.</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2.10</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Unexpected situations are dealt with safely and with the approval of an authorised person.</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2.11</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Fault finding and repair activities are carried out efficiently without waste of materials or damage to apparatus and the surrounding environment or services and using sustainable energy practices.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w:t>
            </w:r>
          </w:p>
        </w:tc>
        <w:tc>
          <w:tcPr>
            <w:tcW w:w="2108" w:type="dxa"/>
            <w:vMerge w:val="restart"/>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Completion and report fault finding and repair activiti</w:t>
            </w:r>
            <w:r w:rsidRPr="00DC68BB">
              <w:t>es.</w:t>
            </w: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3.1</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OHS work completion risk control measures and procedures are followed.</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3.2</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Work area is cleaned and made safe in accordance with established procedures.</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3.3</w:t>
            </w:r>
          </w:p>
        </w:tc>
        <w:tc>
          <w:tcPr>
            <w:tcW w:w="4552"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Written justification is made for repairs to apparatus including</w:t>
            </w:r>
            <w:r w:rsidRPr="00DC68BB">
              <w:t xml:space="preserve"> components and materials used.</w:t>
            </w:r>
          </w:p>
        </w:tc>
      </w:tr>
      <w:tr w:rsidTr="00C71F45">
        <w:tblPrEx>
          <w:tblW w:w="0" w:type="auto"/>
          <w:tblLayout w:type="fixed"/>
          <w:tblCellMar>
            <w:left w:w="62" w:type="dxa"/>
            <w:right w:w="62" w:type="dxa"/>
          </w:tblCellMar>
          <w:tblLook w:val="0000"/>
        </w:tblPrEx>
        <w:trPr>
          <w:gridAfter w:val="1"/>
          <w:wAfter w:w="534" w:type="dxa"/>
        </w:trPr>
        <w:tc>
          <w:tcPr>
            <w:tcW w:w="4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4"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t>3.4</w:t>
            </w:r>
          </w:p>
        </w:tc>
        <w:tc>
          <w:tcPr>
            <w:tcW w:w="4552"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Acceptance that the reported fault(s) have been repaired is sought from an appropriate person in accordance with established procedures.</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9" w:name="O_587369"/>
      <w:bookmarkEnd w:id="9"/>
      <w:r w:rsidRPr="00DC68BB">
        <w:t>Required Skills and Knowledge</w:t>
      </w:r>
    </w:p>
    <w:tbl>
      <w:tblPr>
        <w:tblW w:w="0" w:type="auto"/>
        <w:tblLayout w:type="fixed"/>
        <w:tblCellMar>
          <w:left w:w="62" w:type="dxa"/>
          <w:right w:w="62" w:type="dxa"/>
        </w:tblCellMar>
        <w:tblLook w:val="0000"/>
      </w:tblPr>
      <w:tblGrid>
        <w:gridCol w:w="8460"/>
      </w:tblGrid>
      <w:tr w:rsidTr="00C71F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REQUIRED SKILLS AND KNOWLEDGE</w:t>
            </w:r>
          </w:p>
        </w:tc>
      </w:tr>
      <w:tr w:rsidTr="00C71F4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8)</w:t>
            </w:r>
            <w:r w:rsidRPr="00DC68BB">
              <w:t xml:space="preserve"> This describes the essential skills and knowledge and their level, required for this unit.</w:t>
            </w:r>
          </w:p>
          <w:p w:rsidR="00000000" w:rsidRPr="00DC68BB" w:rsidP="00DC68BB">
            <w:pPr>
              <w:pStyle w:val="BodyText"/>
            </w:pPr>
            <w:r w:rsidRPr="00DC68BB">
              <w:t xml:space="preserve">Evidence shall show that knowledge has been acquired of safe working practices and finding and repairing faults in microwave heating apparatus. </w:t>
            </w:r>
          </w:p>
          <w:p w:rsidR="00000000" w:rsidRPr="00DC68BB" w:rsidP="00DC68BB">
            <w:pPr>
              <w:pStyle w:val="BodyText"/>
            </w:pPr>
            <w:r w:rsidRPr="00DC68BB">
              <w:t>All knowledge an</w:t>
            </w:r>
            <w:r w:rsidRPr="00DC68BB">
              <w:t>d skills detailed in this unit should be contextualised to current industry practices and technologies.</w:t>
            </w:r>
          </w:p>
          <w:p w:rsidR="00000000" w:rsidRPr="00DC68BB" w:rsidP="00DC68BB">
            <w:pPr>
              <w:pStyle w:val="BodyText"/>
            </w:pPr>
            <w:r w:rsidRPr="00DC68BB">
              <w:rPr>
                <w:rStyle w:val="SpecialBold"/>
              </w:rPr>
              <w:t>KS01-EH123A</w:t>
            </w:r>
            <w:r w:rsidRPr="00DC68BB">
              <w:rPr>
                <w:rStyle w:val="SpecialBold"/>
              </w:rPr>
              <w:tab/>
              <w:t xml:space="preserve">              Microwave heating apparatus</w:t>
            </w:r>
          </w:p>
          <w:p w:rsidR="00000000" w:rsidRPr="00DC68BB" w:rsidP="00DC68BB">
            <w:pPr>
              <w:pStyle w:val="BodyText"/>
            </w:pPr>
            <w:r w:rsidRPr="00DC68BB">
              <w:t>Evidence shall show an understanding of microwave heating apparatus fault finding and repair, appl</w:t>
            </w:r>
            <w:r w:rsidRPr="00DC68BB">
              <w:t>ying safe working practices and relevant Standards, Codes and Regulations to an extent indicated by the following aspects:</w:t>
            </w:r>
          </w:p>
          <w:p w:rsidR="00000000" w:rsidRPr="00DC68BB" w:rsidP="00DC68BB">
            <w:pPr>
              <w:pStyle w:val="BodyText"/>
            </w:pPr>
            <w:r w:rsidRPr="00DC68BB">
              <w:t>T1.</w:t>
            </w:r>
            <w:r w:rsidRPr="00DC68BB">
              <w:tab/>
              <w:t>Propagation of electromagnetic waves through the atmosphere, microwave frequency bands</w:t>
            </w:r>
          </w:p>
          <w:p w:rsidR="00000000" w:rsidRPr="00DC68BB" w:rsidP="00DC68BB">
            <w:pPr>
              <w:pStyle w:val="BodyText"/>
            </w:pPr>
            <w:r w:rsidRPr="00DC68BB">
              <w:t>T2.</w:t>
            </w:r>
            <w:r w:rsidRPr="00DC68BB">
              <w:tab/>
              <w:t>Microwave heating devices encompassing</w:t>
            </w:r>
            <w:r w:rsidRPr="00DC68BB">
              <w:t>:</w:t>
            </w:r>
          </w:p>
          <w:p w:rsidR="00000000" w:rsidRPr="00DC68BB" w:rsidP="00DC68BB">
            <w:pPr>
              <w:pStyle w:val="ListBullet"/>
            </w:pPr>
            <w:r w:rsidRPr="00DC68BB">
              <w:t>Components</w:t>
            </w:r>
          </w:p>
          <w:p w:rsidR="00000000" w:rsidRPr="00DC68BB" w:rsidP="00DC68BB">
            <w:pPr>
              <w:pStyle w:val="ListBullet"/>
            </w:pPr>
            <w:r w:rsidRPr="00DC68BB">
              <w:t>Operating parameters and constraints</w:t>
            </w:r>
          </w:p>
          <w:p w:rsidR="00000000" w:rsidRPr="00DC68BB" w:rsidP="00DC68BB">
            <w:pPr>
              <w:pStyle w:val="ListBullet"/>
            </w:pPr>
            <w:r w:rsidRPr="00DC68BB">
              <w:t xml:space="preserve">Measurements, test equipment and testing techniques </w:t>
            </w:r>
          </w:p>
          <w:p w:rsidR="00000000" w:rsidRPr="00DC68BB" w:rsidP="00DC68BB">
            <w:pPr>
              <w:pStyle w:val="BodyText"/>
            </w:pPr>
            <w:r w:rsidRPr="00DC68BB">
              <w:t>T3.</w:t>
            </w:r>
            <w:r w:rsidRPr="00DC68BB">
              <w:tab/>
              <w:t>EMI/EMC, generation, suppression and reduction.</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10" w:name="O_587368"/>
      <w:bookmarkEnd w:id="10"/>
      <w:r w:rsidRPr="00DC68BB">
        <w:t>Evidence Guide</w:t>
      </w:r>
    </w:p>
    <w:tbl>
      <w:tblPr>
        <w:tblW w:w="0" w:type="auto"/>
        <w:tblLayout w:type="fixed"/>
        <w:tblCellMar>
          <w:left w:w="62" w:type="dxa"/>
          <w:right w:w="62" w:type="dxa"/>
        </w:tblCellMar>
        <w:tblLook w:val="0000"/>
      </w:tblPr>
      <w:tblGrid>
        <w:gridCol w:w="8460"/>
      </w:tblGrid>
      <w:tr w:rsidTr="00C71F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EVIDENCE GUIDE</w:t>
            </w:r>
          </w:p>
        </w:tc>
      </w:tr>
      <w:tr w:rsidTr="00C71F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9)</w:t>
            </w:r>
            <w:r w:rsidRPr="00DC68BB">
              <w:t xml:space="preserve"> </w:t>
            </w:r>
          </w:p>
        </w:tc>
      </w:tr>
    </w:tbl>
    <w:p w:rsidR="00000000" w:rsidRPr="00DC68BB" w:rsidP="00DC68BB">
      <w:pPr>
        <w:pStyle w:val="BodyText"/>
      </w:pPr>
    </w:p>
    <w:tbl>
      <w:tblPr>
        <w:tblW w:w="0" w:type="auto"/>
        <w:tblLayout w:type="fixed"/>
        <w:tblCellMar>
          <w:left w:w="62" w:type="dxa"/>
          <w:right w:w="62" w:type="dxa"/>
        </w:tblCellMar>
        <w:tblLook w:val="0000"/>
      </w:tblPr>
      <w:tblGrid>
        <w:gridCol w:w="1890"/>
        <w:gridCol w:w="6570"/>
      </w:tblGrid>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9.1)</w:t>
            </w: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8BB" w:rsidP="00DC68BB">
            <w:pPr>
              <w:pStyle w:val="BodyText"/>
            </w:pPr>
          </w:p>
        </w:tc>
      </w:tr>
    </w:tbl>
    <w:p w:rsidR="00000000" w:rsidRPr="00DC68BB" w:rsidP="00DC68BB">
      <w:pPr>
        <w:pStyle w:val="BodyText"/>
      </w:pPr>
    </w:p>
    <w:tbl>
      <w:tblPr>
        <w:tblW w:w="0" w:type="auto"/>
        <w:tblLayout w:type="fixed"/>
        <w:tblCellMar>
          <w:left w:w="62" w:type="dxa"/>
          <w:right w:w="62" w:type="dxa"/>
        </w:tblCellMar>
        <w:tblLook w:val="0000"/>
      </w:tblPr>
      <w:tblGrid>
        <w:gridCol w:w="1890"/>
        <w:gridCol w:w="1530"/>
        <w:gridCol w:w="5040"/>
      </w:tblGrid>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9.2)</w:t>
            </w: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p>
        </w:tc>
      </w:tr>
      <w:tr w:rsidTr="00C71F45">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DC68BB" w:rsidP="00DC68BB">
            <w:pPr>
              <w:pStyle w:val="BodyText"/>
            </w:pPr>
          </w:p>
        </w:tc>
      </w:tr>
    </w:tbl>
    <w:p w:rsidR="00000000" w:rsidRPr="00DC68BB" w:rsidP="00DC68BB">
      <w:pPr>
        <w:pStyle w:val="BodyText"/>
      </w:pPr>
    </w:p>
    <w:tbl>
      <w:tblPr>
        <w:tblW w:w="0" w:type="auto"/>
        <w:tblLayout w:type="fixed"/>
        <w:tblCellMar>
          <w:left w:w="62" w:type="dxa"/>
          <w:right w:w="62" w:type="dxa"/>
        </w:tblCellMar>
        <w:tblLook w:val="0000"/>
      </w:tblPr>
      <w:tblGrid>
        <w:gridCol w:w="1890"/>
        <w:gridCol w:w="6570"/>
      </w:tblGrid>
      <w:tr w:rsidTr="00C71F4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9.3)</w:t>
            </w:r>
          </w:p>
        </w:tc>
      </w:tr>
      <w:tr w:rsidTr="00C71F4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8BB" w:rsidP="00DC68BB">
            <w:pPr>
              <w:pStyle w:val="BodyText"/>
            </w:pPr>
          </w:p>
        </w:tc>
      </w:tr>
    </w:tbl>
    <w:p w:rsidR="00000000" w:rsidRPr="00DC68BB" w:rsidP="00DC68BB">
      <w:pPr>
        <w:pStyle w:val="BodyText"/>
      </w:pPr>
    </w:p>
    <w:tbl>
      <w:tblPr>
        <w:tblW w:w="0" w:type="auto"/>
        <w:tblLayout w:type="fixed"/>
        <w:tblCellMar>
          <w:left w:w="62" w:type="dxa"/>
          <w:right w:w="62" w:type="dxa"/>
        </w:tblCellMar>
        <w:tblLook w:val="0000"/>
      </w:tblPr>
      <w:tblGrid>
        <w:gridCol w:w="1890"/>
        <w:gridCol w:w="6570"/>
      </w:tblGrid>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9.4)</w:t>
            </w: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8BB" w:rsidP="00DC68BB">
            <w:pPr>
              <w:pStyle w:val="BodyText"/>
            </w:pPr>
          </w:p>
        </w:tc>
      </w:tr>
    </w:tbl>
    <w:p w:rsidR="00000000" w:rsidRPr="00DC68BB" w:rsidP="00DC68BB">
      <w:pPr>
        <w:pStyle w:val="BodyText"/>
      </w:pPr>
    </w:p>
    <w:tbl>
      <w:tblPr>
        <w:tblW w:w="0" w:type="auto"/>
        <w:tblLayout w:type="fixed"/>
        <w:tblCellMar>
          <w:left w:w="62" w:type="dxa"/>
          <w:right w:w="62" w:type="dxa"/>
        </w:tblCellMar>
        <w:tblLook w:val="0000"/>
      </w:tblPr>
      <w:tblGrid>
        <w:gridCol w:w="1890"/>
        <w:gridCol w:w="1530"/>
        <w:gridCol w:w="5040"/>
      </w:tblGrid>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9.5)</w:t>
            </w: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C68BB">
            <w:pPr>
              <w:pStyle w:val="BodyText"/>
              <w:rPr>
                <w:lang w:val="en-NZ"/>
              </w:rPr>
            </w:pP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p>
        </w:tc>
      </w:tr>
      <w:tr w:rsidTr="00C71F4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40" w:type="dxa"/>
            <w:tcBorders>
              <w:top w:val="nil"/>
              <w:left w:val="nil"/>
              <w:bottom w:val="nil"/>
              <w:right w:val="nil"/>
            </w:tcBorders>
            <w:tcMar>
              <w:top w:w="0" w:type="dxa"/>
              <w:left w:w="62" w:type="dxa"/>
              <w:bottom w:w="0" w:type="dxa"/>
              <w:right w:w="62" w:type="dxa"/>
            </w:tcMar>
          </w:tcPr>
          <w:p w:rsidR="00000000" w:rsidRPr="00DC68BB" w:rsidP="00DC68BB">
            <w:pPr>
              <w:pStyle w:val="BodyText"/>
            </w:pP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11" w:name="O_587367"/>
      <w:bookmarkEnd w:id="11"/>
      <w:r w:rsidRPr="00DC68BB">
        <w:t>Range Statement</w:t>
      </w:r>
    </w:p>
    <w:tbl>
      <w:tblPr>
        <w:tblW w:w="0" w:type="auto"/>
        <w:tblLayout w:type="fixed"/>
        <w:tblCellMar>
          <w:left w:w="62" w:type="dxa"/>
          <w:right w:w="62" w:type="dxa"/>
        </w:tblCellMar>
        <w:tblLook w:val="0000"/>
      </w:tblPr>
      <w:tblGrid>
        <w:gridCol w:w="8460"/>
      </w:tblGrid>
      <w:tr w:rsidTr="00C71F4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RANGE STATEMENT</w:t>
            </w:r>
          </w:p>
        </w:tc>
      </w:tr>
      <w:tr w:rsidTr="00C71F4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10)</w:t>
            </w:r>
            <w:r w:rsidRPr="00DC68BB">
              <w:t xml:space="preserve"> This relates to the unit as a whole providing the range of contexts and conditions to which the </w:t>
            </w:r>
            <w:r w:rsidRPr="00DC68BB">
              <w:t>performance criteria apply. It allows for different work environments and situations that will affect performance.</w:t>
            </w:r>
          </w:p>
          <w:p w:rsidR="00000000" w:rsidRPr="00DC68BB" w:rsidP="00DC68BB">
            <w:pPr>
              <w:pStyle w:val="BodyText"/>
            </w:pPr>
            <w:r w:rsidRPr="00DC68BB">
              <w:t>This unit shall be demonstrated in relation to finding and repairing at least four faults in two different microwave heating devices.</w:t>
            </w:r>
          </w:p>
          <w:p w:rsidR="00000000" w:rsidRPr="00DC68BB" w:rsidP="00DC68BB">
            <w:pPr>
              <w:pStyle w:val="BodyText"/>
            </w:pPr>
            <w:r w:rsidRPr="00DC68BB">
              <w:t>Generic</w:t>
            </w:r>
            <w:r w:rsidRPr="00DC68BB">
              <w:t xml:space="preserve"> terms used throughout this Vocational Standard shall be regarded as part of the Range Statement in which competency is demonstrated. The definition of these and other terms that apply are given in Volume 2, Part 2.1.</w:t>
            </w:r>
          </w:p>
        </w:tc>
      </w:tr>
    </w:tbl>
    <w:p w:rsidR="00000000" w:rsidRPr="00DC68BB" w:rsidP="00DC68BB">
      <w:pPr>
        <w:pStyle w:val="BodyText"/>
      </w:pPr>
    </w:p>
    <w:p w:rsidR="00000000" w:rsidRPr="00DC68BB" w:rsidP="00DC68BB">
      <w:pPr>
        <w:pStyle w:val="AllowPageBreak"/>
      </w:pPr>
    </w:p>
    <w:p w:rsidR="00000000" w:rsidRPr="00DC68BB" w:rsidP="00DC68BB">
      <w:pPr>
        <w:pStyle w:val="Heading1"/>
      </w:pPr>
      <w:bookmarkStart w:id="12" w:name="O_587366"/>
      <w:bookmarkEnd w:id="12"/>
      <w:r w:rsidRPr="00DC68BB">
        <w:t>Unit Sector(s)</w:t>
      </w:r>
    </w:p>
    <w:p w:rsidR="00000000" w:rsidRPr="00DC68BB" w:rsidP="00DC68BB">
      <w:pPr>
        <w:pStyle w:val="BodyText"/>
      </w:pPr>
      <w:r w:rsidRPr="00DC68BB">
        <w:t xml:space="preserve">Not </w:t>
      </w:r>
      <w:r w:rsidRPr="00DC68BB">
        <w:t>applicable.</w:t>
      </w:r>
    </w:p>
    <w:p w:rsidR="00000000" w:rsidRPr="00DC68BB" w:rsidP="00DC68BB">
      <w:pPr>
        <w:pStyle w:val="AllowPageBreak"/>
      </w:pPr>
    </w:p>
    <w:p w:rsidR="00000000" w:rsidRPr="00DC68BB" w:rsidP="00DC68BB">
      <w:pPr>
        <w:pStyle w:val="Heading1"/>
      </w:pPr>
      <w:bookmarkStart w:id="13" w:name="O_587365"/>
      <w:bookmarkEnd w:id="13"/>
      <w:r w:rsidRPr="00DC68BB">
        <w:t>Competency Field</w:t>
      </w:r>
    </w:p>
    <w:tbl>
      <w:tblPr>
        <w:tblW w:w="0" w:type="auto"/>
        <w:tblLayout w:type="fixed"/>
        <w:tblCellMar>
          <w:left w:w="62" w:type="dxa"/>
          <w:right w:w="62" w:type="dxa"/>
        </w:tblCellMar>
        <w:tblLook w:val="0000"/>
      </w:tblPr>
      <w:tblGrid>
        <w:gridCol w:w="2700"/>
        <w:gridCol w:w="5760"/>
      </w:tblGrid>
      <w:tr w:rsidTr="00C71F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68BB">
            <w:pPr>
              <w:pStyle w:val="BodyText"/>
              <w:rPr>
                <w:lang w:val="en-NZ"/>
              </w:rPr>
            </w:pPr>
            <w:r w:rsidRPr="00DC68BB">
              <w:rPr>
                <w:rStyle w:val="SpecialBold"/>
              </w:rPr>
              <w:t xml:space="preserve">11) </w:t>
            </w:r>
          </w:p>
        </w:tc>
      </w:tr>
      <w:tr w:rsidTr="00C71F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8BB" w:rsidP="00DC68BB">
            <w:pPr>
              <w:pStyle w:val="BodyText"/>
            </w:pPr>
            <w:r w:rsidRPr="00DC68BB">
              <w:t>Electronics</w:t>
            </w:r>
          </w:p>
        </w:tc>
      </w:tr>
    </w:tbl>
    <w:p w:rsidR="00000000" w:rsidRPr="00DC68BB" w:rsidP="00DC68BB">
      <w:pPr>
        <w:pStyle w:val="BodyText"/>
      </w:pPr>
    </w:p>
    <w:p w:rsidR="00000000" w:rsidRPr="00DC68BB" w:rsidP="00DC68BB"/>
    <w:sectPr w:rsidSect="00DC6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rsidRPr="00C71F45" w:rsidP="00C71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45" w:rsidP="00DC6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71F45" w:rsidP="00DC68B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71F45" w:rsidP="00DC68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rsidRPr="00C71F45" w:rsidP="00C71F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F45" w:rsidRPr="002D2AF8" w:rsidP="00DC68BB">
    <w:pPr>
      <w:pStyle w:val="Header"/>
      <w:framePr w:wrap="around"/>
    </w:pPr>
    <w:r>
      <w:fldChar w:fldCharType="begin"/>
    </w:r>
    <w:r>
      <w:instrText xml:space="preserve"> TITLE   \* MERGEFORMAT </w:instrText>
    </w:r>
    <w:r>
      <w:fldChar w:fldCharType="separate"/>
    </w:r>
    <w:r>
      <w:t>UEENEEH123A Fault find and repair microwave heating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C71F45" w:rsidP="00DC68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7223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4EA8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8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8BB"/>
    <w:pPr>
      <w:spacing w:before="360" w:after="60"/>
      <w:outlineLvl w:val="0"/>
    </w:pPr>
    <w:rPr>
      <w:sz w:val="32"/>
    </w:rPr>
  </w:style>
  <w:style w:type="paragraph" w:styleId="Heading2">
    <w:name w:val="heading 2"/>
    <w:basedOn w:val="HeadingBase"/>
    <w:next w:val="BodyText"/>
    <w:link w:val="Heading2Char"/>
    <w:qFormat/>
    <w:rsid w:val="00DC68BB"/>
    <w:pPr>
      <w:keepLines/>
      <w:spacing w:before="240" w:after="120"/>
      <w:outlineLvl w:val="1"/>
    </w:pPr>
    <w:rPr>
      <w:sz w:val="28"/>
      <w:szCs w:val="40"/>
    </w:rPr>
  </w:style>
  <w:style w:type="paragraph" w:styleId="Heading3">
    <w:name w:val="heading 3"/>
    <w:basedOn w:val="HeadingBase"/>
    <w:next w:val="BodyText"/>
    <w:link w:val="Heading3Char"/>
    <w:qFormat/>
    <w:rsid w:val="00DC68BB"/>
    <w:pPr>
      <w:spacing w:before="180" w:after="120"/>
      <w:outlineLvl w:val="2"/>
    </w:pPr>
    <w:rPr>
      <w:spacing w:val="-10"/>
      <w:kern w:val="32"/>
    </w:rPr>
  </w:style>
  <w:style w:type="paragraph" w:styleId="Heading4">
    <w:name w:val="heading 4"/>
    <w:basedOn w:val="HeadingBase"/>
    <w:next w:val="BodyText"/>
    <w:link w:val="Heading4Char"/>
    <w:qFormat/>
    <w:rsid w:val="00DC68BB"/>
    <w:pPr>
      <w:spacing w:before="160" w:after="120"/>
      <w:outlineLvl w:val="3"/>
    </w:pPr>
    <w:rPr>
      <w:sz w:val="22"/>
    </w:rPr>
  </w:style>
  <w:style w:type="paragraph" w:styleId="Heading5">
    <w:name w:val="heading 5"/>
    <w:basedOn w:val="HeadingBase"/>
    <w:next w:val="Normal"/>
    <w:link w:val="Heading5Char"/>
    <w:qFormat/>
    <w:rsid w:val="00DC68BB"/>
    <w:pPr>
      <w:spacing w:before="80"/>
      <w:outlineLvl w:val="4"/>
    </w:pPr>
    <w:rPr>
      <w:color w:val="918585"/>
      <w:sz w:val="20"/>
    </w:rPr>
  </w:style>
  <w:style w:type="paragraph" w:styleId="Heading6">
    <w:name w:val="heading 6"/>
    <w:basedOn w:val="HeadingBase"/>
    <w:next w:val="Normal"/>
    <w:link w:val="Heading6Char"/>
    <w:qFormat/>
    <w:rsid w:val="00DC68BB"/>
    <w:pPr>
      <w:spacing w:before="60"/>
      <w:outlineLvl w:val="5"/>
    </w:pPr>
    <w:rPr>
      <w:color w:val="918585"/>
      <w:sz w:val="20"/>
    </w:rPr>
  </w:style>
  <w:style w:type="paragraph" w:styleId="Heading7">
    <w:name w:val="heading 7"/>
    <w:basedOn w:val="Normal"/>
    <w:next w:val="Normal"/>
    <w:link w:val="Heading7Char"/>
    <w:qFormat/>
    <w:rsid w:val="00DC68BB"/>
    <w:pPr>
      <w:ind w:left="720"/>
      <w:outlineLvl w:val="6"/>
    </w:pPr>
    <w:rPr>
      <w:i/>
    </w:rPr>
  </w:style>
  <w:style w:type="paragraph" w:styleId="Heading8">
    <w:name w:val="heading 8"/>
    <w:basedOn w:val="Normal"/>
    <w:next w:val="Normal"/>
    <w:link w:val="Heading8Char"/>
    <w:qFormat/>
    <w:rsid w:val="00DC68BB"/>
    <w:pPr>
      <w:ind w:left="720"/>
      <w:outlineLvl w:val="7"/>
    </w:pPr>
    <w:rPr>
      <w:i/>
    </w:rPr>
  </w:style>
  <w:style w:type="paragraph" w:styleId="Heading9">
    <w:name w:val="heading 9"/>
    <w:basedOn w:val="Normal"/>
    <w:next w:val="Normal"/>
    <w:link w:val="Heading9Char"/>
    <w:qFormat/>
    <w:rsid w:val="00DC68BB"/>
    <w:pPr>
      <w:ind w:left="720"/>
      <w:outlineLvl w:val="8"/>
    </w:pPr>
    <w:rPr>
      <w:i/>
    </w:rPr>
  </w:style>
  <w:style w:type="character" w:default="1" w:styleId="DefaultParagraphFont">
    <w:name w:val="Default Paragraph Font"/>
    <w:uiPriority w:val="1"/>
    <w:unhideWhenUsed/>
    <w:rsid w:val="00DC6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8BB"/>
  </w:style>
  <w:style w:type="character" w:customStyle="1" w:styleId="Heading1Char">
    <w:name w:val="Heading 1 Char"/>
    <w:basedOn w:val="DefaultParagraphFont"/>
    <w:link w:val="Heading1"/>
    <w:rsid w:val="00DC68BB"/>
    <w:rPr>
      <w:rFonts w:ascii="Times New Roman" w:eastAsia="Times New Roman" w:hAnsi="Times New Roman" w:cs="Times New Roman"/>
      <w:b/>
      <w:sz w:val="32"/>
      <w:szCs w:val="20"/>
      <w:lang w:eastAsia="en-US"/>
    </w:rPr>
  </w:style>
  <w:style w:type="paragraph" w:styleId="BodyText">
    <w:name w:val="Body Text"/>
    <w:basedOn w:val="Normal"/>
    <w:link w:val="BodyTextChar"/>
    <w:rsid w:val="00DC6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8BB"/>
    <w:rPr>
      <w:rFonts w:ascii="Times New Roman" w:eastAsia="Times New Roman" w:hAnsi="Times New Roman" w:cs="Times New Roman"/>
      <w:sz w:val="24"/>
      <w:lang w:eastAsia="en-US"/>
    </w:rPr>
  </w:style>
  <w:style w:type="paragraph" w:styleId="ListBullet">
    <w:name w:val="List Bullet"/>
    <w:basedOn w:val="List"/>
    <w:rsid w:val="00DC68BB"/>
    <w:pPr>
      <w:numPr>
        <w:numId w:val="12"/>
      </w:numPr>
      <w:tabs>
        <w:tab w:val="clear" w:pos="340"/>
      </w:tabs>
      <w:spacing w:before="40" w:after="40"/>
    </w:pPr>
  </w:style>
  <w:style w:type="character" w:customStyle="1" w:styleId="SpecialBold">
    <w:name w:val="Special Bold"/>
    <w:basedOn w:val="DefaultParagraphFont"/>
    <w:rsid w:val="00DC68BB"/>
    <w:rPr>
      <w:b/>
      <w:spacing w:val="0"/>
    </w:rPr>
  </w:style>
  <w:style w:type="paragraph" w:customStyle="1" w:styleId="SuperHeading">
    <w:name w:val="SuperHeading"/>
    <w:basedOn w:val="Normal"/>
    <w:rsid w:val="00DC68BB"/>
    <w:pPr>
      <w:spacing w:before="240" w:after="120"/>
      <w:outlineLvl w:val="0"/>
    </w:pPr>
    <w:rPr>
      <w:rFonts w:ascii="Times New Roman" w:hAnsi="Times New Roman"/>
      <w:b/>
      <w:sz w:val="32"/>
    </w:rPr>
  </w:style>
  <w:style w:type="paragraph" w:customStyle="1" w:styleId="AllowPageBreak">
    <w:name w:val="AllowPageBreak"/>
    <w:rsid w:val="00DC68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8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8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8BB"/>
    <w:rPr>
      <w:rFonts w:ascii="Courier New" w:eastAsia="Times New Roman" w:hAnsi="Courier New" w:cs="Times New Roman"/>
      <w:i/>
      <w:szCs w:val="20"/>
      <w:lang w:eastAsia="en-US"/>
    </w:rPr>
  </w:style>
  <w:style w:type="paragraph" w:customStyle="1" w:styleId="HeadingBase">
    <w:name w:val="Heading Base"/>
    <w:rsid w:val="00DC6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8BB"/>
    <w:pPr>
      <w:tabs>
        <w:tab w:val="right" w:leader="dot" w:pos="9072"/>
      </w:tabs>
      <w:ind w:left="567"/>
    </w:pPr>
    <w:rPr>
      <w:szCs w:val="22"/>
    </w:rPr>
  </w:style>
  <w:style w:type="paragraph" w:customStyle="1" w:styleId="TOCBase">
    <w:name w:val="TOC Base"/>
    <w:rsid w:val="00DC6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8BB"/>
    <w:pPr>
      <w:tabs>
        <w:tab w:val="right" w:leader="dot" w:pos="9072"/>
      </w:tabs>
      <w:spacing w:before="40" w:after="40"/>
      <w:ind w:left="284"/>
    </w:pPr>
    <w:rPr>
      <w:rFonts w:ascii="Times New Roman" w:hAnsi="Times New Roman"/>
    </w:rPr>
  </w:style>
  <w:style w:type="paragraph" w:styleId="TOC1">
    <w:name w:val="toc 1"/>
    <w:basedOn w:val="TOCBase"/>
    <w:next w:val="Normal"/>
    <w:rsid w:val="00DC68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8BB"/>
    <w:rPr>
      <w:rFonts w:ascii="Times New Roman" w:eastAsia="Times New Roman" w:hAnsi="Times New Roman" w:cs="Times New Roman"/>
      <w:sz w:val="16"/>
      <w:lang w:eastAsia="en-US"/>
    </w:rPr>
  </w:style>
  <w:style w:type="paragraph" w:styleId="Title">
    <w:name w:val="Title"/>
    <w:basedOn w:val="HeadingBase"/>
    <w:link w:val="TitleChar"/>
    <w:qFormat/>
    <w:rsid w:val="00DC68BB"/>
    <w:pPr>
      <w:spacing w:before="5040"/>
      <w:jc w:val="center"/>
    </w:pPr>
    <w:rPr>
      <w:sz w:val="48"/>
      <w:szCs w:val="72"/>
      <w:lang w:val="en-US"/>
    </w:rPr>
  </w:style>
  <w:style w:type="character" w:customStyle="1" w:styleId="TitleChar">
    <w:name w:val="Title Char"/>
    <w:basedOn w:val="DefaultParagraphFont"/>
    <w:link w:val="Title"/>
    <w:rsid w:val="00DC6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8BB"/>
    <w:pPr>
      <w:tabs>
        <w:tab w:val="left" w:pos="3600"/>
        <w:tab w:val="left" w:pos="3958"/>
      </w:tabs>
    </w:pPr>
  </w:style>
  <w:style w:type="paragraph" w:styleId="List">
    <w:name w:val="List"/>
    <w:basedOn w:val="BodyText"/>
    <w:next w:val="BodyText"/>
    <w:rsid w:val="00DC68BB"/>
    <w:pPr>
      <w:tabs>
        <w:tab w:val="left" w:pos="340"/>
      </w:tabs>
      <w:spacing w:before="60" w:after="60"/>
      <w:ind w:left="340" w:hanging="340"/>
    </w:pPr>
  </w:style>
  <w:style w:type="paragraph" w:customStyle="1" w:styleId="Note">
    <w:name w:val="Note"/>
    <w:basedOn w:val="BodyText"/>
    <w:rsid w:val="00DC6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8BB"/>
    <w:pPr>
      <w:framePr w:wrap="auto" w:hAnchor="text" w:y="6049"/>
    </w:pPr>
    <w:rPr>
      <w:color w:val="000000"/>
      <w:sz w:val="40"/>
    </w:rPr>
  </w:style>
  <w:style w:type="paragraph" w:customStyle="1" w:styleId="TOCTitle">
    <w:name w:val="TOCTitle"/>
    <w:basedOn w:val="Heading1"/>
    <w:rsid w:val="00DC68BB"/>
    <w:pPr>
      <w:spacing w:after="240"/>
      <w:jc w:val="center"/>
      <w:outlineLvl w:val="9"/>
    </w:pPr>
    <w:rPr>
      <w:caps/>
    </w:rPr>
  </w:style>
  <w:style w:type="paragraph" w:customStyle="1" w:styleId="Version">
    <w:name w:val="Version"/>
    <w:rsid w:val="00DC6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8BB"/>
    <w:pPr>
      <w:numPr>
        <w:numId w:val="13"/>
      </w:numPr>
      <w:tabs>
        <w:tab w:val="clear" w:pos="680"/>
      </w:tabs>
    </w:pPr>
  </w:style>
  <w:style w:type="paragraph" w:styleId="Index1">
    <w:name w:val="index 1"/>
    <w:basedOn w:val="Normal"/>
    <w:next w:val="Normal"/>
    <w:semiHidden/>
    <w:rsid w:val="00DC68BB"/>
    <w:pPr>
      <w:keepNext w:val="0"/>
      <w:tabs>
        <w:tab w:val="right" w:pos="4176"/>
      </w:tabs>
      <w:ind w:left="198" w:hanging="198"/>
    </w:pPr>
    <w:rPr>
      <w:rFonts w:ascii="Garamond" w:hAnsi="Garamond"/>
    </w:rPr>
  </w:style>
  <w:style w:type="paragraph" w:styleId="IndexHeading">
    <w:name w:val="index heading"/>
    <w:basedOn w:val="Normal"/>
    <w:next w:val="Index1"/>
    <w:semiHidden/>
    <w:rsid w:val="00DC68BB"/>
    <w:pPr>
      <w:spacing w:before="120" w:after="120"/>
    </w:pPr>
    <w:rPr>
      <w:rFonts w:ascii="Arial" w:hAnsi="Arial"/>
      <w:b/>
      <w:color w:val="918585"/>
      <w:sz w:val="24"/>
    </w:rPr>
  </w:style>
  <w:style w:type="paragraph" w:styleId="Header">
    <w:name w:val="header"/>
    <w:basedOn w:val="Normal"/>
    <w:link w:val="HeaderChar"/>
    <w:rsid w:val="00DC6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8BB"/>
    <w:rPr>
      <w:rFonts w:ascii="Times New Roman" w:eastAsia="Times New Roman" w:hAnsi="Times New Roman" w:cs="Times New Roman"/>
      <w:sz w:val="16"/>
      <w:szCs w:val="20"/>
      <w:lang w:val="en-GB" w:eastAsia="en-US"/>
    </w:rPr>
  </w:style>
  <w:style w:type="paragraph" w:customStyle="1" w:styleId="Chapter">
    <w:name w:val="Chapter"/>
    <w:basedOn w:val="Normal"/>
    <w:rsid w:val="00DC68BB"/>
    <w:pPr>
      <w:spacing w:before="240"/>
    </w:pPr>
    <w:rPr>
      <w:rFonts w:ascii="Times New Roman" w:hAnsi="Times New Roman"/>
      <w:smallCaps/>
      <w:spacing w:val="80"/>
      <w:sz w:val="28"/>
    </w:rPr>
  </w:style>
  <w:style w:type="paragraph" w:customStyle="1" w:styleId="InChapter">
    <w:name w:val="InChapter"/>
    <w:basedOn w:val="Heading3"/>
    <w:rsid w:val="00DC68BB"/>
    <w:pPr>
      <w:spacing w:after="240"/>
      <w:outlineLvl w:val="9"/>
    </w:pPr>
    <w:rPr>
      <w:noProof/>
    </w:rPr>
  </w:style>
  <w:style w:type="paragraph" w:styleId="Index2">
    <w:name w:val="index 2"/>
    <w:basedOn w:val="Normal"/>
    <w:next w:val="Normal"/>
    <w:semiHidden/>
    <w:rsid w:val="00DC68BB"/>
    <w:pPr>
      <w:tabs>
        <w:tab w:val="right" w:pos="4176"/>
      </w:tabs>
      <w:ind w:left="568" w:hanging="284"/>
    </w:pPr>
    <w:rPr>
      <w:rFonts w:ascii="Garamond" w:hAnsi="Garamond"/>
    </w:rPr>
  </w:style>
  <w:style w:type="paragraph" w:customStyle="1" w:styleId="Byline">
    <w:name w:val="Byline"/>
    <w:rsid w:val="00DC6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8BB"/>
    <w:pPr>
      <w:tabs>
        <w:tab w:val="clear" w:pos="3600"/>
        <w:tab w:val="clear" w:pos="3958"/>
      </w:tabs>
      <w:jc w:val="right"/>
    </w:pPr>
  </w:style>
  <w:style w:type="character" w:styleId="Emphasis">
    <w:name w:val="Emphasis"/>
    <w:basedOn w:val="DefaultParagraphFont"/>
    <w:qFormat/>
    <w:rsid w:val="00DC68BB"/>
    <w:rPr>
      <w:i/>
    </w:rPr>
  </w:style>
  <w:style w:type="paragraph" w:styleId="Caption">
    <w:name w:val="caption"/>
    <w:basedOn w:val="BodyText"/>
    <w:next w:val="Normal"/>
    <w:qFormat/>
    <w:rsid w:val="00DC68BB"/>
    <w:pPr>
      <w:framePr w:w="2268" w:hSpace="181" w:vSpace="181" w:wrap="around" w:vAnchor="text" w:hAnchor="page" w:x="1135" w:y="285" w:anchorLock="1"/>
    </w:pPr>
    <w:rPr>
      <w:i/>
    </w:rPr>
  </w:style>
  <w:style w:type="paragraph" w:customStyle="1" w:styleId="MiniTOCTitle">
    <w:name w:val="MiniTOCTitle"/>
    <w:basedOn w:val="Heading4"/>
    <w:rsid w:val="00DC68BB"/>
    <w:pPr>
      <w:spacing w:before="240"/>
      <w:outlineLvl w:val="9"/>
    </w:pPr>
    <w:rPr>
      <w:noProof/>
      <w:sz w:val="24"/>
    </w:rPr>
  </w:style>
  <w:style w:type="paragraph" w:customStyle="1" w:styleId="MiniTOCItem">
    <w:name w:val="MiniTOCItem"/>
    <w:basedOn w:val="ListBullet"/>
    <w:rsid w:val="00DC68BB"/>
    <w:pPr>
      <w:numPr>
        <w:numId w:val="0"/>
      </w:numPr>
      <w:tabs>
        <w:tab w:val="right" w:leader="dot" w:pos="6521"/>
      </w:tabs>
      <w:spacing w:before="0" w:after="0"/>
    </w:pPr>
  </w:style>
  <w:style w:type="paragraph" w:customStyle="1" w:styleId="TOFTitle">
    <w:name w:val="TOFTitle"/>
    <w:basedOn w:val="TOCTitle"/>
    <w:rsid w:val="00DC68BB"/>
  </w:style>
  <w:style w:type="paragraph" w:styleId="TableofFigures">
    <w:name w:val="table of figures"/>
    <w:basedOn w:val="Normal"/>
    <w:next w:val="Normal"/>
    <w:semiHidden/>
    <w:rsid w:val="00DC68BB"/>
    <w:pPr>
      <w:tabs>
        <w:tab w:val="right" w:leader="dot" w:pos="9072"/>
      </w:tabs>
      <w:ind w:left="970" w:hanging="403"/>
    </w:pPr>
    <w:rPr>
      <w:rFonts w:ascii="Times New Roman" w:hAnsi="Times New Roman"/>
      <w:b/>
    </w:rPr>
  </w:style>
  <w:style w:type="paragraph" w:styleId="ListNumber">
    <w:name w:val="List Number"/>
    <w:basedOn w:val="List"/>
    <w:rsid w:val="00DC68BB"/>
    <w:pPr>
      <w:numPr>
        <w:numId w:val="10"/>
      </w:numPr>
    </w:pPr>
  </w:style>
  <w:style w:type="character" w:customStyle="1" w:styleId="WingdingSymbols">
    <w:name w:val="Wingding Symbols"/>
    <w:rsid w:val="00DC68BB"/>
    <w:rPr>
      <w:rFonts w:ascii="Wingdings" w:hAnsi="Wingdings"/>
    </w:rPr>
  </w:style>
  <w:style w:type="paragraph" w:customStyle="1" w:styleId="TableHeading">
    <w:name w:val="Table Heading"/>
    <w:basedOn w:val="HeadingBase"/>
    <w:rsid w:val="00DC68BB"/>
    <w:pPr>
      <w:keepLines/>
      <w:pBdr>
        <w:bottom w:val="single" w:sz="6" w:space="1" w:color="918585"/>
      </w:pBdr>
      <w:spacing w:before="240"/>
    </w:pPr>
  </w:style>
  <w:style w:type="character" w:customStyle="1" w:styleId="HotSpot">
    <w:name w:val="HotSpot"/>
    <w:rsid w:val="00DC68BB"/>
    <w:rPr>
      <w:color w:val="0033CC"/>
      <w:u w:val="none"/>
    </w:rPr>
  </w:style>
  <w:style w:type="paragraph" w:customStyle="1" w:styleId="BodyTextRight">
    <w:name w:val="Body Text Right"/>
    <w:basedOn w:val="BodyText"/>
    <w:rsid w:val="00DC68BB"/>
    <w:pPr>
      <w:spacing w:before="0" w:after="0"/>
      <w:jc w:val="right"/>
    </w:pPr>
  </w:style>
  <w:style w:type="paragraph" w:styleId="Index3">
    <w:name w:val="index 3"/>
    <w:basedOn w:val="ListNumber2"/>
    <w:next w:val="Normal"/>
    <w:semiHidden/>
    <w:rsid w:val="00DC68BB"/>
    <w:pPr>
      <w:numPr>
        <w:numId w:val="0"/>
      </w:numPr>
      <w:tabs>
        <w:tab w:val="right" w:leader="dot" w:pos="4176"/>
      </w:tabs>
    </w:pPr>
  </w:style>
  <w:style w:type="paragraph" w:styleId="ListNumber2">
    <w:name w:val="List Number 2"/>
    <w:basedOn w:val="List2"/>
    <w:rsid w:val="00DC68BB"/>
    <w:pPr>
      <w:numPr>
        <w:numId w:val="9"/>
      </w:numPr>
      <w:tabs>
        <w:tab w:val="clear" w:pos="1060"/>
      </w:tabs>
    </w:pPr>
  </w:style>
  <w:style w:type="paragraph" w:customStyle="1" w:styleId="MarginNote">
    <w:name w:val="Margin Note"/>
    <w:basedOn w:val="BodyText"/>
    <w:rsid w:val="00DC6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8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8BB"/>
    <w:rPr>
      <w:sz w:val="32"/>
    </w:rPr>
  </w:style>
  <w:style w:type="paragraph" w:customStyle="1" w:styleId="HeadingProcedure">
    <w:name w:val="Heading Procedure"/>
    <w:basedOn w:val="HeadingBase"/>
    <w:next w:val="Normal"/>
    <w:rsid w:val="00DC68BB"/>
    <w:pPr>
      <w:tabs>
        <w:tab w:val="left" w:pos="0"/>
      </w:tabs>
      <w:spacing w:before="120" w:after="60"/>
    </w:pPr>
    <w:rPr>
      <w:i/>
      <w:color w:val="918585"/>
      <w:sz w:val="22"/>
    </w:rPr>
  </w:style>
  <w:style w:type="paragraph" w:customStyle="1" w:styleId="TableBodyText">
    <w:name w:val="Table Body Text"/>
    <w:basedOn w:val="BodyText"/>
    <w:rsid w:val="00DC68BB"/>
    <w:pPr>
      <w:spacing w:before="60" w:after="60"/>
    </w:pPr>
  </w:style>
  <w:style w:type="paragraph" w:styleId="ListContinue">
    <w:name w:val="List Continue"/>
    <w:basedOn w:val="List"/>
    <w:rsid w:val="00DC68BB"/>
    <w:pPr>
      <w:ind w:firstLine="0"/>
    </w:pPr>
  </w:style>
  <w:style w:type="paragraph" w:customStyle="1" w:styleId="ListNote">
    <w:name w:val="List Note"/>
    <w:basedOn w:val="List"/>
    <w:rsid w:val="00DC68BB"/>
    <w:pPr>
      <w:pBdr>
        <w:top w:val="single" w:sz="6" w:space="2" w:color="918585"/>
        <w:bottom w:val="single" w:sz="6" w:space="2" w:color="918585"/>
      </w:pBdr>
      <w:tabs>
        <w:tab w:val="left" w:pos="1021"/>
      </w:tabs>
      <w:ind w:firstLine="0"/>
    </w:pPr>
  </w:style>
  <w:style w:type="paragraph" w:customStyle="1" w:styleId="Warning">
    <w:name w:val="Warning"/>
    <w:basedOn w:val="BodyText"/>
    <w:rsid w:val="00DC68BB"/>
    <w:pPr>
      <w:shd w:val="clear" w:color="auto" w:fill="D9D9D9"/>
      <w:tabs>
        <w:tab w:val="left" w:pos="992"/>
      </w:tabs>
      <w:ind w:left="119" w:right="119"/>
    </w:pPr>
    <w:rPr>
      <w:sz w:val="20"/>
    </w:rPr>
  </w:style>
  <w:style w:type="paragraph" w:customStyle="1" w:styleId="MarginIcons">
    <w:name w:val="Margin Icons"/>
    <w:basedOn w:val="BodyText"/>
    <w:rsid w:val="00DC6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8BB"/>
    <w:rPr>
      <w:rFonts w:ascii="Courier New" w:hAnsi="Courier New"/>
    </w:rPr>
  </w:style>
  <w:style w:type="paragraph" w:customStyle="1" w:styleId="NoteBullet">
    <w:name w:val="Note Bullet"/>
    <w:basedOn w:val="Note"/>
    <w:rsid w:val="00DC68BB"/>
    <w:pPr>
      <w:tabs>
        <w:tab w:val="clear" w:pos="680"/>
      </w:tabs>
      <w:spacing w:before="60" w:after="60"/>
    </w:pPr>
  </w:style>
  <w:style w:type="paragraph" w:customStyle="1" w:styleId="SubHeading2">
    <w:name w:val="SubHeading2"/>
    <w:basedOn w:val="HeadingBase"/>
    <w:rsid w:val="00DC68BB"/>
    <w:pPr>
      <w:spacing w:before="240" w:after="60"/>
    </w:pPr>
    <w:rPr>
      <w:sz w:val="20"/>
    </w:rPr>
  </w:style>
  <w:style w:type="paragraph" w:customStyle="1" w:styleId="SubHeading1">
    <w:name w:val="SubHeading1"/>
    <w:basedOn w:val="HeadingBase"/>
    <w:rsid w:val="00DC68BB"/>
    <w:pPr>
      <w:spacing w:before="240" w:after="60"/>
    </w:pPr>
    <w:rPr>
      <w:color w:val="918585"/>
      <w:sz w:val="22"/>
    </w:rPr>
  </w:style>
  <w:style w:type="paragraph" w:customStyle="1" w:styleId="SideHeading">
    <w:name w:val="Side Heading"/>
    <w:basedOn w:val="HeadingBase"/>
    <w:rsid w:val="00DC6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8BB"/>
    <w:pPr>
      <w:tabs>
        <w:tab w:val="num" w:pos="360"/>
      </w:tabs>
    </w:pPr>
  </w:style>
  <w:style w:type="paragraph" w:styleId="PlainText">
    <w:name w:val="Plain Text"/>
    <w:basedOn w:val="Normal"/>
    <w:link w:val="PlainTextChar"/>
    <w:rsid w:val="00DC68BB"/>
    <w:rPr>
      <w:sz w:val="20"/>
    </w:rPr>
  </w:style>
  <w:style w:type="character" w:customStyle="1" w:styleId="PlainTextChar">
    <w:name w:val="Plain Text Char"/>
    <w:basedOn w:val="DefaultParagraphFont"/>
    <w:link w:val="PlainText"/>
    <w:rsid w:val="00DC68BB"/>
    <w:rPr>
      <w:rFonts w:ascii="Courier New" w:eastAsia="Times New Roman" w:hAnsi="Courier New" w:cs="Times New Roman"/>
      <w:sz w:val="20"/>
      <w:szCs w:val="20"/>
      <w:lang w:eastAsia="en-US"/>
    </w:rPr>
  </w:style>
  <w:style w:type="character" w:customStyle="1" w:styleId="MenuOption">
    <w:name w:val="Menu Option"/>
    <w:basedOn w:val="DefaultParagraphFont"/>
    <w:rsid w:val="00DC68BB"/>
    <w:rPr>
      <w:b/>
      <w:smallCaps/>
    </w:rPr>
  </w:style>
  <w:style w:type="paragraph" w:customStyle="1" w:styleId="TableListNumber">
    <w:name w:val="Table List Number"/>
    <w:basedOn w:val="ListNumber"/>
    <w:rsid w:val="00DC68BB"/>
    <w:pPr>
      <w:numPr>
        <w:numId w:val="0"/>
      </w:numPr>
    </w:pPr>
  </w:style>
  <w:style w:type="paragraph" w:styleId="TOC4">
    <w:name w:val="toc 4"/>
    <w:basedOn w:val="TOCBase"/>
    <w:next w:val="Normal"/>
    <w:semiHidden/>
    <w:rsid w:val="00DC68BB"/>
    <w:pPr>
      <w:tabs>
        <w:tab w:val="right" w:leader="dot" w:pos="9071"/>
      </w:tabs>
      <w:ind w:left="1701"/>
    </w:pPr>
  </w:style>
  <w:style w:type="paragraph" w:customStyle="1" w:styleId="ListAlpha">
    <w:name w:val="List Alpha"/>
    <w:basedOn w:val="List"/>
    <w:rsid w:val="00DC68BB"/>
    <w:pPr>
      <w:numPr>
        <w:numId w:val="8"/>
      </w:numPr>
    </w:pPr>
  </w:style>
  <w:style w:type="paragraph" w:customStyle="1" w:styleId="ListAlpha2">
    <w:name w:val="List Alpha 2"/>
    <w:basedOn w:val="List2"/>
    <w:rsid w:val="00DC68BB"/>
    <w:pPr>
      <w:numPr>
        <w:numId w:val="7"/>
      </w:numPr>
    </w:pPr>
  </w:style>
  <w:style w:type="paragraph" w:styleId="List2">
    <w:name w:val="List 2"/>
    <w:basedOn w:val="BodyText"/>
    <w:rsid w:val="00DC68BB"/>
    <w:pPr>
      <w:tabs>
        <w:tab w:val="left" w:pos="680"/>
      </w:tabs>
      <w:spacing w:before="60" w:after="60"/>
      <w:ind w:left="680" w:hanging="340"/>
    </w:pPr>
  </w:style>
  <w:style w:type="paragraph" w:styleId="List3">
    <w:name w:val="List 3"/>
    <w:basedOn w:val="BodyText"/>
    <w:rsid w:val="00DC68BB"/>
    <w:pPr>
      <w:tabs>
        <w:tab w:val="left" w:pos="1021"/>
      </w:tabs>
      <w:spacing w:before="60" w:after="60"/>
      <w:ind w:left="1020" w:hanging="340"/>
    </w:pPr>
  </w:style>
  <w:style w:type="paragraph" w:styleId="List4">
    <w:name w:val="List 4"/>
    <w:basedOn w:val="BodyText"/>
    <w:rsid w:val="00DC68BB"/>
    <w:pPr>
      <w:tabs>
        <w:tab w:val="left" w:pos="1361"/>
      </w:tabs>
      <w:spacing w:before="60" w:after="60"/>
      <w:ind w:left="1361" w:hanging="340"/>
    </w:pPr>
  </w:style>
  <w:style w:type="paragraph" w:styleId="List5">
    <w:name w:val="List 5"/>
    <w:basedOn w:val="BodyText"/>
    <w:rsid w:val="00DC68BB"/>
    <w:pPr>
      <w:tabs>
        <w:tab w:val="left" w:pos="1701"/>
      </w:tabs>
      <w:spacing w:before="60" w:after="60"/>
      <w:ind w:left="1701" w:hanging="340"/>
    </w:pPr>
  </w:style>
  <w:style w:type="paragraph" w:styleId="ListBullet3">
    <w:name w:val="List Bullet 3"/>
    <w:basedOn w:val="List3"/>
    <w:rsid w:val="00DC68BB"/>
    <w:pPr>
      <w:numPr>
        <w:numId w:val="14"/>
      </w:numPr>
      <w:tabs>
        <w:tab w:val="clear" w:pos="1021"/>
      </w:tabs>
      <w:ind w:left="1037" w:hanging="357"/>
    </w:pPr>
  </w:style>
  <w:style w:type="paragraph" w:styleId="ListBullet4">
    <w:name w:val="List Bullet 4"/>
    <w:basedOn w:val="List4"/>
    <w:rsid w:val="00DC68BB"/>
    <w:pPr>
      <w:numPr>
        <w:numId w:val="2"/>
      </w:numPr>
    </w:pPr>
  </w:style>
  <w:style w:type="paragraph" w:styleId="ListBullet5">
    <w:name w:val="List Bullet 5"/>
    <w:basedOn w:val="List5"/>
    <w:rsid w:val="00DC68BB"/>
    <w:pPr>
      <w:numPr>
        <w:numId w:val="3"/>
      </w:numPr>
    </w:pPr>
  </w:style>
  <w:style w:type="paragraph" w:styleId="ListContinue2">
    <w:name w:val="List Continue 2"/>
    <w:basedOn w:val="List2"/>
    <w:rsid w:val="00DC68BB"/>
    <w:pPr>
      <w:ind w:firstLine="0"/>
    </w:pPr>
  </w:style>
  <w:style w:type="paragraph" w:styleId="ListContinue3">
    <w:name w:val="List Continue 3"/>
    <w:basedOn w:val="List3"/>
    <w:rsid w:val="00DC68BB"/>
    <w:pPr>
      <w:ind w:left="1021" w:firstLine="0"/>
    </w:pPr>
  </w:style>
  <w:style w:type="paragraph" w:styleId="ListContinue4">
    <w:name w:val="List Continue 4"/>
    <w:basedOn w:val="List4"/>
    <w:rsid w:val="00DC68BB"/>
    <w:pPr>
      <w:ind w:firstLine="0"/>
    </w:pPr>
  </w:style>
  <w:style w:type="paragraph" w:styleId="ListContinue5">
    <w:name w:val="List Continue 5"/>
    <w:basedOn w:val="List5"/>
    <w:rsid w:val="00DC68BB"/>
    <w:pPr>
      <w:ind w:firstLine="0"/>
    </w:pPr>
  </w:style>
  <w:style w:type="paragraph" w:styleId="ListNumber3">
    <w:name w:val="List Number 3"/>
    <w:basedOn w:val="List3"/>
    <w:rsid w:val="00DC68BB"/>
    <w:pPr>
      <w:numPr>
        <w:numId w:val="4"/>
      </w:numPr>
    </w:pPr>
  </w:style>
  <w:style w:type="paragraph" w:styleId="ListNumber4">
    <w:name w:val="List Number 4"/>
    <w:basedOn w:val="List4"/>
    <w:rsid w:val="00DC68BB"/>
    <w:pPr>
      <w:numPr>
        <w:numId w:val="5"/>
      </w:numPr>
    </w:pPr>
  </w:style>
  <w:style w:type="paragraph" w:styleId="ListNumber5">
    <w:name w:val="List Number 5"/>
    <w:basedOn w:val="List5"/>
    <w:rsid w:val="00DC68BB"/>
    <w:pPr>
      <w:numPr>
        <w:numId w:val="6"/>
      </w:numPr>
    </w:pPr>
  </w:style>
  <w:style w:type="paragraph" w:styleId="BlockText">
    <w:name w:val="Block Text"/>
    <w:basedOn w:val="Normal"/>
    <w:rsid w:val="00DC68BB"/>
    <w:pPr>
      <w:spacing w:after="120"/>
      <w:ind w:left="1440" w:right="1440"/>
    </w:pPr>
  </w:style>
  <w:style w:type="character" w:customStyle="1" w:styleId="Subscript">
    <w:name w:val="Subscript"/>
    <w:basedOn w:val="DefaultParagraphFont"/>
    <w:rsid w:val="00DC68BB"/>
    <w:rPr>
      <w:sz w:val="16"/>
      <w:vertAlign w:val="subscript"/>
    </w:rPr>
  </w:style>
  <w:style w:type="character" w:customStyle="1" w:styleId="Superscript">
    <w:name w:val="Superscript"/>
    <w:basedOn w:val="DefaultParagraphFont"/>
    <w:rsid w:val="00DC68BB"/>
    <w:rPr>
      <w:sz w:val="16"/>
      <w:vertAlign w:val="superscript"/>
    </w:rPr>
  </w:style>
  <w:style w:type="character" w:customStyle="1" w:styleId="Symbols">
    <w:name w:val="Symbols"/>
    <w:basedOn w:val="DefaultParagraphFont"/>
    <w:rsid w:val="00DC68BB"/>
    <w:rPr>
      <w:rFonts w:ascii="Symbol" w:hAnsi="Symbol"/>
    </w:rPr>
  </w:style>
  <w:style w:type="character" w:customStyle="1" w:styleId="MenuOptions">
    <w:name w:val="Menu Options"/>
    <w:basedOn w:val="DefaultParagraphFont"/>
    <w:rsid w:val="00DC68BB"/>
    <w:rPr>
      <w:rFonts w:ascii="Arial Narrow" w:hAnsi="Arial Narrow"/>
      <w:smallCaps/>
    </w:rPr>
  </w:style>
  <w:style w:type="character" w:customStyle="1" w:styleId="Buttons">
    <w:name w:val="Buttons"/>
    <w:basedOn w:val="DefaultParagraphFont"/>
    <w:rsid w:val="00DC68BB"/>
    <w:rPr>
      <w:b/>
    </w:rPr>
  </w:style>
  <w:style w:type="character" w:customStyle="1" w:styleId="Underlined">
    <w:name w:val="Underlined"/>
    <w:basedOn w:val="DefaultParagraphFont"/>
    <w:rsid w:val="00DC68BB"/>
    <w:rPr>
      <w:u w:val="single"/>
    </w:rPr>
  </w:style>
  <w:style w:type="paragraph" w:customStyle="1" w:styleId="TableBodyTextRight">
    <w:name w:val="Table Body Text Right"/>
    <w:basedOn w:val="TableBodyText"/>
    <w:rsid w:val="00DC68BB"/>
    <w:pPr>
      <w:widowControl w:val="0"/>
      <w:autoSpaceDE w:val="0"/>
      <w:autoSpaceDN w:val="0"/>
      <w:adjustRightInd w:val="0"/>
      <w:jc w:val="right"/>
    </w:pPr>
    <w:rPr>
      <w:rFonts w:cs="Arial"/>
      <w:szCs w:val="18"/>
    </w:rPr>
  </w:style>
  <w:style w:type="paragraph" w:customStyle="1" w:styleId="CopyrightText">
    <w:name w:val="Copyright Text"/>
    <w:basedOn w:val="BodyText"/>
    <w:rsid w:val="00DC68BB"/>
    <w:rPr>
      <w:sz w:val="18"/>
    </w:rPr>
  </w:style>
  <w:style w:type="paragraph" w:customStyle="1" w:styleId="BodySmallRight">
    <w:name w:val="Body Small Right"/>
    <w:basedOn w:val="BodyTextRight"/>
    <w:rsid w:val="00DC68BB"/>
    <w:rPr>
      <w:sz w:val="18"/>
      <w:szCs w:val="18"/>
    </w:rPr>
  </w:style>
  <w:style w:type="paragraph" w:customStyle="1" w:styleId="MarginEdition">
    <w:name w:val="Margin Edition"/>
    <w:basedOn w:val="MarginNote"/>
    <w:rsid w:val="00DC68BB"/>
    <w:pPr>
      <w:spacing w:before="0" w:after="0"/>
    </w:pPr>
    <w:rPr>
      <w:rFonts w:ascii="Times New Roman" w:hAnsi="Times New Roman"/>
      <w:color w:val="999999"/>
    </w:rPr>
  </w:style>
  <w:style w:type="paragraph" w:customStyle="1" w:styleId="Spacer">
    <w:name w:val="Spacer"/>
    <w:basedOn w:val="Normal"/>
    <w:rsid w:val="00DC68BB"/>
    <w:rPr>
      <w:sz w:val="2"/>
      <w:szCs w:val="2"/>
    </w:rPr>
  </w:style>
  <w:style w:type="character" w:customStyle="1" w:styleId="Small">
    <w:name w:val="Small"/>
    <w:basedOn w:val="DefaultParagraphFont"/>
    <w:rsid w:val="00DC68BB"/>
    <w:rPr>
      <w:sz w:val="16"/>
    </w:rPr>
  </w:style>
  <w:style w:type="paragraph" w:customStyle="1" w:styleId="WideTable">
    <w:name w:val="Wide Table"/>
    <w:basedOn w:val="Normal"/>
    <w:rsid w:val="00DC68BB"/>
    <w:pPr>
      <w:ind w:left="-1418"/>
    </w:pPr>
    <w:rPr>
      <w:sz w:val="2"/>
      <w:szCs w:val="2"/>
    </w:rPr>
  </w:style>
  <w:style w:type="character" w:styleId="PageNumber">
    <w:name w:val="page number"/>
    <w:basedOn w:val="DefaultParagraphFont"/>
    <w:rsid w:val="00DC68BB"/>
  </w:style>
  <w:style w:type="paragraph" w:styleId="Quote">
    <w:name w:val="Quote"/>
    <w:basedOn w:val="Heading1"/>
    <w:link w:val="QuoteChar"/>
    <w:qFormat/>
    <w:rsid w:val="00DC68BB"/>
    <w:rPr>
      <w:b w:val="0"/>
      <w:sz w:val="72"/>
      <w:szCs w:val="72"/>
      <w:lang w:val="en-NZ"/>
    </w:rPr>
  </w:style>
  <w:style w:type="character" w:customStyle="1" w:styleId="QuoteChar">
    <w:name w:val="Quote Char"/>
    <w:basedOn w:val="DefaultParagraphFont"/>
    <w:link w:val="Quote"/>
    <w:rsid w:val="00DC6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8BB"/>
    <w:pPr>
      <w:pageBreakBefore/>
    </w:pPr>
  </w:style>
  <w:style w:type="paragraph" w:customStyle="1" w:styleId="Border">
    <w:name w:val="Border"/>
    <w:basedOn w:val="Normal"/>
    <w:qFormat/>
    <w:rsid w:val="00DC6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8BB"/>
    <w:rPr>
      <w:b/>
      <w:bCs/>
      <w:i/>
      <w:iCs/>
      <w:color w:val="auto"/>
    </w:rPr>
  </w:style>
  <w:style w:type="paragraph" w:styleId="IntenseQuote">
    <w:name w:val="Intense Quote"/>
    <w:basedOn w:val="Normal"/>
    <w:next w:val="Normal"/>
    <w:link w:val="IntenseQuoteChar"/>
    <w:uiPriority w:val="30"/>
    <w:qFormat/>
    <w:rsid w:val="00DC6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8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8BB"/>
    <w:rPr>
      <w:smallCaps/>
      <w:color w:val="auto"/>
      <w:u w:val="single"/>
    </w:rPr>
  </w:style>
  <w:style w:type="character" w:styleId="IntenseReference">
    <w:name w:val="Intense Reference"/>
    <w:basedOn w:val="DefaultParagraphFont"/>
    <w:uiPriority w:val="32"/>
    <w:qFormat/>
    <w:rsid w:val="00DC68BB"/>
    <w:rPr>
      <w:b/>
      <w:bCs/>
      <w:smallCaps/>
      <w:color w:val="auto"/>
      <w:spacing w:val="5"/>
      <w:u w:val="single"/>
    </w:rPr>
  </w:style>
  <w:style w:type="paragraph" w:customStyle="1" w:styleId="2ColumnHeading">
    <w:name w:val="2Column Heading"/>
    <w:basedOn w:val="BodyText"/>
    <w:qFormat/>
    <w:rsid w:val="00DC68BB"/>
    <w:pPr>
      <w:spacing w:after="60"/>
      <w:ind w:left="-2268"/>
    </w:pPr>
    <w:rPr>
      <w:b/>
    </w:rPr>
  </w:style>
  <w:style w:type="paragraph" w:customStyle="1" w:styleId="Heading1TOC">
    <w:name w:val="Heading1 TOC"/>
    <w:basedOn w:val="Normal"/>
    <w:qFormat/>
    <w:rsid w:val="00DC68BB"/>
    <w:pPr>
      <w:spacing w:before="240" w:after="120"/>
    </w:pPr>
    <w:rPr>
      <w:rFonts w:ascii="Times New Roman" w:hAnsi="Times New Roman"/>
      <w:b/>
      <w:sz w:val="32"/>
    </w:rPr>
  </w:style>
  <w:style w:type="paragraph" w:customStyle="1" w:styleId="Heading2TOC">
    <w:name w:val="Heading2 TOC"/>
    <w:basedOn w:val="Normal"/>
    <w:qFormat/>
    <w:rsid w:val="00DC68BB"/>
    <w:pPr>
      <w:spacing w:before="240" w:after="60"/>
    </w:pPr>
    <w:rPr>
      <w:rFonts w:ascii="Times New Roman" w:hAnsi="Times New Roman"/>
      <w:b/>
      <w:sz w:val="28"/>
    </w:rPr>
  </w:style>
  <w:style w:type="character" w:customStyle="1" w:styleId="Underline">
    <w:name w:val="Underline"/>
    <w:basedOn w:val="DefaultParagraphFont"/>
    <w:qFormat/>
    <w:rsid w:val="00DC68BB"/>
    <w:rPr>
      <w:u w:val="single"/>
    </w:rPr>
  </w:style>
  <w:style w:type="character" w:customStyle="1" w:styleId="BoldandItalics">
    <w:name w:val="Bold and Italics"/>
    <w:qFormat/>
    <w:rsid w:val="00DC68BB"/>
    <w:rPr>
      <w:b/>
      <w:i/>
      <w:u w:val="none"/>
    </w:rPr>
  </w:style>
  <w:style w:type="paragraph" w:styleId="BalloonText">
    <w:name w:val="Balloon Text"/>
    <w:basedOn w:val="Normal"/>
    <w:link w:val="BalloonTextChar"/>
    <w:rsid w:val="00DC68BB"/>
    <w:rPr>
      <w:rFonts w:ascii="Tahoma" w:hAnsi="Tahoma" w:cs="Tahoma"/>
      <w:sz w:val="16"/>
      <w:szCs w:val="16"/>
    </w:rPr>
  </w:style>
  <w:style w:type="character" w:customStyle="1" w:styleId="BalloonTextChar">
    <w:name w:val="Balloon Text Char"/>
    <w:basedOn w:val="DefaultParagraphFont"/>
    <w:link w:val="BalloonText"/>
    <w:rsid w:val="00DC68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8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8BB"/>
    <w:rPr>
      <w:b/>
      <w:color w:val="660033"/>
      <w:spacing w:val="0"/>
    </w:rPr>
  </w:style>
  <w:style w:type="paragraph" w:customStyle="1" w:styleId="Nameditemlist">
    <w:name w:val="Named item list"/>
    <w:basedOn w:val="BodyText"/>
    <w:qFormat/>
    <w:rsid w:val="00DC68B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1132</Words>
  <Characters>6761</Characters>
  <Application>Microsoft Office Word</Application>
  <DocSecurity>0</DocSecurity>
  <Lines>360</Lines>
  <Paragraphs>137</Paragraphs>
  <ScaleCrop>false</ScaleCrop>
  <Company>Author-it Software Corporation Ltd.</Company>
  <LinksUpToDate>false</LinksUpToDate>
  <CharactersWithSpaces>7787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UEENEEH123A Fault find and repair microwave heating apparatus</dc:title>
  <dc:subject>Approved</dc:subject>
  <dc:creator>E-OZ Training Standards</dc:creator>
  <cp:keywords>Release: 2</cp:keywords>
  <dc:description>Review Date: 12 April 2008</dc:description>
  <cp:lastModifiedBy>HSD_TPCMSd.prod</cp:lastModifiedBy>
  <cp:revision>3</cp:revision>
  <dcterms:created xsi:type="dcterms:W3CDTF">2013-08-14T06:35:00Z</dcterms:created>
  <dcterms:modified xsi:type="dcterms:W3CDTF">2013-08-14T06:36:00Z</dcterms:modified>
</cp:coreProperties>
</file>