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22B0" w:rsidP="00A422B0">
      <w:pPr>
        <w:pStyle w:val="Title"/>
      </w:pPr>
      <w:r>
        <w:fldChar w:fldCharType="begin"/>
      </w:r>
      <w:r>
        <w:instrText xml:space="preserve"> TITLE   \* MERGEFORMAT </w:instrText>
      </w:r>
      <w:r>
        <w:fldChar w:fldCharType="separate"/>
      </w:r>
      <w:r>
        <w:t>UEENEEH122A Fault find and repair remote control apparatus</w:t>
      </w:r>
      <w:r>
        <w:fldChar w:fldCharType="end"/>
      </w:r>
    </w:p>
    <w:p w:rsidR="00A422B0" w:rsidP="00A422B0">
      <w:pPr>
        <w:pStyle w:val="Version"/>
        <w:sectPr w:rsidSect="007323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32359" w:rsidP="00732359">
      <w:pPr>
        <w:pStyle w:val="SuperHeading"/>
      </w:pPr>
      <w:r w:rsidRPr="00732359">
        <w:t>UEENEEH122A Fault find and repair remote control apparatus</w:t>
      </w:r>
    </w:p>
    <w:p w:rsidR="00000000" w:rsidRPr="00732359" w:rsidP="00732359">
      <w:pPr>
        <w:pStyle w:val="Heading1"/>
      </w:pPr>
      <w:bookmarkStart w:id="1" w:name="O_587363"/>
      <w:bookmarkEnd w:id="1"/>
      <w:r w:rsidRPr="00732359">
        <w:t>Modification History</w:t>
      </w:r>
    </w:p>
    <w:p w:rsidR="00000000" w:rsidRPr="00732359" w:rsidP="00732359">
      <w:pPr>
        <w:pStyle w:val="BodyText"/>
      </w:pPr>
      <w:r w:rsidRPr="00732359">
        <w:t>Not applicable.</w:t>
      </w:r>
    </w:p>
    <w:p w:rsidR="00000000" w:rsidRPr="00732359" w:rsidP="00732359">
      <w:pPr>
        <w:pStyle w:val="AllowPageBreak"/>
      </w:pPr>
    </w:p>
    <w:p w:rsidR="00000000" w:rsidRPr="00732359" w:rsidP="00732359">
      <w:pPr>
        <w:pStyle w:val="Heading1"/>
      </w:pPr>
      <w:bookmarkStart w:id="2" w:name="O_587362"/>
      <w:bookmarkEnd w:id="2"/>
      <w:r w:rsidRPr="00732359">
        <w:t>Unit Descriptor</w:t>
      </w:r>
    </w:p>
    <w:tbl>
      <w:tblPr>
        <w:tblW w:w="0" w:type="auto"/>
        <w:tblLayout w:type="fixed"/>
        <w:tblCellMar>
          <w:left w:w="62" w:type="dxa"/>
          <w:right w:w="62" w:type="dxa"/>
        </w:tblCellMar>
        <w:tblLook w:val="0000"/>
      </w:tblPr>
      <w:tblGrid>
        <w:gridCol w:w="2700"/>
        <w:gridCol w:w="5760"/>
      </w:tblGrid>
      <w:tr w:rsidTr="00A422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rPr>
                <w:rStyle w:val="SpecialBold"/>
              </w:rPr>
              <w:t>1)</w:t>
            </w:r>
            <w:r w:rsidRPr="00732359">
              <w:t xml:space="preserve"> </w:t>
            </w:r>
            <w:r w:rsidRPr="00732359">
              <w:rPr>
                <w:rStyle w:val="SpecialBold"/>
              </w:rPr>
              <w:t>Scope:</w:t>
            </w:r>
          </w:p>
        </w:tc>
      </w:tr>
      <w:tr w:rsidTr="00A422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3235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rPr>
                <w:rStyle w:val="SpecialBold"/>
              </w:rPr>
              <w:t>1.1) Descriptor</w:t>
            </w:r>
          </w:p>
        </w:tc>
      </w:tr>
      <w:tr w:rsidTr="00A422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t>This unit covers fault finding and repair in remote control apparatus and devices. The unit encompasses safe working practic</w:t>
            </w:r>
            <w:r w:rsidRPr="00732359">
              <w:t>es, interpreting circuit diagrams, applying knowledge of remote control to logical fault finding procedures, conducting repairs, safety and functional testing and completing the necessary service documentation.</w:t>
            </w:r>
          </w:p>
        </w:tc>
      </w:tr>
    </w:tbl>
    <w:p w:rsidR="00000000" w:rsidRPr="00732359" w:rsidP="00732359">
      <w:pPr>
        <w:pStyle w:val="BodyText"/>
      </w:pPr>
    </w:p>
    <w:p w:rsidR="00000000" w:rsidRPr="00732359" w:rsidP="00732359">
      <w:pPr>
        <w:pStyle w:val="AllowPageBreak"/>
      </w:pPr>
    </w:p>
    <w:p w:rsidR="00000000" w:rsidRPr="00732359" w:rsidP="00732359">
      <w:pPr>
        <w:pStyle w:val="Heading1"/>
      </w:pPr>
      <w:bookmarkStart w:id="3" w:name="O_587361"/>
      <w:bookmarkEnd w:id="3"/>
      <w:r w:rsidRPr="00732359">
        <w:t>Application of the Unit</w:t>
      </w:r>
    </w:p>
    <w:tbl>
      <w:tblPr>
        <w:tblW w:w="0" w:type="auto"/>
        <w:tblLayout w:type="fixed"/>
        <w:tblCellMar>
          <w:left w:w="62" w:type="dxa"/>
          <w:right w:w="62" w:type="dxa"/>
        </w:tblCellMar>
        <w:tblLook w:val="0000"/>
      </w:tblPr>
      <w:tblGrid>
        <w:gridCol w:w="2672"/>
        <w:gridCol w:w="5699"/>
      </w:tblGrid>
      <w:tr w:rsidTr="00A422B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rPr>
                <w:rStyle w:val="SpecialBold"/>
              </w:rPr>
              <w:t>2)</w:t>
            </w:r>
          </w:p>
        </w:tc>
      </w:tr>
      <w:tr w:rsidTr="00A422B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t>This unit is intended for competency development entry-level employment based programs incorporated in approved contracts of training or approved training programs. It may also used to augment previously acquired competencies.</w:t>
            </w:r>
          </w:p>
        </w:tc>
      </w:tr>
    </w:tbl>
    <w:p w:rsidR="00000000" w:rsidRPr="00732359" w:rsidP="00732359">
      <w:pPr>
        <w:pStyle w:val="BodyText"/>
      </w:pPr>
    </w:p>
    <w:p w:rsidR="00000000" w:rsidRPr="00732359" w:rsidP="00732359">
      <w:pPr>
        <w:pStyle w:val="AllowPageBreak"/>
      </w:pPr>
    </w:p>
    <w:p w:rsidR="00000000" w:rsidRPr="00732359" w:rsidP="00732359">
      <w:pPr>
        <w:pStyle w:val="Heading1"/>
      </w:pPr>
      <w:bookmarkStart w:id="4" w:name="O_587360"/>
      <w:bookmarkEnd w:id="4"/>
      <w:r w:rsidRPr="00732359">
        <w:t>Licensing/Regulatory Information</w:t>
      </w:r>
    </w:p>
    <w:tbl>
      <w:tblPr>
        <w:tblW w:w="0" w:type="auto"/>
        <w:tblLayout w:type="fixed"/>
        <w:tblCellMar>
          <w:left w:w="62" w:type="dxa"/>
          <w:right w:w="62" w:type="dxa"/>
        </w:tblCellMar>
        <w:tblLook w:val="0000"/>
      </w:tblPr>
      <w:tblGrid>
        <w:gridCol w:w="2700"/>
        <w:gridCol w:w="5760"/>
      </w:tblGrid>
      <w:tr w:rsidTr="00A422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rPr>
                <w:rStyle w:val="SpecialBold"/>
              </w:rPr>
              <w:t xml:space="preserve">3) </w:t>
            </w:r>
          </w:p>
        </w:tc>
      </w:tr>
      <w:tr w:rsidTr="00A422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t xml:space="preserve">The skills and knowledge described in this unit do not require a license to practice in the workplace provided equipment is not connected to installation wiring at voltage above </w:t>
            </w:r>
            <w:r w:rsidRPr="00732359">
              <w:t xml:space="preserve">50 V a.c. or 120 V d.c. However other conditions may apply in some States/Territories subject to regulations related to electrical work. </w:t>
            </w:r>
          </w:p>
          <w:p w:rsidR="00000000" w:rsidRPr="00732359" w:rsidP="00732359">
            <w:pPr>
              <w:pStyle w:val="BodyText"/>
            </w:pPr>
            <w:r w:rsidRPr="00732359">
              <w:t>Practice in t</w:t>
            </w:r>
            <w:r w:rsidRPr="00732359">
              <w:t xml:space="preserve">he workplace and during training is also </w:t>
            </w:r>
            <w:r w:rsidRPr="00732359">
              <w:t>subject to regulations directly related to occupational health and safety and where applicable contracts of training such as apprenticeships.</w:t>
            </w:r>
          </w:p>
          <w:p w:rsidR="00000000" w:rsidRPr="00732359" w:rsidP="00732359">
            <w:pPr>
              <w:pStyle w:val="BodyText"/>
            </w:pPr>
            <w:r w:rsidRPr="00732359">
              <w:t xml:space="preserve">Note: </w:t>
            </w:r>
          </w:p>
          <w:p w:rsidR="00000000" w:rsidRPr="00732359" w:rsidP="00732359">
            <w:pPr>
              <w:pStyle w:val="BodyText"/>
            </w:pPr>
            <w:r w:rsidRPr="00732359">
              <w:t>1. Compliance with permits may be required in various jurisdiction</w:t>
            </w:r>
            <w:r w:rsidRPr="00732359">
              <w:t>s and typically relates to the operation of plant, machinery and equipment such as elevating work platforms, powder operated fixing tools, power operated tools, vehicles, road signage and traffic control, lifting equipment and the like. Permits may also be</w:t>
            </w:r>
            <w:r w:rsidRPr="00732359">
              <w:t xml:space="preserve"> required for some work environments such as confined spaces, working aloft, near live electrical apparatus and site rehabilitation.</w:t>
            </w:r>
          </w:p>
          <w:p w:rsidR="00000000" w:rsidRPr="00732359" w:rsidP="00732359">
            <w:pPr>
              <w:pStyle w:val="BodyText"/>
            </w:pPr>
            <w:r w:rsidRPr="00732359">
              <w:t xml:space="preserve">2. Compliance may be required in various jurisdictions relating to currency in First Aid, confined space, lifting and risk </w:t>
            </w:r>
            <w:r w:rsidRPr="00732359">
              <w:t>safety measures.</w:t>
            </w:r>
          </w:p>
        </w:tc>
      </w:tr>
    </w:tbl>
    <w:p w:rsidR="00000000" w:rsidRPr="00732359" w:rsidP="00732359">
      <w:pPr>
        <w:pStyle w:val="BodyText"/>
      </w:pPr>
    </w:p>
    <w:p w:rsidR="00000000" w:rsidRPr="00732359" w:rsidP="00732359">
      <w:pPr>
        <w:pStyle w:val="AllowPageBreak"/>
      </w:pPr>
    </w:p>
    <w:p w:rsidR="00000000" w:rsidRPr="00732359" w:rsidP="00732359">
      <w:pPr>
        <w:pStyle w:val="Heading1"/>
      </w:pPr>
      <w:bookmarkStart w:id="5" w:name="O_587359"/>
      <w:bookmarkEnd w:id="5"/>
      <w:r w:rsidRPr="00732359">
        <w:t>Pre-Requisites</w:t>
      </w:r>
    </w:p>
    <w:tbl>
      <w:tblPr>
        <w:tblW w:w="0" w:type="auto"/>
        <w:tblLayout w:type="fixed"/>
        <w:tblCellMar>
          <w:left w:w="62" w:type="dxa"/>
          <w:right w:w="62" w:type="dxa"/>
        </w:tblCellMar>
        <w:tblLook w:val="0000"/>
      </w:tblPr>
      <w:tblGrid>
        <w:gridCol w:w="2700"/>
        <w:gridCol w:w="1440"/>
        <w:gridCol w:w="4320"/>
      </w:tblGrid>
      <w:tr w:rsidTr="00A422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rPr>
                <w:rStyle w:val="SpecialBold"/>
              </w:rPr>
              <w:t xml:space="preserve">4) </w:t>
            </w:r>
          </w:p>
        </w:tc>
      </w:tr>
      <w:tr w:rsidTr="00A422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rPr>
                <w:rStyle w:val="SpecialBold"/>
              </w:rPr>
              <w:t>4.1)</w:t>
            </w:r>
          </w:p>
        </w:tc>
      </w:tr>
      <w:tr w:rsidTr="00A422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Granting competency in this unit shall be made only after competency in the following unit(s) has/have been confirmed.</w:t>
            </w:r>
          </w:p>
        </w:tc>
      </w:tr>
      <w:tr w:rsidTr="00A422B0">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UEENEEE101A</w:t>
            </w:r>
          </w:p>
        </w:tc>
        <w:tc>
          <w:tcPr>
            <w:tcW w:w="432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Apply Occupational Health and Safety regulations, codes and practices in the workplace</w:t>
            </w:r>
          </w:p>
        </w:tc>
      </w:tr>
      <w:tr w:rsidTr="00A422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UEENEEE102A</w:t>
            </w:r>
          </w:p>
        </w:tc>
        <w:tc>
          <w:tcPr>
            <w:tcW w:w="432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Fabricate, assemble and dismantle utilities industry components</w:t>
            </w:r>
          </w:p>
        </w:tc>
      </w:tr>
      <w:tr w:rsidTr="00A422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UEENEEH102A</w:t>
            </w:r>
          </w:p>
        </w:tc>
        <w:tc>
          <w:tcPr>
            <w:tcW w:w="432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Repairs basic electronic apparatus faults by replacement of components</w:t>
            </w:r>
          </w:p>
        </w:tc>
      </w:tr>
      <w:tr w:rsidTr="00A422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UEENEEH111A</w:t>
            </w:r>
          </w:p>
        </w:tc>
        <w:tc>
          <w:tcPr>
            <w:tcW w:w="432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 xml:space="preserve"> Troubleshoot single phase input d.c. power supplies</w:t>
            </w:r>
          </w:p>
        </w:tc>
      </w:tr>
      <w:tr w:rsidTr="00A422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UEENEEH112A</w:t>
            </w:r>
          </w:p>
        </w:tc>
        <w:tc>
          <w:tcPr>
            <w:tcW w:w="432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Troubleshoot digital sub-systems</w:t>
            </w:r>
          </w:p>
        </w:tc>
      </w:tr>
      <w:tr w:rsidTr="00A422B0">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 xml:space="preserve">UEENEEH113A </w:t>
            </w:r>
          </w:p>
        </w:tc>
        <w:tc>
          <w:tcPr>
            <w:tcW w:w="432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Troubleshoot amplifier circuits</w:t>
            </w:r>
          </w:p>
        </w:tc>
      </w:tr>
      <w:tr w:rsidTr="00A422B0">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UEENEEH138A</w:t>
            </w:r>
          </w:p>
        </w:tc>
        <w:tc>
          <w:tcPr>
            <w:tcW w:w="432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Fault find and repair complex power supplies</w:t>
            </w:r>
          </w:p>
        </w:tc>
      </w:tr>
      <w:tr w:rsidTr="00A422B0">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AND</w:t>
            </w:r>
          </w:p>
        </w:tc>
        <w:tc>
          <w:tcPr>
            <w:tcW w:w="432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p>
        </w:tc>
      </w:tr>
      <w:tr w:rsidTr="00A422B0">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UEENEEH114A</w:t>
            </w:r>
          </w:p>
        </w:tc>
        <w:tc>
          <w:tcPr>
            <w:tcW w:w="432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Troubleshoot resonance circuits in an electronic apparatus</w:t>
            </w:r>
          </w:p>
        </w:tc>
      </w:tr>
      <w:tr w:rsidTr="00A422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UEENEEE104A</w:t>
            </w:r>
          </w:p>
        </w:tc>
        <w:tc>
          <w:tcPr>
            <w:tcW w:w="432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Solve problems in d.c. circuits</w:t>
            </w:r>
          </w:p>
        </w:tc>
      </w:tr>
      <w:tr w:rsidTr="00A422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UEENEEH169A</w:t>
            </w:r>
          </w:p>
        </w:tc>
        <w:tc>
          <w:tcPr>
            <w:tcW w:w="432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Solve problems in basic electronic circuits</w:t>
            </w:r>
          </w:p>
        </w:tc>
      </w:tr>
      <w:tr w:rsidTr="00A422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OR</w:t>
            </w:r>
          </w:p>
        </w:tc>
        <w:tc>
          <w:tcPr>
            <w:tcW w:w="432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p>
        </w:tc>
      </w:tr>
      <w:tr w:rsidTr="00A422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UEENEEE104A</w:t>
            </w:r>
          </w:p>
        </w:tc>
        <w:tc>
          <w:tcPr>
            <w:tcW w:w="432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Solve problems in d.c. circuits</w:t>
            </w:r>
          </w:p>
        </w:tc>
      </w:tr>
      <w:tr w:rsidTr="00A422B0">
        <w:tblPrEx>
          <w:tblW w:w="0" w:type="auto"/>
          <w:tblLayout w:type="fixed"/>
          <w:tblCellMar>
            <w:left w:w="62" w:type="dxa"/>
            <w:right w:w="62" w:type="dxa"/>
          </w:tblCellMar>
          <w:tblLook w:val="0000"/>
        </w:tblPrEx>
        <w:trPr>
          <w:trHeight w:val="19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 xml:space="preserve">UEENEEG101A </w:t>
            </w:r>
          </w:p>
        </w:tc>
        <w:tc>
          <w:tcPr>
            <w:tcW w:w="432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Solve problems in electromagnetic devices and related circuits</w:t>
            </w:r>
          </w:p>
        </w:tc>
      </w:tr>
      <w:tr w:rsidTr="00A422B0">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UEENEEG102A</w:t>
            </w:r>
          </w:p>
        </w:tc>
        <w:tc>
          <w:tcPr>
            <w:tcW w:w="4320" w:type="dxa"/>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t>Solve problems in low voltage a.c. circuits</w:t>
            </w:r>
          </w:p>
        </w:tc>
      </w:tr>
    </w:tbl>
    <w:p w:rsidR="00000000" w:rsidRPr="00732359" w:rsidP="0073235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422B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rPr>
                <w:rStyle w:val="SpecialBold"/>
              </w:rPr>
              <w:t xml:space="preserve">4.2) </w:t>
            </w:r>
          </w:p>
        </w:tc>
      </w:tr>
      <w:tr w:rsidTr="00A422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Participants are best equipped to</w:t>
            </w:r>
            <w:r w:rsidRPr="00732359">
              <w:t xml:space="preserve"> achieve competency in this unit if they have reading, writing and numeracy skills indicated by the following scales. Description of each scale is given in Volume 2, Part 3 ‘Literacy and Numeracy’</w:t>
            </w:r>
          </w:p>
        </w:tc>
      </w:tr>
      <w:tr w:rsidTr="00A422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Reading</w:t>
            </w:r>
          </w:p>
        </w:tc>
        <w:tc>
          <w:tcPr>
            <w:tcW w:w="81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3</w:t>
            </w:r>
          </w:p>
        </w:tc>
        <w:tc>
          <w:tcPr>
            <w:tcW w:w="99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Writing</w:t>
            </w:r>
          </w:p>
        </w:tc>
        <w:tc>
          <w:tcPr>
            <w:tcW w:w="90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3</w:t>
            </w:r>
          </w:p>
        </w:tc>
        <w:tc>
          <w:tcPr>
            <w:tcW w:w="126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Numeracy</w:t>
            </w:r>
          </w:p>
        </w:tc>
        <w:tc>
          <w:tcPr>
            <w:tcW w:w="720" w:type="dxa"/>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t>3</w:t>
            </w:r>
          </w:p>
        </w:tc>
      </w:tr>
    </w:tbl>
    <w:p w:rsidR="00000000" w:rsidRPr="00732359" w:rsidP="00732359">
      <w:pPr>
        <w:pStyle w:val="BodyText"/>
      </w:pPr>
    </w:p>
    <w:p w:rsidR="00000000" w:rsidRPr="00732359" w:rsidP="00732359">
      <w:pPr>
        <w:pStyle w:val="AllowPageBreak"/>
      </w:pPr>
    </w:p>
    <w:p w:rsidR="00000000" w:rsidRPr="00732359" w:rsidP="00732359">
      <w:pPr>
        <w:pStyle w:val="Heading1"/>
      </w:pPr>
      <w:bookmarkStart w:id="6" w:name="O_587358"/>
      <w:bookmarkEnd w:id="6"/>
      <w:r w:rsidRPr="00732359">
        <w:t>Employability Skills Information</w:t>
      </w:r>
    </w:p>
    <w:tbl>
      <w:tblPr>
        <w:tblW w:w="0" w:type="auto"/>
        <w:tblLayout w:type="fixed"/>
        <w:tblCellMar>
          <w:left w:w="62" w:type="dxa"/>
          <w:right w:w="62" w:type="dxa"/>
        </w:tblCellMar>
        <w:tblLook w:val="0000"/>
      </w:tblPr>
      <w:tblGrid>
        <w:gridCol w:w="2700"/>
        <w:gridCol w:w="5760"/>
      </w:tblGrid>
      <w:tr w:rsidTr="00A422B0">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rPr>
                <w:rStyle w:val="SpecialBold"/>
              </w:rPr>
              <w:t xml:space="preserve">5) </w:t>
            </w:r>
          </w:p>
        </w:tc>
      </w:tr>
      <w:tr w:rsidTr="00A422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t>This unit contains Employability Skills</w:t>
            </w:r>
          </w:p>
          <w:p w:rsidR="00000000" w:rsidRPr="00732359" w:rsidP="00732359">
            <w:pPr>
              <w:pStyle w:val="BodyText"/>
            </w:pPr>
            <w:r w:rsidRPr="00732359">
              <w:t>The required outcomes described in this unit of competency contain applicable facets of Employability Skills. The Employability Skills Summary of the qualif</w:t>
            </w:r>
            <w:r w:rsidRPr="00732359">
              <w:t>ication in which this unit of competency is packaged will assist in identifying Employability Skill requirements.</w:t>
            </w:r>
          </w:p>
        </w:tc>
      </w:tr>
    </w:tbl>
    <w:p w:rsidR="00000000" w:rsidRPr="00732359" w:rsidP="00732359">
      <w:pPr>
        <w:pStyle w:val="BodyText"/>
      </w:pPr>
    </w:p>
    <w:p w:rsidR="00000000" w:rsidRPr="00732359" w:rsidP="00732359">
      <w:pPr>
        <w:pStyle w:val="AllowPageBreak"/>
      </w:pPr>
    </w:p>
    <w:p w:rsidR="00000000" w:rsidRPr="00732359" w:rsidP="00732359">
      <w:pPr>
        <w:pStyle w:val="Heading1"/>
      </w:pPr>
      <w:bookmarkStart w:id="7" w:name="O_587357"/>
      <w:bookmarkEnd w:id="7"/>
      <w:r w:rsidRPr="00732359">
        <w:t>Elements and Performance Criteria Pre-Content</w:t>
      </w:r>
    </w:p>
    <w:tbl>
      <w:tblPr>
        <w:tblW w:w="0" w:type="auto"/>
        <w:tblLayout w:type="fixed"/>
        <w:tblCellMar>
          <w:left w:w="62" w:type="dxa"/>
          <w:right w:w="62" w:type="dxa"/>
        </w:tblCellMar>
        <w:tblLook w:val="0000"/>
      </w:tblPr>
      <w:tblGrid>
        <w:gridCol w:w="2700"/>
        <w:gridCol w:w="5760"/>
      </w:tblGrid>
      <w:tr w:rsidTr="00A422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rPr>
                <w:rStyle w:val="SpecialBold"/>
              </w:rPr>
              <w:t>6)</w:t>
            </w:r>
            <w:r w:rsidRPr="0073235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t>Performance Criteria describe the required performance needed to demonstrate achievement of the element. Assessment of performance is to be consistent with the Evidence Guide.</w:t>
            </w:r>
          </w:p>
        </w:tc>
      </w:tr>
    </w:tbl>
    <w:p w:rsidR="00000000" w:rsidRPr="00732359" w:rsidP="00732359">
      <w:pPr>
        <w:pStyle w:val="BodyText"/>
      </w:pPr>
    </w:p>
    <w:p w:rsidR="00000000" w:rsidRPr="00732359" w:rsidP="00732359">
      <w:pPr>
        <w:pStyle w:val="AllowPageBreak"/>
      </w:pPr>
    </w:p>
    <w:p w:rsidR="00000000" w:rsidRPr="00732359" w:rsidP="00732359">
      <w:pPr>
        <w:pStyle w:val="Heading1"/>
      </w:pPr>
      <w:bookmarkStart w:id="8" w:name="O_587356"/>
      <w:bookmarkEnd w:id="8"/>
      <w:r w:rsidRPr="00732359">
        <w:t>Elements and Performance Criteria</w:t>
      </w:r>
    </w:p>
    <w:tbl>
      <w:tblPr>
        <w:tblW w:w="0" w:type="auto"/>
        <w:tblLayout w:type="fixed"/>
        <w:tblCellMar>
          <w:left w:w="62" w:type="dxa"/>
          <w:right w:w="62" w:type="dxa"/>
        </w:tblCellMar>
        <w:tblLook w:val="0000"/>
      </w:tblPr>
      <w:tblGrid>
        <w:gridCol w:w="417"/>
        <w:gridCol w:w="2085"/>
        <w:gridCol w:w="198"/>
        <w:gridCol w:w="636"/>
        <w:gridCol w:w="4500"/>
        <w:gridCol w:w="624"/>
      </w:tblGrid>
      <w:tr w:rsidTr="00A422B0">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rPr>
                <w:rStyle w:val="SpecialBold"/>
              </w:rPr>
              <w:t>PERFORMANCE CRITE</w:t>
            </w:r>
            <w:r w:rsidRPr="00732359">
              <w:rPr>
                <w:rStyle w:val="SpecialBold"/>
              </w:rPr>
              <w:t>RIA</w:t>
            </w:r>
          </w:p>
        </w:tc>
      </w:tr>
      <w:tr w:rsidTr="00A422B0">
        <w:tblPrEx>
          <w:tblW w:w="0" w:type="auto"/>
          <w:tblLayout w:type="fixed"/>
          <w:tblCellMar>
            <w:left w:w="62" w:type="dxa"/>
            <w:right w:w="62" w:type="dxa"/>
          </w:tblCellMar>
          <w:tblLook w:val="0000"/>
        </w:tblPrEx>
        <w:trPr>
          <w:gridAfter w:val="1"/>
          <w:wAfter w:w="624" w:type="dxa"/>
        </w:trPr>
        <w:tc>
          <w:tcPr>
            <w:tcW w:w="417"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1</w:t>
            </w:r>
          </w:p>
        </w:tc>
        <w:tc>
          <w:tcPr>
            <w:tcW w:w="2085" w:type="dxa"/>
            <w:vMerge w:val="restart"/>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Prepare to find and repair faults.</w:t>
            </w:r>
          </w:p>
        </w:tc>
        <w:tc>
          <w:tcPr>
            <w:tcW w:w="834"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1.1</w:t>
            </w:r>
          </w:p>
        </w:tc>
        <w:tc>
          <w:tcPr>
            <w:tcW w:w="450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 xml:space="preserve">OHS procedures for a given work area are identified, obtained and understood.  </w:t>
            </w:r>
          </w:p>
        </w:tc>
      </w:tr>
      <w:tr w:rsidTr="00A422B0">
        <w:tblPrEx>
          <w:tblW w:w="0" w:type="auto"/>
          <w:tblLayout w:type="fixed"/>
          <w:tblCellMar>
            <w:left w:w="62" w:type="dxa"/>
            <w:right w:w="62" w:type="dxa"/>
          </w:tblCellMar>
          <w:tblLook w:val="0000"/>
        </w:tblPrEx>
        <w:trPr>
          <w:gridAfter w:val="1"/>
          <w:wAfter w:w="624" w:type="dxa"/>
        </w:trPr>
        <w:tc>
          <w:tcPr>
            <w:tcW w:w="4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1.2</w:t>
            </w:r>
          </w:p>
        </w:tc>
        <w:tc>
          <w:tcPr>
            <w:tcW w:w="450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OHS risk control measures and procedures are followed in preparation for the work.</w:t>
            </w:r>
          </w:p>
        </w:tc>
      </w:tr>
      <w:tr w:rsidTr="00A422B0">
        <w:tblPrEx>
          <w:tblW w:w="0" w:type="auto"/>
          <w:tblLayout w:type="fixed"/>
          <w:tblCellMar>
            <w:left w:w="62" w:type="dxa"/>
            <w:right w:w="62" w:type="dxa"/>
          </w:tblCellMar>
          <w:tblLook w:val="0000"/>
        </w:tblPrEx>
        <w:trPr>
          <w:gridAfter w:val="1"/>
          <w:wAfter w:w="624" w:type="dxa"/>
        </w:trPr>
        <w:tc>
          <w:tcPr>
            <w:tcW w:w="4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1.3</w:t>
            </w:r>
          </w:p>
        </w:tc>
        <w:tc>
          <w:tcPr>
            <w:tcW w:w="450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The nature of the fault is obtained from documentation, work supervisor and customer to establish the scope of work to be undertaken.</w:t>
            </w:r>
          </w:p>
        </w:tc>
      </w:tr>
      <w:tr w:rsidTr="00A422B0">
        <w:tblPrEx>
          <w:tblW w:w="0" w:type="auto"/>
          <w:tblLayout w:type="fixed"/>
          <w:tblCellMar>
            <w:left w:w="62" w:type="dxa"/>
            <w:right w:w="62" w:type="dxa"/>
          </w:tblCellMar>
          <w:tblLook w:val="0000"/>
        </w:tblPrEx>
        <w:trPr>
          <w:gridAfter w:val="1"/>
          <w:wAfter w:w="624" w:type="dxa"/>
        </w:trPr>
        <w:tc>
          <w:tcPr>
            <w:tcW w:w="4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1.4</w:t>
            </w:r>
          </w:p>
        </w:tc>
        <w:tc>
          <w:tcPr>
            <w:tcW w:w="450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 xml:space="preserve">Advice is sought from the work supervisor to ensure the work is co-ordinated effectively with others. </w:t>
            </w:r>
          </w:p>
        </w:tc>
      </w:tr>
      <w:tr w:rsidTr="00A422B0">
        <w:tblPrEx>
          <w:tblW w:w="0" w:type="auto"/>
          <w:tblLayout w:type="fixed"/>
          <w:tblCellMar>
            <w:left w:w="62" w:type="dxa"/>
            <w:right w:w="62" w:type="dxa"/>
          </w:tblCellMar>
          <w:tblLook w:val="0000"/>
        </w:tblPrEx>
        <w:trPr>
          <w:gridAfter w:val="1"/>
          <w:wAfter w:w="624" w:type="dxa"/>
        </w:trPr>
        <w:tc>
          <w:tcPr>
            <w:tcW w:w="4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1.5</w:t>
            </w:r>
          </w:p>
        </w:tc>
        <w:tc>
          <w:tcPr>
            <w:tcW w:w="450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Sources of materials that may be required for the work are established in accordance with established procedures.</w:t>
            </w:r>
          </w:p>
        </w:tc>
      </w:tr>
      <w:tr w:rsidTr="00A422B0">
        <w:tblPrEx>
          <w:tblW w:w="0" w:type="auto"/>
          <w:tblLayout w:type="fixed"/>
          <w:tblCellMar>
            <w:left w:w="62" w:type="dxa"/>
            <w:right w:w="62" w:type="dxa"/>
          </w:tblCellMar>
          <w:tblLook w:val="0000"/>
        </w:tblPrEx>
        <w:trPr>
          <w:gridAfter w:val="1"/>
          <w:wAfter w:w="624" w:type="dxa"/>
        </w:trPr>
        <w:tc>
          <w:tcPr>
            <w:tcW w:w="4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1.6</w:t>
            </w:r>
          </w:p>
        </w:tc>
        <w:tc>
          <w:tcPr>
            <w:tcW w:w="450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Tools, equipment and testing devices needed to carry out the work are obtained in accordance with established procedures and checked f</w:t>
            </w:r>
            <w:r w:rsidRPr="00732359">
              <w:t>or correct operation and safety.</w:t>
            </w:r>
          </w:p>
        </w:tc>
      </w:tr>
      <w:tr w:rsidTr="00A422B0">
        <w:tblPrEx>
          <w:tblW w:w="0" w:type="auto"/>
          <w:tblLayout w:type="fixed"/>
          <w:tblCellMar>
            <w:left w:w="62" w:type="dxa"/>
            <w:right w:w="62" w:type="dxa"/>
          </w:tblCellMar>
          <w:tblLook w:val="0000"/>
        </w:tblPrEx>
        <w:trPr>
          <w:gridAfter w:val="1"/>
          <w:wAfter w:w="624" w:type="dxa"/>
        </w:trPr>
        <w:tc>
          <w:tcPr>
            <w:tcW w:w="417"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2</w:t>
            </w:r>
          </w:p>
        </w:tc>
        <w:tc>
          <w:tcPr>
            <w:tcW w:w="2085" w:type="dxa"/>
            <w:vMerge w:val="restart"/>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t>Find and repair faults.</w:t>
            </w:r>
          </w:p>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2.1</w:t>
            </w:r>
          </w:p>
        </w:tc>
        <w:tc>
          <w:tcPr>
            <w:tcW w:w="450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OHS risk control measures and procedures for carrying out the work are followed.</w:t>
            </w:r>
          </w:p>
        </w:tc>
      </w:tr>
      <w:tr w:rsidTr="00A422B0">
        <w:tblPrEx>
          <w:tblW w:w="0" w:type="auto"/>
          <w:tblLayout w:type="fixed"/>
          <w:tblCellMar>
            <w:left w:w="62" w:type="dxa"/>
            <w:right w:w="62" w:type="dxa"/>
          </w:tblCellMar>
          <w:tblLook w:val="0000"/>
        </w:tblPrEx>
        <w:trPr>
          <w:gridAfter w:val="1"/>
          <w:wAfter w:w="624" w:type="dxa"/>
        </w:trPr>
        <w:tc>
          <w:tcPr>
            <w:tcW w:w="4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2.2</w:t>
            </w:r>
          </w:p>
        </w:tc>
        <w:tc>
          <w:tcPr>
            <w:tcW w:w="450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Apparatus is checked as being isolated where necessary in strict accordance OHS requirements and procedures.</w:t>
            </w:r>
          </w:p>
        </w:tc>
      </w:tr>
      <w:tr w:rsidTr="00A422B0">
        <w:tblPrEx>
          <w:tblW w:w="0" w:type="auto"/>
          <w:tblLayout w:type="fixed"/>
          <w:tblCellMar>
            <w:left w:w="62" w:type="dxa"/>
            <w:right w:w="62" w:type="dxa"/>
          </w:tblCellMar>
          <w:tblLook w:val="0000"/>
        </w:tblPrEx>
        <w:trPr>
          <w:gridAfter w:val="1"/>
          <w:wAfter w:w="624" w:type="dxa"/>
        </w:trPr>
        <w:tc>
          <w:tcPr>
            <w:tcW w:w="4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2.3</w:t>
            </w:r>
          </w:p>
        </w:tc>
        <w:tc>
          <w:tcPr>
            <w:tcW w:w="450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Fault finding is approached methodically drawing on knowledge of remote control apparatus using measured and calculated values of operating</w:t>
            </w:r>
            <w:r w:rsidRPr="00732359">
              <w:t xml:space="preserve"> parameters and referenced to manufacturer’s specifications. </w:t>
            </w:r>
          </w:p>
        </w:tc>
      </w:tr>
      <w:tr w:rsidTr="00A422B0">
        <w:tblPrEx>
          <w:tblW w:w="0" w:type="auto"/>
          <w:tblLayout w:type="fixed"/>
          <w:tblCellMar>
            <w:left w:w="62" w:type="dxa"/>
            <w:right w:w="62" w:type="dxa"/>
          </w:tblCellMar>
          <w:tblLook w:val="0000"/>
        </w:tblPrEx>
        <w:trPr>
          <w:gridAfter w:val="1"/>
          <w:wAfter w:w="624" w:type="dxa"/>
        </w:trPr>
        <w:tc>
          <w:tcPr>
            <w:tcW w:w="4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2.4</w:t>
            </w:r>
          </w:p>
        </w:tc>
        <w:tc>
          <w:tcPr>
            <w:tcW w:w="450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Equipment components are dismantled where necessary and parts stored to protect them against loss or damage.</w:t>
            </w:r>
          </w:p>
        </w:tc>
      </w:tr>
      <w:tr w:rsidTr="00A422B0">
        <w:tblPrEx>
          <w:tblW w:w="0" w:type="auto"/>
          <w:tblLayout w:type="fixed"/>
          <w:tblCellMar>
            <w:left w:w="62" w:type="dxa"/>
            <w:right w:w="62" w:type="dxa"/>
          </w:tblCellMar>
          <w:tblLook w:val="0000"/>
        </w:tblPrEx>
        <w:trPr>
          <w:gridAfter w:val="1"/>
          <w:wAfter w:w="624" w:type="dxa"/>
        </w:trPr>
        <w:tc>
          <w:tcPr>
            <w:tcW w:w="4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2.5</w:t>
            </w:r>
          </w:p>
        </w:tc>
        <w:tc>
          <w:tcPr>
            <w:tcW w:w="450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Faulty components are rechecked and their fault status confirmed.</w:t>
            </w:r>
          </w:p>
        </w:tc>
      </w:tr>
      <w:tr w:rsidTr="00A422B0">
        <w:tblPrEx>
          <w:tblW w:w="0" w:type="auto"/>
          <w:tblLayout w:type="fixed"/>
          <w:tblCellMar>
            <w:left w:w="62" w:type="dxa"/>
            <w:right w:w="62" w:type="dxa"/>
          </w:tblCellMar>
          <w:tblLook w:val="0000"/>
        </w:tblPrEx>
        <w:trPr>
          <w:gridAfter w:val="1"/>
          <w:wAfter w:w="624" w:type="dxa"/>
        </w:trPr>
        <w:tc>
          <w:tcPr>
            <w:tcW w:w="4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2.6</w:t>
            </w:r>
          </w:p>
        </w:tc>
        <w:tc>
          <w:tcPr>
            <w:tcW w:w="450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Faulty components are readjusted or replace in accordance with established procedures.</w:t>
            </w:r>
          </w:p>
        </w:tc>
      </w:tr>
      <w:tr w:rsidTr="00A422B0">
        <w:tblPrEx>
          <w:tblW w:w="0" w:type="auto"/>
          <w:tblLayout w:type="fixed"/>
          <w:tblCellMar>
            <w:left w:w="62" w:type="dxa"/>
            <w:right w:w="62" w:type="dxa"/>
          </w:tblCellMar>
          <w:tblLook w:val="0000"/>
        </w:tblPrEx>
        <w:trPr>
          <w:gridAfter w:val="1"/>
          <w:wAfter w:w="624" w:type="dxa"/>
        </w:trPr>
        <w:tc>
          <w:tcPr>
            <w:tcW w:w="4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2.7</w:t>
            </w:r>
          </w:p>
        </w:tc>
        <w:tc>
          <w:tcPr>
            <w:tcW w:w="450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Effectiveness of the repaired component is tested in accordance with established procedures.</w:t>
            </w:r>
          </w:p>
        </w:tc>
      </w:tr>
      <w:tr w:rsidTr="00A422B0">
        <w:tblPrEx>
          <w:tblW w:w="0" w:type="auto"/>
          <w:tblLayout w:type="fixed"/>
          <w:tblCellMar>
            <w:left w:w="62" w:type="dxa"/>
            <w:right w:w="62" w:type="dxa"/>
          </w:tblCellMar>
          <w:tblLook w:val="0000"/>
        </w:tblPrEx>
        <w:trPr>
          <w:gridAfter w:val="1"/>
          <w:wAfter w:w="624" w:type="dxa"/>
        </w:trPr>
        <w:tc>
          <w:tcPr>
            <w:tcW w:w="4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2.8</w:t>
            </w:r>
          </w:p>
        </w:tc>
        <w:tc>
          <w:tcPr>
            <w:tcW w:w="450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Apparatus is reassembled, finally tested and prepared for return to customer.</w:t>
            </w:r>
          </w:p>
        </w:tc>
      </w:tr>
      <w:tr w:rsidTr="00A422B0">
        <w:tblPrEx>
          <w:tblW w:w="0" w:type="auto"/>
          <w:tblLayout w:type="fixed"/>
          <w:tblCellMar>
            <w:left w:w="62" w:type="dxa"/>
            <w:right w:w="62" w:type="dxa"/>
          </w:tblCellMar>
          <w:tblLook w:val="0000"/>
        </w:tblPrEx>
        <w:trPr>
          <w:gridAfter w:val="1"/>
          <w:wAfter w:w="624" w:type="dxa"/>
        </w:trPr>
        <w:tc>
          <w:tcPr>
            <w:tcW w:w="4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2.9</w:t>
            </w:r>
          </w:p>
        </w:tc>
        <w:tc>
          <w:tcPr>
            <w:tcW w:w="450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Unexpected situations are dealt with safely and with the approval of an authorised person.</w:t>
            </w:r>
          </w:p>
        </w:tc>
      </w:tr>
      <w:tr w:rsidTr="00A422B0">
        <w:tblPrEx>
          <w:tblW w:w="0" w:type="auto"/>
          <w:tblLayout w:type="fixed"/>
          <w:tblCellMar>
            <w:left w:w="62" w:type="dxa"/>
            <w:right w:w="62" w:type="dxa"/>
          </w:tblCellMar>
          <w:tblLook w:val="0000"/>
        </w:tblPrEx>
        <w:trPr>
          <w:gridAfter w:val="1"/>
          <w:wAfter w:w="624" w:type="dxa"/>
        </w:trPr>
        <w:tc>
          <w:tcPr>
            <w:tcW w:w="4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2.10</w:t>
            </w:r>
          </w:p>
        </w:tc>
        <w:tc>
          <w:tcPr>
            <w:tcW w:w="450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Fault</w:t>
            </w:r>
            <w:r w:rsidRPr="00732359">
              <w:t xml:space="preserve"> finding and repair activities are carried out efficiently without waste of materials or damage to apparatus and the surrounding environment or services and using sustainable energy practices.</w:t>
            </w:r>
          </w:p>
        </w:tc>
      </w:tr>
      <w:tr w:rsidTr="00A422B0">
        <w:tblPrEx>
          <w:tblW w:w="0" w:type="auto"/>
          <w:tblLayout w:type="fixed"/>
          <w:tblCellMar>
            <w:left w:w="62" w:type="dxa"/>
            <w:right w:w="62" w:type="dxa"/>
          </w:tblCellMar>
          <w:tblLook w:val="0000"/>
        </w:tblPrEx>
        <w:trPr>
          <w:gridAfter w:val="1"/>
          <w:wAfter w:w="624" w:type="dxa"/>
        </w:trPr>
        <w:tc>
          <w:tcPr>
            <w:tcW w:w="417"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3</w:t>
            </w:r>
          </w:p>
        </w:tc>
        <w:tc>
          <w:tcPr>
            <w:tcW w:w="2085" w:type="dxa"/>
            <w:vMerge w:val="restart"/>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Completion and report fault finding and repair activities.</w:t>
            </w:r>
          </w:p>
        </w:tc>
        <w:tc>
          <w:tcPr>
            <w:tcW w:w="834"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3</w:t>
            </w:r>
            <w:r w:rsidRPr="00732359">
              <w:t>.1</w:t>
            </w:r>
          </w:p>
        </w:tc>
        <w:tc>
          <w:tcPr>
            <w:tcW w:w="450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OHS work completion risk control measures and procedures are followed.</w:t>
            </w:r>
          </w:p>
        </w:tc>
      </w:tr>
      <w:tr w:rsidTr="00A422B0">
        <w:tblPrEx>
          <w:tblW w:w="0" w:type="auto"/>
          <w:tblLayout w:type="fixed"/>
          <w:tblCellMar>
            <w:left w:w="62" w:type="dxa"/>
            <w:right w:w="62" w:type="dxa"/>
          </w:tblCellMar>
          <w:tblLook w:val="0000"/>
        </w:tblPrEx>
        <w:trPr>
          <w:gridAfter w:val="1"/>
          <w:wAfter w:w="624" w:type="dxa"/>
        </w:trPr>
        <w:tc>
          <w:tcPr>
            <w:tcW w:w="4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3.2</w:t>
            </w:r>
          </w:p>
        </w:tc>
        <w:tc>
          <w:tcPr>
            <w:tcW w:w="450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Work area is cleaned and made safe in accordance with established procedures.</w:t>
            </w:r>
          </w:p>
        </w:tc>
      </w:tr>
      <w:tr w:rsidTr="00A422B0">
        <w:tblPrEx>
          <w:tblW w:w="0" w:type="auto"/>
          <w:tblLayout w:type="fixed"/>
          <w:tblCellMar>
            <w:left w:w="62" w:type="dxa"/>
            <w:right w:w="62" w:type="dxa"/>
          </w:tblCellMar>
          <w:tblLook w:val="0000"/>
        </w:tblPrEx>
        <w:trPr>
          <w:gridAfter w:val="1"/>
          <w:wAfter w:w="624" w:type="dxa"/>
        </w:trPr>
        <w:tc>
          <w:tcPr>
            <w:tcW w:w="4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3.3</w:t>
            </w:r>
          </w:p>
        </w:tc>
        <w:tc>
          <w:tcPr>
            <w:tcW w:w="450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Written justification is made for repairs to apparatus including components and materials used.</w:t>
            </w:r>
          </w:p>
        </w:tc>
      </w:tr>
      <w:tr w:rsidTr="00A422B0">
        <w:tblPrEx>
          <w:tblW w:w="0" w:type="auto"/>
          <w:tblLayout w:type="fixed"/>
          <w:tblCellMar>
            <w:left w:w="62" w:type="dxa"/>
            <w:right w:w="62" w:type="dxa"/>
          </w:tblCellMar>
          <w:tblLook w:val="0000"/>
        </w:tblPrEx>
        <w:trPr>
          <w:gridAfter w:val="1"/>
          <w:wAfter w:w="624" w:type="dxa"/>
        </w:trPr>
        <w:tc>
          <w:tcPr>
            <w:tcW w:w="4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3.4</w:t>
            </w:r>
          </w:p>
        </w:tc>
        <w:tc>
          <w:tcPr>
            <w:tcW w:w="4500" w:type="dxa"/>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t>Acceptance that the reported fault(s) have been repaired is sought from an appropriate person in accordance with established procedures.</w:t>
            </w:r>
          </w:p>
        </w:tc>
      </w:tr>
    </w:tbl>
    <w:p w:rsidR="00000000" w:rsidRPr="00732359" w:rsidP="00732359">
      <w:pPr>
        <w:pStyle w:val="BodyText"/>
      </w:pPr>
    </w:p>
    <w:p w:rsidR="00000000" w:rsidRPr="00732359" w:rsidP="00732359">
      <w:pPr>
        <w:pStyle w:val="AllowPageBreak"/>
      </w:pPr>
    </w:p>
    <w:p w:rsidR="00000000" w:rsidRPr="00732359" w:rsidP="00732359">
      <w:pPr>
        <w:pStyle w:val="Heading1"/>
      </w:pPr>
      <w:bookmarkStart w:id="9" w:name="O_587355"/>
      <w:bookmarkEnd w:id="9"/>
      <w:r w:rsidRPr="00732359">
        <w:t>Required Skills and Knowledge</w:t>
      </w:r>
    </w:p>
    <w:tbl>
      <w:tblPr>
        <w:tblW w:w="0" w:type="auto"/>
        <w:tblLayout w:type="fixed"/>
        <w:tblCellMar>
          <w:left w:w="62" w:type="dxa"/>
          <w:right w:w="62" w:type="dxa"/>
        </w:tblCellMar>
        <w:tblLook w:val="0000"/>
      </w:tblPr>
      <w:tblGrid>
        <w:gridCol w:w="8460"/>
      </w:tblGrid>
      <w:tr w:rsidTr="00A422B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rPr>
                <w:rStyle w:val="SpecialBold"/>
              </w:rPr>
              <w:t>REQUIRED SKILLS AND KNOWLEDGE</w:t>
            </w:r>
          </w:p>
        </w:tc>
      </w:tr>
      <w:tr w:rsidTr="00A422B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rPr>
                <w:rStyle w:val="SpecialBold"/>
              </w:rPr>
              <w:t>8)</w:t>
            </w:r>
            <w:r w:rsidRPr="00732359">
              <w:t xml:space="preserve"> This describes the essential skills and knowledge and their level, required for this unit.</w:t>
            </w:r>
          </w:p>
          <w:p w:rsidR="00000000" w:rsidRPr="00732359" w:rsidP="00732359">
            <w:pPr>
              <w:pStyle w:val="BodyText"/>
            </w:pPr>
            <w:r w:rsidRPr="00732359">
              <w:t xml:space="preserve">Evidence shall show that knowledge has been acquired of safe working practices and finding and repairing faults in remote control apparatus. </w:t>
            </w:r>
          </w:p>
          <w:p w:rsidR="00000000" w:rsidRPr="00732359" w:rsidP="00732359">
            <w:pPr>
              <w:pStyle w:val="BodyText"/>
            </w:pPr>
            <w:r w:rsidRPr="00732359">
              <w:t>All knowledge and skills detailed in this unit should be contextualised to current industry practices and technolo</w:t>
            </w:r>
            <w:r w:rsidRPr="00732359">
              <w:t>gies.</w:t>
            </w:r>
          </w:p>
          <w:p w:rsidR="00000000" w:rsidRPr="00732359" w:rsidP="00732359">
            <w:pPr>
              <w:pStyle w:val="BodyText"/>
            </w:pPr>
            <w:r w:rsidRPr="00732359">
              <w:rPr>
                <w:rStyle w:val="SpecialBold"/>
              </w:rPr>
              <w:t>KS01-EH122A</w:t>
            </w:r>
            <w:r w:rsidRPr="00732359">
              <w:rPr>
                <w:rStyle w:val="SpecialBold"/>
              </w:rPr>
              <w:tab/>
              <w:t xml:space="preserve">              Hand held remote control units</w:t>
            </w:r>
          </w:p>
          <w:p w:rsidR="00000000" w:rsidRPr="00732359" w:rsidP="00732359">
            <w:pPr>
              <w:pStyle w:val="BodyText"/>
            </w:pPr>
            <w:r w:rsidRPr="00732359">
              <w:t>Evidence shall show an understanding of hand held remote control unit fault finding and repair, applying safe working practices and relevant Standards, Codes and Regulations to an extent indica</w:t>
            </w:r>
            <w:r w:rsidRPr="00732359">
              <w:t>ted by the following aspects:</w:t>
            </w:r>
          </w:p>
          <w:p w:rsidR="00000000" w:rsidRPr="00732359" w:rsidP="00732359">
            <w:pPr>
              <w:pStyle w:val="BodyText"/>
            </w:pPr>
            <w:r w:rsidRPr="00732359">
              <w:t>T1.</w:t>
            </w:r>
            <w:r w:rsidRPr="00732359">
              <w:tab/>
              <w:t>Remote control requirements</w:t>
            </w:r>
          </w:p>
          <w:p w:rsidR="00000000" w:rsidRPr="00732359" w:rsidP="00732359">
            <w:pPr>
              <w:pStyle w:val="ListBullet"/>
            </w:pPr>
            <w:r w:rsidRPr="00732359">
              <w:t>Specifications</w:t>
            </w:r>
          </w:p>
          <w:p w:rsidR="00000000" w:rsidRPr="00732359" w:rsidP="00732359">
            <w:pPr>
              <w:pStyle w:val="ListBullet"/>
            </w:pPr>
            <w:r w:rsidRPr="00732359">
              <w:t>multiple systems</w:t>
            </w:r>
          </w:p>
          <w:p w:rsidR="00000000" w:rsidRPr="00732359" w:rsidP="00732359">
            <w:pPr>
              <w:pStyle w:val="ListBullet"/>
            </w:pPr>
            <w:r w:rsidRPr="00732359">
              <w:t>code formats</w:t>
            </w:r>
          </w:p>
          <w:p w:rsidR="00000000" w:rsidRPr="00732359" w:rsidP="00732359">
            <w:pPr>
              <w:pStyle w:val="ListBullet"/>
            </w:pPr>
            <w:r w:rsidRPr="00732359">
              <w:t>bit sync</w:t>
            </w:r>
          </w:p>
          <w:p w:rsidR="00000000" w:rsidRPr="00732359" w:rsidP="00732359">
            <w:pPr>
              <w:pStyle w:val="ListBullet"/>
            </w:pPr>
            <w:r w:rsidRPr="00732359">
              <w:t>system address</w:t>
            </w:r>
          </w:p>
          <w:p w:rsidR="00000000" w:rsidRPr="00732359" w:rsidP="00732359">
            <w:pPr>
              <w:pStyle w:val="ListBullet"/>
            </w:pPr>
            <w:r w:rsidRPr="00732359">
              <w:t>commands, timing (clock accuracy)</w:t>
            </w:r>
          </w:p>
          <w:p w:rsidR="00000000" w:rsidRPr="00732359" w:rsidP="00732359">
            <w:pPr>
              <w:pStyle w:val="ListBullet"/>
            </w:pPr>
            <w:r w:rsidRPr="00732359">
              <w:t>modulation system</w:t>
            </w:r>
          </w:p>
          <w:p w:rsidR="00000000" w:rsidRPr="00732359" w:rsidP="00732359">
            <w:pPr>
              <w:pStyle w:val="ListBullet"/>
            </w:pPr>
            <w:r w:rsidRPr="00732359">
              <w:t xml:space="preserve">infrared system </w:t>
            </w:r>
          </w:p>
          <w:p w:rsidR="00000000" w:rsidRPr="00732359" w:rsidP="00732359">
            <w:pPr>
              <w:pStyle w:val="ListBullet"/>
            </w:pPr>
            <w:r w:rsidRPr="00732359">
              <w:t>transmission errors</w:t>
            </w:r>
          </w:p>
          <w:p w:rsidR="00000000" w:rsidRPr="00732359" w:rsidP="00732359">
            <w:pPr>
              <w:pStyle w:val="ListBullet"/>
            </w:pPr>
            <w:r w:rsidRPr="00732359">
              <w:t>methods used to reduce battery power</w:t>
            </w:r>
          </w:p>
          <w:p w:rsidR="00000000" w:rsidRPr="00732359" w:rsidP="00732359">
            <w:pPr>
              <w:pStyle w:val="ListBullet"/>
            </w:pPr>
            <w:r w:rsidRPr="00732359">
              <w:t>key scanning and displays</w:t>
            </w:r>
          </w:p>
          <w:p w:rsidR="00000000" w:rsidRPr="00732359" w:rsidP="00732359">
            <w:pPr>
              <w:pStyle w:val="BodyText"/>
            </w:pPr>
            <w:r w:rsidRPr="00732359">
              <w:t>T2.</w:t>
            </w:r>
            <w:r w:rsidRPr="00732359">
              <w:tab/>
              <w:t>Data monitoring</w:t>
            </w:r>
          </w:p>
          <w:p w:rsidR="00000000" w:rsidRPr="00732359" w:rsidP="00732359">
            <w:pPr>
              <w:pStyle w:val="ListBullet"/>
            </w:pPr>
            <w:r w:rsidRPr="00732359">
              <w:t>Points</w:t>
            </w:r>
          </w:p>
          <w:p w:rsidR="00000000" w:rsidRPr="00732359" w:rsidP="00732359">
            <w:pPr>
              <w:pStyle w:val="ListBullet"/>
            </w:pPr>
            <w:r w:rsidRPr="00732359">
              <w:t>timing and amplitude specifications</w:t>
            </w:r>
          </w:p>
          <w:p w:rsidR="00000000" w:rsidRPr="00732359" w:rsidP="00732359">
            <w:pPr>
              <w:pStyle w:val="ListBullet"/>
            </w:pPr>
            <w:r w:rsidRPr="00732359">
              <w:t>triggering of serial data</w:t>
            </w:r>
          </w:p>
          <w:p w:rsidR="00000000" w:rsidRPr="00732359" w:rsidP="00732359">
            <w:pPr>
              <w:pStyle w:val="ListBullet"/>
            </w:pPr>
            <w:r w:rsidRPr="00732359">
              <w:t>data/graticule alignment</w:t>
            </w:r>
          </w:p>
          <w:p w:rsidR="00000000" w:rsidRPr="00732359" w:rsidP="00732359">
            <w:pPr>
              <w:pStyle w:val="ListBullet"/>
            </w:pPr>
            <w:r w:rsidRPr="00732359">
              <w:t>identify and decode start bits</w:t>
            </w:r>
          </w:p>
          <w:p w:rsidR="00000000" w:rsidRPr="00732359" w:rsidP="00732359">
            <w:pPr>
              <w:pStyle w:val="ListBullet"/>
            </w:pPr>
            <w:r w:rsidRPr="00732359">
              <w:t>system address bits, command bits</w:t>
            </w:r>
          </w:p>
          <w:p w:rsidR="00000000" w:rsidRPr="00732359" w:rsidP="00732359">
            <w:pPr>
              <w:pStyle w:val="ListBullet"/>
            </w:pPr>
            <w:r w:rsidRPr="00732359">
              <w:t>stop bits</w:t>
            </w:r>
          </w:p>
          <w:p w:rsidR="00000000" w:rsidRPr="00732359" w:rsidP="00732359">
            <w:pPr>
              <w:pStyle w:val="ListBullet"/>
            </w:pPr>
            <w:r w:rsidRPr="00732359">
              <w:t>loa</w:t>
            </w:r>
            <w:r w:rsidRPr="00732359">
              <w:t>d and other bits</w:t>
            </w:r>
          </w:p>
          <w:p w:rsidR="00000000" w:rsidRPr="00732359" w:rsidP="00732359">
            <w:pPr>
              <w:pStyle w:val="BodyText"/>
            </w:pPr>
            <w:r w:rsidRPr="00732359">
              <w:t>T3.</w:t>
            </w:r>
            <w:r w:rsidRPr="00732359">
              <w:tab/>
              <w:t>Remote control measurements</w:t>
            </w:r>
          </w:p>
          <w:p w:rsidR="00000000" w:rsidRPr="00732359" w:rsidP="00732359">
            <w:pPr>
              <w:pStyle w:val="ListBullet"/>
            </w:pPr>
            <w:r w:rsidRPr="00732359">
              <w:t>battery voltage range, stand-by current and transmit current</w:t>
            </w:r>
          </w:p>
          <w:p w:rsidR="00000000" w:rsidRPr="00732359" w:rsidP="00732359">
            <w:pPr>
              <w:pStyle w:val="ListBullet"/>
            </w:pPr>
            <w:r w:rsidRPr="00732359">
              <w:t>DC voltage and waveforms on IC pins</w:t>
            </w:r>
          </w:p>
          <w:p w:rsidR="00000000" w:rsidRPr="00732359" w:rsidP="00732359">
            <w:pPr>
              <w:pStyle w:val="ListBullet"/>
            </w:pPr>
            <w:r w:rsidRPr="00732359">
              <w:t>Frequencies</w:t>
            </w:r>
          </w:p>
          <w:p w:rsidR="00000000" w:rsidRPr="00732359" w:rsidP="00732359">
            <w:pPr>
              <w:pStyle w:val="BodyText"/>
            </w:pPr>
            <w:r w:rsidRPr="00732359">
              <w:t>T4.</w:t>
            </w:r>
            <w:r w:rsidRPr="00732359">
              <w:tab/>
              <w:t>System controller requirements including remote, local, main housekeeping.</w:t>
            </w:r>
          </w:p>
          <w:p w:rsidR="00000000" w:rsidRPr="00732359" w:rsidP="00732359">
            <w:pPr>
              <w:pStyle w:val="BodyText"/>
            </w:pPr>
            <w:r w:rsidRPr="00732359">
              <w:t>T5.</w:t>
            </w:r>
            <w:r w:rsidRPr="00732359">
              <w:tab/>
            </w:r>
            <w:r w:rsidRPr="00732359">
              <w:t>Methods of inter-chip data communications</w:t>
            </w:r>
          </w:p>
          <w:p w:rsidR="00000000" w:rsidRPr="00732359" w:rsidP="00732359">
            <w:pPr>
              <w:pStyle w:val="BodyText"/>
            </w:pPr>
            <w:r w:rsidRPr="00732359">
              <w:t>T6.</w:t>
            </w:r>
            <w:r w:rsidRPr="00732359">
              <w:tab/>
              <w:t>Fault identification and repair</w:t>
            </w:r>
          </w:p>
        </w:tc>
      </w:tr>
    </w:tbl>
    <w:p w:rsidR="00000000" w:rsidRPr="00732359" w:rsidP="00732359">
      <w:pPr>
        <w:pStyle w:val="BodyText"/>
      </w:pPr>
    </w:p>
    <w:p w:rsidR="00000000" w:rsidRPr="00732359" w:rsidP="00732359">
      <w:pPr>
        <w:pStyle w:val="AllowPageBreak"/>
      </w:pPr>
    </w:p>
    <w:p w:rsidR="00000000" w:rsidRPr="00732359" w:rsidP="00732359">
      <w:pPr>
        <w:pStyle w:val="Heading1"/>
      </w:pPr>
      <w:bookmarkStart w:id="10" w:name="O_587354"/>
      <w:bookmarkEnd w:id="10"/>
      <w:r w:rsidRPr="00732359">
        <w:t>Evidence Guide</w:t>
      </w:r>
    </w:p>
    <w:tbl>
      <w:tblPr>
        <w:tblW w:w="0" w:type="auto"/>
        <w:tblLayout w:type="fixed"/>
        <w:tblCellMar>
          <w:left w:w="62" w:type="dxa"/>
          <w:right w:w="62" w:type="dxa"/>
        </w:tblCellMar>
        <w:tblLook w:val="0000"/>
      </w:tblPr>
      <w:tblGrid>
        <w:gridCol w:w="8460"/>
      </w:tblGrid>
      <w:tr w:rsidTr="00A422B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rPr>
                <w:rStyle w:val="SpecialBold"/>
              </w:rPr>
              <w:t>EVIDENCE GUIDE</w:t>
            </w:r>
          </w:p>
        </w:tc>
      </w:tr>
      <w:tr w:rsidTr="00A422B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rPr>
                <w:rStyle w:val="SpecialBold"/>
              </w:rPr>
              <w:t>9)</w:t>
            </w:r>
            <w:r w:rsidRPr="00732359">
              <w:t xml:space="preserve"> The evidence guide provides advice on assessment and must be read in conjunction with the Performance </w:t>
            </w:r>
            <w:r w:rsidRPr="00732359">
              <w:t>Criteria, Required Skills and Knowledge, the Range Statement and the Assessment Guidelines for this Training Package. .</w:t>
            </w:r>
          </w:p>
          <w:p w:rsidR="00000000" w:rsidRPr="00732359" w:rsidP="00732359">
            <w:pPr>
              <w:pStyle w:val="BodyText"/>
            </w:pPr>
            <w:r w:rsidRPr="00732359">
              <w:t>The Evidence Guide forms an integral part of this unit. It must be used in conjunction with all parts of the unit and performed in accor</w:t>
            </w:r>
            <w:r w:rsidRPr="00732359">
              <w:t>dance with the Assessment Guidelines of this Training Package.</w:t>
            </w:r>
          </w:p>
        </w:tc>
      </w:tr>
    </w:tbl>
    <w:p w:rsidR="00000000" w:rsidRPr="00732359" w:rsidP="00732359">
      <w:pPr>
        <w:pStyle w:val="BodyText"/>
      </w:pPr>
    </w:p>
    <w:tbl>
      <w:tblPr>
        <w:tblW w:w="0" w:type="auto"/>
        <w:tblLayout w:type="fixed"/>
        <w:tblCellMar>
          <w:left w:w="62" w:type="dxa"/>
          <w:right w:w="62" w:type="dxa"/>
        </w:tblCellMar>
        <w:tblLook w:val="0000"/>
      </w:tblPr>
      <w:tblGrid>
        <w:gridCol w:w="1890"/>
        <w:gridCol w:w="6570"/>
      </w:tblGrid>
      <w:tr w:rsidTr="00A422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rPr>
                <w:rStyle w:val="SpecialBold"/>
              </w:rPr>
              <w:t>9.1)</w:t>
            </w:r>
          </w:p>
        </w:tc>
      </w:tr>
      <w:tr w:rsidTr="00A422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t>Longitudinal competency development approaches to assessment, such as Profiling, require data to be reliably gathered in a form that can be consistently interpre</w:t>
            </w:r>
            <w:r w:rsidRPr="00732359">
              <w:t xml:space="preserve">ted over time. This approach is best utilised in Apprenticeship programs and reduces assessment intervention. It is the Industry-preferred model for apprenticeships. However, where summative (or final) assessment is used it must include the application of </w:t>
            </w:r>
            <w:r w:rsidRPr="00732359">
              <w:t>the competency in the normal work environment or, at a minimum, the application of the competency in a realistically simulated work environment. It is recognised that, in some circumstances, assessment in part or full can occur outside the workplace. Howev</w:t>
            </w:r>
            <w:r w:rsidRPr="00732359">
              <w:t>er, it must be in accord with industry and regulatory policy.</w:t>
            </w:r>
          </w:p>
          <w:p w:rsidR="00000000" w:rsidRPr="00732359" w:rsidP="00732359">
            <w:pPr>
              <w:pStyle w:val="BodyText"/>
            </w:pPr>
            <w:r w:rsidRPr="00732359">
              <w:t>Methods chosen for a particular assessment will be influenced by various factors. These include the extent of the assessment, the most effective locations for the assessment activities to take p</w:t>
            </w:r>
            <w:r w:rsidRPr="00732359">
              <w:t>lace, access to physical resources, additional safety measures that may be required and the critical nature of the competencies being assessed.</w:t>
            </w:r>
          </w:p>
          <w:p w:rsidR="00000000" w:rsidRPr="00732359" w:rsidP="00732359">
            <w:pPr>
              <w:pStyle w:val="BodyText"/>
            </w:pPr>
            <w:r w:rsidRPr="00732359">
              <w:t>The critical safety nature of working with electricity, electrical equipment, gas or any other hazardous substan</w:t>
            </w:r>
            <w:r w:rsidRPr="00732359">
              <w:t>ce/material carries risk in deeming a person competent. Sources of evidence need to be ‘rich’ in nature to minimise error in judgment.</w:t>
            </w:r>
          </w:p>
          <w:p w:rsidR="00000000" w:rsidRPr="00732359" w:rsidP="00732359">
            <w:pPr>
              <w:pStyle w:val="BodyText"/>
            </w:pPr>
            <w:r w:rsidRPr="00732359">
              <w:t>Activities associated with normal everyday work influence decisions about how/how much the data gathered will contribute to its ‘richness’. Some skills are more critical to safety and operational requirements while the same skills may be more or less frequ</w:t>
            </w:r>
            <w:r w:rsidRPr="00732359">
              <w:t>ently practised.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732359" w:rsidP="00732359">
      <w:pPr>
        <w:pStyle w:val="BodyText"/>
      </w:pPr>
    </w:p>
    <w:tbl>
      <w:tblPr>
        <w:tblW w:w="9801" w:type="dxa"/>
        <w:tblLayout w:type="fixed"/>
        <w:tblCellMar>
          <w:left w:w="62" w:type="dxa"/>
          <w:right w:w="62" w:type="dxa"/>
        </w:tblCellMar>
        <w:tblLook w:val="0000"/>
      </w:tblPr>
      <w:tblGrid>
        <w:gridCol w:w="1842"/>
        <w:gridCol w:w="48"/>
        <w:gridCol w:w="6021"/>
        <w:gridCol w:w="549"/>
        <w:gridCol w:w="1341"/>
      </w:tblGrid>
      <w:tr w:rsidTr="00A422B0">
        <w:tblPrEx>
          <w:tblW w:w="9801" w:type="dxa"/>
          <w:tblLayout w:type="fixed"/>
          <w:tblCellMar>
            <w:left w:w="62" w:type="dxa"/>
            <w:right w:w="62" w:type="dxa"/>
          </w:tblCellMar>
          <w:tblLook w:val="0000"/>
        </w:tblPrEx>
        <w:trPr>
          <w:gridAfter w:val="1"/>
          <w:wAfter w:w="1341" w:type="dxa"/>
        </w:trPr>
        <w:tc>
          <w:tcPr>
            <w:tcW w:w="1890" w:type="dxa"/>
            <w:gridSpan w:val="2"/>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rPr>
                <w:rStyle w:val="SpecialBold"/>
              </w:rPr>
              <w:t>9.2)</w:t>
            </w:r>
          </w:p>
        </w:tc>
      </w:tr>
      <w:tr w:rsidTr="00A422B0">
        <w:tblPrEx>
          <w:tblW w:w="9801" w:type="dxa"/>
          <w:tblLayout w:type="fixed"/>
          <w:tblCellMar>
            <w:left w:w="62" w:type="dxa"/>
            <w:right w:w="62" w:type="dxa"/>
          </w:tblCellMar>
          <w:tblLook w:val="0000"/>
        </w:tblPrEx>
        <w:trPr>
          <w:gridAfter w:val="1"/>
          <w:wAfter w:w="1341"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t>Before the critical aspects of evidence are considered all prerequisites shall be met.</w:t>
            </w:r>
          </w:p>
          <w:p w:rsidR="00000000" w:rsidRPr="00732359" w:rsidP="00732359">
            <w:pPr>
              <w:pStyle w:val="BodyText"/>
            </w:pPr>
            <w:r w:rsidRPr="00732359">
              <w:t>Evidence for competence in this unit shall be considered holistically.  Each Elem</w:t>
            </w:r>
            <w:r w:rsidRPr="00732359">
              <w:t>ent and associated performance criteria shall be demonstrated on at least two occasions in accordance with the ‘Assessment Guidelines – UEE11’.  Evidence shall also comprise:</w:t>
            </w:r>
          </w:p>
          <w:p w:rsidR="00000000" w:rsidRPr="00732359" w:rsidP="00732359">
            <w:pPr>
              <w:pStyle w:val="ListBullet"/>
            </w:pPr>
            <w:r w:rsidRPr="00732359">
              <w:t>A representative body of work performance demonstrated within the timeframes typ</w:t>
            </w:r>
            <w:r w:rsidRPr="00732359">
              <w:t>ically expected of the discipline, work function and industrial environment. In particular this shall incorporate evidence that shows a candidate is able to:</w:t>
            </w:r>
          </w:p>
          <w:p w:rsidR="00000000" w:rsidRPr="00732359" w:rsidP="00732359">
            <w:pPr>
              <w:pStyle w:val="ListBullet2"/>
            </w:pPr>
            <w:r w:rsidRPr="00732359">
              <w:t xml:space="preserve">Implement Occupational Health and Safety workplace procedures and practices, including </w:t>
            </w:r>
            <w:r w:rsidRPr="00732359">
              <w:t>the use of risk control measures as specified in the performance criteria and range statement</w:t>
            </w:r>
          </w:p>
          <w:p w:rsidR="00000000" w:rsidRPr="00732359" w:rsidP="00732359">
            <w:pPr>
              <w:pStyle w:val="ListBullet2"/>
            </w:pPr>
            <w:r w:rsidRPr="00732359">
              <w:t>Apply sustainable energy principles and practices as specified in the performance criteria and range statement</w:t>
            </w:r>
          </w:p>
          <w:p w:rsidR="00000000" w:rsidRPr="00732359" w:rsidP="00732359">
            <w:pPr>
              <w:pStyle w:val="ListBullet2"/>
            </w:pPr>
            <w:r w:rsidRPr="00732359">
              <w:t>Demonstrate an understanding of the essential knowl</w:t>
            </w:r>
            <w:r w:rsidRPr="00732359">
              <w:t>edge and associated skills as described in this unit.  It may be required by some jurisdictions that RTOs provide a percentile graded result for the purpose of regulatory or licensing requirements.</w:t>
            </w:r>
          </w:p>
          <w:p w:rsidR="00000000" w:rsidRPr="00732359" w:rsidP="00732359">
            <w:pPr>
              <w:pStyle w:val="ListBullet2"/>
            </w:pPr>
            <w:r w:rsidRPr="00732359">
              <w:t>Demonstrate an appropriate level of skills enabling employ</w:t>
            </w:r>
            <w:r w:rsidRPr="00732359">
              <w:t>ment</w:t>
            </w:r>
          </w:p>
          <w:p w:rsidR="00000000" w:rsidRPr="00732359" w:rsidP="00732359">
            <w:pPr>
              <w:pStyle w:val="ListBullet2"/>
            </w:pPr>
            <w:r w:rsidRPr="00732359">
              <w:t>Conduct work observing the relevant Anti Discrimination legislation, regulations, polices and workplace procedures</w:t>
            </w:r>
          </w:p>
          <w:p w:rsidR="00000000" w:rsidRPr="00732359" w:rsidP="00732359">
            <w:pPr>
              <w:pStyle w:val="ListBullet"/>
            </w:pPr>
            <w:r w:rsidRPr="00732359">
              <w:t>Demonstrated consistent performance across a representative range of contexts from the prescribed items below:</w:t>
            </w:r>
          </w:p>
          <w:p w:rsidR="00000000" w:rsidP="00732359">
            <w:pPr>
              <w:pStyle w:val="ListBullet2"/>
              <w:rPr>
                <w:lang w:val="en-NZ"/>
              </w:rPr>
            </w:pPr>
            <w:r w:rsidRPr="00732359">
              <w:t xml:space="preserve">Find and repair faults </w:t>
            </w:r>
            <w:r w:rsidRPr="00732359">
              <w:t>in remote control apparatus as described in 8) and including:</w:t>
            </w:r>
          </w:p>
        </w:tc>
      </w:tr>
      <w:tr w:rsidTr="00A422B0">
        <w:tblPrEx>
          <w:tblW w:w="9801" w:type="dxa"/>
          <w:tblLayout w:type="fixed"/>
          <w:tblCellMar>
            <w:left w:w="62" w:type="dxa"/>
            <w:right w:w="62" w:type="dxa"/>
          </w:tblCellMar>
          <w:tblLook w:val="0000"/>
        </w:tblPrEx>
        <w:trPr>
          <w:gridAfter w:val="2"/>
          <w:wAfter w:w="1890" w:type="dxa"/>
        </w:trPr>
        <w:tc>
          <w:tcPr>
            <w:tcW w:w="1842"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A</w:t>
            </w:r>
          </w:p>
        </w:tc>
        <w:tc>
          <w:tcPr>
            <w:tcW w:w="6069"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Using methodical fault finding techniques.</w:t>
            </w:r>
          </w:p>
        </w:tc>
      </w:tr>
      <w:tr w:rsidTr="00A422B0">
        <w:tblPrEx>
          <w:tblW w:w="9801" w:type="dxa"/>
          <w:tblLayout w:type="fixed"/>
          <w:tblCellMar>
            <w:left w:w="62" w:type="dxa"/>
            <w:right w:w="62" w:type="dxa"/>
          </w:tblCellMar>
          <w:tblLook w:val="0000"/>
        </w:tblPrEx>
        <w:trPr>
          <w:gridAfter w:val="2"/>
          <w:wAfter w:w="1890" w:type="dxa"/>
        </w:trPr>
        <w:tc>
          <w:tcPr>
            <w:tcW w:w="1842"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B</w:t>
            </w:r>
          </w:p>
        </w:tc>
        <w:tc>
          <w:tcPr>
            <w:tcW w:w="6069"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Finding faults efficiently.</w:t>
            </w:r>
          </w:p>
        </w:tc>
      </w:tr>
      <w:tr w:rsidTr="00A422B0">
        <w:tblPrEx>
          <w:tblW w:w="9801" w:type="dxa"/>
          <w:tblLayout w:type="fixed"/>
          <w:tblCellMar>
            <w:left w:w="62" w:type="dxa"/>
            <w:right w:w="62" w:type="dxa"/>
          </w:tblCellMar>
          <w:tblLook w:val="0000"/>
        </w:tblPrEx>
        <w:trPr>
          <w:gridAfter w:val="2"/>
          <w:wAfter w:w="1890" w:type="dxa"/>
        </w:trPr>
        <w:tc>
          <w:tcPr>
            <w:tcW w:w="1842"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C</w:t>
            </w:r>
          </w:p>
        </w:tc>
        <w:tc>
          <w:tcPr>
            <w:tcW w:w="6069"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Remove/adjusting/replacing components without damage.</w:t>
            </w:r>
          </w:p>
        </w:tc>
      </w:tr>
      <w:tr w:rsidTr="00A422B0">
        <w:tblPrEx>
          <w:tblW w:w="9801" w:type="dxa"/>
          <w:tblLayout w:type="fixed"/>
          <w:tblCellMar>
            <w:left w:w="62" w:type="dxa"/>
            <w:right w:w="62" w:type="dxa"/>
          </w:tblCellMar>
          <w:tblLook w:val="0000"/>
        </w:tblPrEx>
        <w:trPr>
          <w:gridAfter w:val="2"/>
          <w:wAfter w:w="1890" w:type="dxa"/>
        </w:trPr>
        <w:tc>
          <w:tcPr>
            <w:tcW w:w="1842"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D</w:t>
            </w:r>
          </w:p>
        </w:tc>
        <w:tc>
          <w:tcPr>
            <w:tcW w:w="6069"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Testing equipment operation.</w:t>
            </w:r>
          </w:p>
        </w:tc>
      </w:tr>
      <w:tr w:rsidTr="00A422B0">
        <w:tblPrEx>
          <w:tblW w:w="9801" w:type="dxa"/>
          <w:tblLayout w:type="fixed"/>
          <w:tblCellMar>
            <w:left w:w="62" w:type="dxa"/>
            <w:right w:w="62" w:type="dxa"/>
          </w:tblCellMar>
          <w:tblLook w:val="0000"/>
        </w:tblPrEx>
        <w:trPr>
          <w:gridAfter w:val="2"/>
          <w:wAfter w:w="1890" w:type="dxa"/>
        </w:trPr>
        <w:tc>
          <w:tcPr>
            <w:tcW w:w="1842"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E</w:t>
            </w:r>
          </w:p>
        </w:tc>
        <w:tc>
          <w:tcPr>
            <w:tcW w:w="6069"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Providing written justification for the repairs and obtain acceptance of repairs.</w:t>
            </w:r>
          </w:p>
        </w:tc>
      </w:tr>
      <w:tr w:rsidTr="00A422B0">
        <w:tblPrEx>
          <w:tblW w:w="9801" w:type="dxa"/>
          <w:tblLayout w:type="fixed"/>
          <w:tblCellMar>
            <w:left w:w="62" w:type="dxa"/>
            <w:right w:w="62" w:type="dxa"/>
          </w:tblCellMar>
          <w:tblLook w:val="0000"/>
        </w:tblPrEx>
        <w:trPr>
          <w:gridAfter w:val="2"/>
          <w:wAfter w:w="1890" w:type="dxa"/>
        </w:trPr>
        <w:tc>
          <w:tcPr>
            <w:tcW w:w="1842"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F</w:t>
            </w:r>
          </w:p>
        </w:tc>
        <w:tc>
          <w:tcPr>
            <w:tcW w:w="6069"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Dealing with unplanned events by drawing on essential knowledge and skills to provide appropriate solutions incorporated in a holistic assessment with the above listed ite</w:t>
            </w:r>
            <w:r w:rsidRPr="00732359">
              <w:t>ms.</w:t>
            </w:r>
          </w:p>
        </w:tc>
      </w:tr>
      <w:tr w:rsidTr="00A422B0">
        <w:tblPrEx>
          <w:tblW w:w="9801" w:type="dxa"/>
          <w:tblLayout w:type="fixed"/>
          <w:tblCellMar>
            <w:left w:w="62" w:type="dxa"/>
            <w:right w:w="62" w:type="dxa"/>
          </w:tblCellMar>
          <w:tblLook w:val="0000"/>
        </w:tblPrEx>
        <w:tc>
          <w:tcPr>
            <w:tcW w:w="9801" w:type="dxa"/>
            <w:gridSpan w:val="5"/>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t xml:space="preserve">Note: </w:t>
            </w:r>
          </w:p>
          <w:p w:rsidR="00000000" w:rsidRPr="00732359" w:rsidP="00732359">
            <w:pPr>
              <w:pStyle w:val="BodyText"/>
            </w:pPr>
            <w:r w:rsidRPr="00732359">
              <w:t>Successful completion of relevant vendor training may be used to contribute to evidence on which competency is deemed. In these c</w:t>
            </w:r>
            <w:r w:rsidRPr="00732359">
              <w:t>ases the alignment of outcomes of vendor training with performance criteria and critical aspects of evidence shall be clearly identified.</w:t>
            </w:r>
          </w:p>
        </w:tc>
      </w:tr>
    </w:tbl>
    <w:p w:rsidR="00000000" w:rsidRPr="00732359" w:rsidP="00732359">
      <w:pPr>
        <w:pStyle w:val="BodyText"/>
      </w:pPr>
    </w:p>
    <w:tbl>
      <w:tblPr>
        <w:tblW w:w="0" w:type="auto"/>
        <w:tblLayout w:type="fixed"/>
        <w:tblCellMar>
          <w:left w:w="62" w:type="dxa"/>
          <w:right w:w="62" w:type="dxa"/>
        </w:tblCellMar>
        <w:tblLook w:val="0000"/>
      </w:tblPr>
      <w:tblGrid>
        <w:gridCol w:w="1890"/>
        <w:gridCol w:w="6570"/>
      </w:tblGrid>
      <w:tr w:rsidTr="00A422B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rPr>
                <w:rStyle w:val="SpecialBold"/>
              </w:rPr>
              <w:t>9.3)</w:t>
            </w:r>
          </w:p>
        </w:tc>
      </w:tr>
      <w:tr w:rsidTr="00A422B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t>This unit should be assessed as it relates to n</w:t>
            </w:r>
            <w:r w:rsidRPr="00732359">
              <w:t>ormal work practice using procedures, information and resources typical of a workplace. This should include:</w:t>
            </w:r>
          </w:p>
          <w:p w:rsidR="00000000" w:rsidRPr="00732359" w:rsidP="00732359">
            <w:pPr>
              <w:pStyle w:val="ListBullet"/>
            </w:pPr>
            <w:r w:rsidRPr="00732359">
              <w:t>OHS policy and work procedures and instructions.</w:t>
            </w:r>
          </w:p>
          <w:p w:rsidR="00000000" w:rsidRPr="00732359" w:rsidP="00732359">
            <w:pPr>
              <w:pStyle w:val="ListBullet"/>
            </w:pPr>
            <w:r w:rsidRPr="00732359">
              <w:t>Suitable work environment, facilities, equipment and materials to undertake actual work as prescr</w:t>
            </w:r>
            <w:r w:rsidRPr="00732359">
              <w:t>ibed by this unit.</w:t>
            </w:r>
          </w:p>
          <w:p w:rsidR="00000000" w:rsidRPr="00732359" w:rsidP="00732359">
            <w:pPr>
              <w:pStyle w:val="BodyText"/>
            </w:pPr>
            <w:r w:rsidRPr="00732359">
              <w:t>These should be part of the formal learning/assessment environment.</w:t>
            </w:r>
          </w:p>
          <w:p w:rsidR="00000000" w:rsidRPr="00732359" w:rsidP="00732359">
            <w:pPr>
              <w:pStyle w:val="BodyText"/>
            </w:pPr>
            <w:r w:rsidRPr="00732359">
              <w:t>Note:</w:t>
            </w:r>
          </w:p>
          <w:p w:rsidR="00000000" w:rsidRPr="00732359" w:rsidP="00732359">
            <w:pPr>
              <w:pStyle w:val="BodyText"/>
            </w:pPr>
            <w:r w:rsidRPr="00732359">
              <w:t>Where simulation is considered a suitable strategy for assessment, conditions must be authentic and as far as possible reproduce and replicate the workplace and be</w:t>
            </w:r>
            <w:r w:rsidRPr="00732359">
              <w:t xml:space="preserve"> consistent with the approved industry simulation policy.</w:t>
            </w:r>
          </w:p>
          <w:p w:rsidR="00000000" w:rsidRPr="00732359" w:rsidP="00732359">
            <w:pPr>
              <w:pStyle w:val="BodyText"/>
            </w:pPr>
            <w:r w:rsidRPr="00732359">
              <w:t>The resources used for assessment should reflect current industry practices in relation to finding and repairing fault in remote control apparatus</w:t>
            </w:r>
          </w:p>
        </w:tc>
      </w:tr>
    </w:tbl>
    <w:p w:rsidR="00000000" w:rsidRPr="00732359" w:rsidP="00732359">
      <w:pPr>
        <w:pStyle w:val="BodyText"/>
      </w:pPr>
    </w:p>
    <w:tbl>
      <w:tblPr>
        <w:tblW w:w="0" w:type="auto"/>
        <w:tblLayout w:type="fixed"/>
        <w:tblCellMar>
          <w:left w:w="62" w:type="dxa"/>
          <w:right w:w="62" w:type="dxa"/>
        </w:tblCellMar>
        <w:tblLook w:val="0000"/>
      </w:tblPr>
      <w:tblGrid>
        <w:gridCol w:w="1890"/>
        <w:gridCol w:w="6570"/>
      </w:tblGrid>
      <w:tr w:rsidTr="00A422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rPr>
                <w:rStyle w:val="SpecialBold"/>
              </w:rPr>
              <w:t>9.4)</w:t>
            </w:r>
          </w:p>
        </w:tc>
      </w:tr>
      <w:tr w:rsidTr="00A422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t>This unit shall</w:t>
            </w:r>
            <w:r w:rsidRPr="00732359">
              <w:t xml:space="preserve"> be assessed by methods given in Volume 1, Part 3 ‘Assessment Guidelines’.</w:t>
            </w:r>
          </w:p>
          <w:p w:rsidR="00000000" w:rsidRPr="00732359" w:rsidP="00732359">
            <w:pPr>
              <w:pStyle w:val="BodyText"/>
            </w:pPr>
            <w:r w:rsidRPr="00732359">
              <w:t xml:space="preserve">Note: </w:t>
            </w:r>
          </w:p>
          <w:p w:rsidR="00000000" w:rsidRPr="00732359" w:rsidP="00732359">
            <w:pPr>
              <w:pStyle w:val="BodyText"/>
            </w:pPr>
            <w:r w:rsidRPr="00732359">
              <w:t>Competent performance with inherent safe working practices is expected in the industry to which this unit applies. This requires that the specified essential knowledge and as</w:t>
            </w:r>
            <w:r w:rsidRPr="00732359">
              <w:t>sociated skills are assessed in a structured environment which is primarily intended for learning/assessment and incorporates all necessary equipment and facilities for learners to develop and demonstrate the essential knowledge and skills described in thi</w:t>
            </w:r>
            <w:r w:rsidRPr="00732359">
              <w:t>s unit.</w:t>
            </w:r>
          </w:p>
        </w:tc>
      </w:tr>
    </w:tbl>
    <w:p w:rsidR="00000000" w:rsidRPr="00732359" w:rsidP="00732359">
      <w:pPr>
        <w:pStyle w:val="BodyText"/>
      </w:pPr>
    </w:p>
    <w:tbl>
      <w:tblPr>
        <w:tblW w:w="0" w:type="auto"/>
        <w:tblLayout w:type="fixed"/>
        <w:tblCellMar>
          <w:left w:w="62" w:type="dxa"/>
          <w:right w:w="62" w:type="dxa"/>
        </w:tblCellMar>
        <w:tblLook w:val="0000"/>
      </w:tblPr>
      <w:tblGrid>
        <w:gridCol w:w="1396"/>
        <w:gridCol w:w="494"/>
        <w:gridCol w:w="5991"/>
        <w:gridCol w:w="579"/>
      </w:tblGrid>
      <w:tr w:rsidTr="00A422B0">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rPr>
                <w:rStyle w:val="SpecialBold"/>
              </w:rPr>
              <w:t>9.5)</w:t>
            </w:r>
          </w:p>
        </w:tc>
      </w:tr>
      <w:tr w:rsidTr="00A422B0">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For optimisation of training and assessment effort, competency development in this unit may be arranged concurrently with unit:</w:t>
            </w:r>
          </w:p>
        </w:tc>
      </w:tr>
      <w:tr w:rsidTr="00A422B0">
        <w:tblPrEx>
          <w:tblW w:w="0" w:type="auto"/>
          <w:tblLayout w:type="fixed"/>
          <w:tblCellMar>
            <w:left w:w="62" w:type="dxa"/>
            <w:right w:w="62" w:type="dxa"/>
          </w:tblCellMar>
          <w:tblLook w:val="0000"/>
        </w:tblPrEx>
        <w:trPr>
          <w:gridAfter w:val="1"/>
          <w:wAfter w:w="579" w:type="dxa"/>
        </w:trPr>
        <w:tc>
          <w:tcPr>
            <w:tcW w:w="1396"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UEENEEH112A</w:t>
            </w:r>
          </w:p>
        </w:tc>
        <w:tc>
          <w:tcPr>
            <w:tcW w:w="6485"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 xml:space="preserve">Troubleshoot digital sub-systems    </w:t>
            </w:r>
          </w:p>
        </w:tc>
      </w:tr>
      <w:tr w:rsidTr="00A422B0">
        <w:tblPrEx>
          <w:tblW w:w="0" w:type="auto"/>
          <w:tblLayout w:type="fixed"/>
          <w:tblCellMar>
            <w:left w:w="62" w:type="dxa"/>
            <w:right w:w="62" w:type="dxa"/>
          </w:tblCellMar>
          <w:tblLook w:val="0000"/>
        </w:tblPrEx>
        <w:trPr>
          <w:gridAfter w:val="1"/>
          <w:wAfter w:w="579" w:type="dxa"/>
        </w:trPr>
        <w:tc>
          <w:tcPr>
            <w:tcW w:w="1396"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UEENEEH113A</w:t>
            </w:r>
          </w:p>
        </w:tc>
        <w:tc>
          <w:tcPr>
            <w:tcW w:w="6485"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 xml:space="preserve">Troubleshoot amplifiers in an electronic apparatus </w:t>
            </w:r>
          </w:p>
        </w:tc>
      </w:tr>
      <w:tr w:rsidTr="00A422B0">
        <w:tblPrEx>
          <w:tblW w:w="0" w:type="auto"/>
          <w:tblLayout w:type="fixed"/>
          <w:tblCellMar>
            <w:left w:w="62" w:type="dxa"/>
            <w:right w:w="62" w:type="dxa"/>
          </w:tblCellMar>
          <w:tblLook w:val="0000"/>
        </w:tblPrEx>
        <w:trPr>
          <w:gridAfter w:val="1"/>
          <w:wAfter w:w="579" w:type="dxa"/>
        </w:trPr>
        <w:tc>
          <w:tcPr>
            <w:tcW w:w="1396" w:type="dxa"/>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t>UEENEEH115A</w:t>
            </w:r>
          </w:p>
          <w:p w:rsidR="00000000">
            <w:pPr>
              <w:pStyle w:val="BodyText"/>
              <w:keepNext w:val="0"/>
              <w:keepLines w:val="0"/>
              <w:contextualSpacing w:val="0"/>
              <w:rPr>
                <w:rFonts w:ascii="Tahoma" w:hAnsi="Tahoma"/>
                <w:color w:val="000000"/>
                <w:sz w:val="20"/>
                <w:lang w:val="en-NZ"/>
              </w:rPr>
            </w:pPr>
          </w:p>
        </w:tc>
        <w:tc>
          <w:tcPr>
            <w:tcW w:w="6485"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 xml:space="preserve">Develop software solutions for microcontroller based systems                                                 </w:t>
            </w:r>
          </w:p>
        </w:tc>
      </w:tr>
      <w:tr w:rsidTr="00A422B0">
        <w:tblPrEx>
          <w:tblW w:w="0" w:type="auto"/>
          <w:tblLayout w:type="fixed"/>
          <w:tblCellMar>
            <w:left w:w="62" w:type="dxa"/>
            <w:right w:w="62" w:type="dxa"/>
          </w:tblCellMar>
          <w:tblLook w:val="0000"/>
        </w:tblPrEx>
        <w:trPr>
          <w:gridAfter w:val="1"/>
          <w:wAfter w:w="579" w:type="dxa"/>
        </w:trPr>
        <w:tc>
          <w:tcPr>
            <w:tcW w:w="1396"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 xml:space="preserve">UEENEEH138A </w:t>
            </w:r>
          </w:p>
        </w:tc>
        <w:tc>
          <w:tcPr>
            <w:tcW w:w="6485" w:type="dxa"/>
            <w:gridSpan w:val="2"/>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t xml:space="preserve">Fault find and repair complex power supplies </w:t>
            </w:r>
          </w:p>
        </w:tc>
      </w:tr>
      <w:tr w:rsidTr="00A422B0">
        <w:tblPrEx>
          <w:tblW w:w="0" w:type="auto"/>
          <w:tblLayout w:type="fixed"/>
          <w:tblCellMar>
            <w:left w:w="62" w:type="dxa"/>
            <w:right w:w="62" w:type="dxa"/>
          </w:tblCellMar>
          <w:tblLook w:val="0000"/>
        </w:tblPrEx>
        <w:trPr>
          <w:gridAfter w:val="1"/>
          <w:wAfter w:w="579" w:type="dxa"/>
        </w:trPr>
        <w:tc>
          <w:tcPr>
            <w:tcW w:w="7881" w:type="dxa"/>
            <w:gridSpan w:val="3"/>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t>The critical aspects of occupational health and safety covered in unit UEENEEE101A and other discipline specific occupational health and safety units shall be incorporated in relation to this unit.</w:t>
            </w:r>
          </w:p>
        </w:tc>
      </w:tr>
    </w:tbl>
    <w:p w:rsidR="00000000" w:rsidRPr="00732359" w:rsidP="00732359">
      <w:pPr>
        <w:pStyle w:val="BodyText"/>
      </w:pPr>
    </w:p>
    <w:p w:rsidR="00000000" w:rsidRPr="00732359" w:rsidP="00732359">
      <w:pPr>
        <w:pStyle w:val="AllowPageBreak"/>
      </w:pPr>
    </w:p>
    <w:p w:rsidR="00000000" w:rsidRPr="00732359" w:rsidP="00732359">
      <w:pPr>
        <w:pStyle w:val="Heading1"/>
      </w:pPr>
      <w:bookmarkStart w:id="11" w:name="O_587353"/>
      <w:bookmarkEnd w:id="11"/>
      <w:r w:rsidRPr="00732359">
        <w:t>Range Statement</w:t>
      </w:r>
    </w:p>
    <w:tbl>
      <w:tblPr>
        <w:tblW w:w="0" w:type="auto"/>
        <w:tblLayout w:type="fixed"/>
        <w:tblCellMar>
          <w:left w:w="62" w:type="dxa"/>
          <w:right w:w="62" w:type="dxa"/>
        </w:tblCellMar>
        <w:tblLook w:val="0000"/>
      </w:tblPr>
      <w:tblGrid>
        <w:gridCol w:w="8460"/>
      </w:tblGrid>
      <w:tr w:rsidTr="00A422B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rPr>
                <w:rStyle w:val="SpecialBold"/>
              </w:rPr>
              <w:t>RANGE STATEMENT</w:t>
            </w:r>
          </w:p>
        </w:tc>
      </w:tr>
      <w:tr w:rsidTr="00A422B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rPr>
                <w:rStyle w:val="SpecialBold"/>
              </w:rPr>
              <w:t>10)</w:t>
            </w:r>
            <w:r w:rsidRPr="00732359">
              <w:t xml:space="preserve"> This relates to the unit as a whole providing the range of contexts and conditions to which the performance criteria apply. It allows for different work environments and situations that will affect performance.</w:t>
            </w:r>
          </w:p>
          <w:p w:rsidR="00000000" w:rsidRPr="00732359" w:rsidP="00732359">
            <w:pPr>
              <w:pStyle w:val="BodyText"/>
            </w:pPr>
            <w:r w:rsidRPr="00732359">
              <w:t xml:space="preserve">This unit shall be demonstrated in relation </w:t>
            </w:r>
            <w:r w:rsidRPr="00732359">
              <w:t>to finding and repairing at least four faults in two different types of remote control devices.</w:t>
            </w:r>
          </w:p>
          <w:p w:rsidR="00000000" w:rsidRPr="00732359" w:rsidP="00732359">
            <w:pPr>
              <w:pStyle w:val="BodyText"/>
            </w:pPr>
            <w:r w:rsidRPr="00732359">
              <w:t>Generic terms used throughout this Vocational Standard shall be regarded as part of the Range Statement in which competency is demonstrated. The definition of t</w:t>
            </w:r>
            <w:r w:rsidRPr="00732359">
              <w:t>hese and other terms that apply are given in Volume 2, Part 2.1.</w:t>
            </w:r>
          </w:p>
        </w:tc>
      </w:tr>
    </w:tbl>
    <w:p w:rsidR="00000000" w:rsidRPr="00732359" w:rsidP="00732359">
      <w:pPr>
        <w:pStyle w:val="BodyText"/>
      </w:pPr>
    </w:p>
    <w:p w:rsidR="00000000" w:rsidRPr="00732359" w:rsidP="00732359">
      <w:pPr>
        <w:pStyle w:val="AllowPageBreak"/>
      </w:pPr>
    </w:p>
    <w:p w:rsidR="00000000" w:rsidRPr="00732359" w:rsidP="00732359">
      <w:pPr>
        <w:pStyle w:val="Heading1"/>
      </w:pPr>
      <w:bookmarkStart w:id="12" w:name="O_587352"/>
      <w:bookmarkEnd w:id="12"/>
      <w:r w:rsidRPr="00732359">
        <w:t>Unit Sector(s)</w:t>
      </w:r>
    </w:p>
    <w:p w:rsidR="00000000" w:rsidRPr="00732359" w:rsidP="00732359">
      <w:pPr>
        <w:pStyle w:val="BodyText"/>
      </w:pPr>
      <w:r w:rsidRPr="00732359">
        <w:t>Not applicable.</w:t>
      </w:r>
    </w:p>
    <w:p w:rsidR="00000000" w:rsidRPr="00732359" w:rsidP="00732359">
      <w:pPr>
        <w:pStyle w:val="AllowPageBreak"/>
      </w:pPr>
    </w:p>
    <w:p w:rsidR="00000000" w:rsidRPr="00732359" w:rsidP="00732359">
      <w:pPr>
        <w:pStyle w:val="Heading1"/>
      </w:pPr>
      <w:bookmarkStart w:id="13" w:name="O_587351"/>
      <w:bookmarkEnd w:id="13"/>
      <w:r w:rsidRPr="00732359">
        <w:t>Competency Field</w:t>
      </w:r>
    </w:p>
    <w:tbl>
      <w:tblPr>
        <w:tblW w:w="0" w:type="auto"/>
        <w:tblLayout w:type="fixed"/>
        <w:tblCellMar>
          <w:left w:w="62" w:type="dxa"/>
          <w:right w:w="62" w:type="dxa"/>
        </w:tblCellMar>
        <w:tblLook w:val="0000"/>
      </w:tblPr>
      <w:tblGrid>
        <w:gridCol w:w="2700"/>
        <w:gridCol w:w="5760"/>
      </w:tblGrid>
      <w:tr w:rsidTr="00A422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32359">
            <w:pPr>
              <w:pStyle w:val="BodyText"/>
              <w:rPr>
                <w:lang w:val="en-NZ"/>
              </w:rPr>
            </w:pPr>
            <w:r w:rsidRPr="00732359">
              <w:rPr>
                <w:rStyle w:val="SpecialBold"/>
              </w:rPr>
              <w:t xml:space="preserve">11) </w:t>
            </w:r>
          </w:p>
        </w:tc>
      </w:tr>
      <w:tr w:rsidTr="00A422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2359" w:rsidP="00732359">
            <w:pPr>
              <w:pStyle w:val="BodyText"/>
            </w:pPr>
            <w:r w:rsidRPr="00732359">
              <w:t>Electronics</w:t>
            </w:r>
          </w:p>
        </w:tc>
      </w:tr>
    </w:tbl>
    <w:p w:rsidR="00000000" w:rsidRPr="00732359" w:rsidP="00732359">
      <w:pPr>
        <w:pStyle w:val="BodyText"/>
      </w:pPr>
    </w:p>
    <w:p w:rsidR="00000000" w:rsidRPr="00732359" w:rsidP="00732359"/>
    <w:sectPr w:rsidSect="007323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3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359" w:rsidRPr="00A422B0" w:rsidP="00A422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3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2B0" w:rsidP="007323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422B0" w:rsidP="0073235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A422B0" w:rsidP="007323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3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359" w:rsidRPr="00A422B0" w:rsidP="00A422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3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2B0" w:rsidRPr="002D2AF8" w:rsidP="00732359">
    <w:pPr>
      <w:pStyle w:val="Header"/>
      <w:framePr w:wrap="around"/>
    </w:pPr>
    <w:r>
      <w:fldChar w:fldCharType="begin"/>
    </w:r>
    <w:r>
      <w:instrText xml:space="preserve"> TITLE   \* MERGEFORMAT </w:instrText>
    </w:r>
    <w:r>
      <w:fldChar w:fldCharType="separate"/>
    </w:r>
    <w:r>
      <w:t>UEENEEH122A Fault find and repair remote control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A422B0" w:rsidP="007323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94F8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3E21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CACB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3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2359"/>
    <w:pPr>
      <w:spacing w:before="360" w:after="60"/>
      <w:outlineLvl w:val="0"/>
    </w:pPr>
    <w:rPr>
      <w:sz w:val="32"/>
    </w:rPr>
  </w:style>
  <w:style w:type="paragraph" w:styleId="Heading2">
    <w:name w:val="heading 2"/>
    <w:basedOn w:val="HeadingBase"/>
    <w:next w:val="BodyText"/>
    <w:link w:val="Heading2Char"/>
    <w:qFormat/>
    <w:rsid w:val="00732359"/>
    <w:pPr>
      <w:keepLines/>
      <w:spacing w:before="240" w:after="120"/>
      <w:outlineLvl w:val="1"/>
    </w:pPr>
    <w:rPr>
      <w:sz w:val="28"/>
      <w:szCs w:val="40"/>
    </w:rPr>
  </w:style>
  <w:style w:type="paragraph" w:styleId="Heading3">
    <w:name w:val="heading 3"/>
    <w:basedOn w:val="HeadingBase"/>
    <w:next w:val="BodyText"/>
    <w:link w:val="Heading3Char"/>
    <w:qFormat/>
    <w:rsid w:val="00732359"/>
    <w:pPr>
      <w:spacing w:before="180" w:after="120"/>
      <w:outlineLvl w:val="2"/>
    </w:pPr>
    <w:rPr>
      <w:spacing w:val="-10"/>
      <w:kern w:val="32"/>
    </w:rPr>
  </w:style>
  <w:style w:type="paragraph" w:styleId="Heading4">
    <w:name w:val="heading 4"/>
    <w:basedOn w:val="HeadingBase"/>
    <w:next w:val="BodyText"/>
    <w:link w:val="Heading4Char"/>
    <w:qFormat/>
    <w:rsid w:val="00732359"/>
    <w:pPr>
      <w:spacing w:before="160" w:after="120"/>
      <w:outlineLvl w:val="3"/>
    </w:pPr>
    <w:rPr>
      <w:sz w:val="22"/>
    </w:rPr>
  </w:style>
  <w:style w:type="paragraph" w:styleId="Heading5">
    <w:name w:val="heading 5"/>
    <w:basedOn w:val="HeadingBase"/>
    <w:next w:val="Normal"/>
    <w:link w:val="Heading5Char"/>
    <w:qFormat/>
    <w:rsid w:val="00732359"/>
    <w:pPr>
      <w:spacing w:before="80"/>
      <w:outlineLvl w:val="4"/>
    </w:pPr>
    <w:rPr>
      <w:color w:val="918585"/>
      <w:sz w:val="20"/>
    </w:rPr>
  </w:style>
  <w:style w:type="paragraph" w:styleId="Heading6">
    <w:name w:val="heading 6"/>
    <w:basedOn w:val="HeadingBase"/>
    <w:next w:val="Normal"/>
    <w:link w:val="Heading6Char"/>
    <w:qFormat/>
    <w:rsid w:val="00732359"/>
    <w:pPr>
      <w:spacing w:before="60"/>
      <w:outlineLvl w:val="5"/>
    </w:pPr>
    <w:rPr>
      <w:color w:val="918585"/>
      <w:sz w:val="20"/>
    </w:rPr>
  </w:style>
  <w:style w:type="paragraph" w:styleId="Heading7">
    <w:name w:val="heading 7"/>
    <w:basedOn w:val="Normal"/>
    <w:next w:val="Normal"/>
    <w:link w:val="Heading7Char"/>
    <w:qFormat/>
    <w:rsid w:val="00732359"/>
    <w:pPr>
      <w:ind w:left="720"/>
      <w:outlineLvl w:val="6"/>
    </w:pPr>
    <w:rPr>
      <w:i/>
    </w:rPr>
  </w:style>
  <w:style w:type="paragraph" w:styleId="Heading8">
    <w:name w:val="heading 8"/>
    <w:basedOn w:val="Normal"/>
    <w:next w:val="Normal"/>
    <w:link w:val="Heading8Char"/>
    <w:qFormat/>
    <w:rsid w:val="00732359"/>
    <w:pPr>
      <w:ind w:left="720"/>
      <w:outlineLvl w:val="7"/>
    </w:pPr>
    <w:rPr>
      <w:i/>
    </w:rPr>
  </w:style>
  <w:style w:type="paragraph" w:styleId="Heading9">
    <w:name w:val="heading 9"/>
    <w:basedOn w:val="Normal"/>
    <w:next w:val="Normal"/>
    <w:link w:val="Heading9Char"/>
    <w:qFormat/>
    <w:rsid w:val="00732359"/>
    <w:pPr>
      <w:ind w:left="720"/>
      <w:outlineLvl w:val="8"/>
    </w:pPr>
    <w:rPr>
      <w:i/>
    </w:rPr>
  </w:style>
  <w:style w:type="character" w:default="1" w:styleId="DefaultParagraphFont">
    <w:name w:val="Default Paragraph Font"/>
    <w:uiPriority w:val="1"/>
    <w:unhideWhenUsed/>
    <w:rsid w:val="007323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2359"/>
  </w:style>
  <w:style w:type="character" w:customStyle="1" w:styleId="Heading1Char">
    <w:name w:val="Heading 1 Char"/>
    <w:basedOn w:val="DefaultParagraphFont"/>
    <w:link w:val="Heading1"/>
    <w:rsid w:val="00732359"/>
    <w:rPr>
      <w:rFonts w:ascii="Times New Roman" w:eastAsia="Times New Roman" w:hAnsi="Times New Roman" w:cs="Times New Roman"/>
      <w:b/>
      <w:sz w:val="32"/>
      <w:szCs w:val="20"/>
      <w:lang w:eastAsia="en-US"/>
    </w:rPr>
  </w:style>
  <w:style w:type="paragraph" w:styleId="BodyText">
    <w:name w:val="Body Text"/>
    <w:basedOn w:val="Normal"/>
    <w:link w:val="BodyTextChar"/>
    <w:rsid w:val="007323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2359"/>
    <w:rPr>
      <w:rFonts w:ascii="Times New Roman" w:eastAsia="Times New Roman" w:hAnsi="Times New Roman" w:cs="Times New Roman"/>
      <w:sz w:val="24"/>
      <w:lang w:eastAsia="en-US"/>
    </w:rPr>
  </w:style>
  <w:style w:type="paragraph" w:styleId="ListBullet">
    <w:name w:val="List Bullet"/>
    <w:basedOn w:val="List"/>
    <w:rsid w:val="00732359"/>
    <w:pPr>
      <w:numPr>
        <w:numId w:val="13"/>
      </w:numPr>
      <w:tabs>
        <w:tab w:val="clear" w:pos="340"/>
      </w:tabs>
      <w:spacing w:before="40" w:after="40"/>
    </w:pPr>
  </w:style>
  <w:style w:type="character" w:customStyle="1" w:styleId="SpecialBold">
    <w:name w:val="Special Bold"/>
    <w:basedOn w:val="DefaultParagraphFont"/>
    <w:rsid w:val="00732359"/>
    <w:rPr>
      <w:b/>
      <w:spacing w:val="0"/>
    </w:rPr>
  </w:style>
  <w:style w:type="paragraph" w:styleId="ListBullet2">
    <w:name w:val="List Bullet 2"/>
    <w:basedOn w:val="List2"/>
    <w:rsid w:val="00732359"/>
    <w:pPr>
      <w:numPr>
        <w:numId w:val="14"/>
      </w:numPr>
      <w:tabs>
        <w:tab w:val="clear" w:pos="680"/>
      </w:tabs>
    </w:pPr>
  </w:style>
  <w:style w:type="paragraph" w:customStyle="1" w:styleId="SuperHeading">
    <w:name w:val="SuperHeading"/>
    <w:basedOn w:val="Normal"/>
    <w:rsid w:val="00732359"/>
    <w:pPr>
      <w:spacing w:before="240" w:after="120"/>
      <w:outlineLvl w:val="0"/>
    </w:pPr>
    <w:rPr>
      <w:rFonts w:ascii="Times New Roman" w:hAnsi="Times New Roman"/>
      <w:b/>
      <w:sz w:val="32"/>
    </w:rPr>
  </w:style>
  <w:style w:type="paragraph" w:customStyle="1" w:styleId="AllowPageBreak">
    <w:name w:val="AllowPageBreak"/>
    <w:rsid w:val="007323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23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23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23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23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23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23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23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2359"/>
    <w:rPr>
      <w:rFonts w:ascii="Courier New" w:eastAsia="Times New Roman" w:hAnsi="Courier New" w:cs="Times New Roman"/>
      <w:i/>
      <w:szCs w:val="20"/>
      <w:lang w:eastAsia="en-US"/>
    </w:rPr>
  </w:style>
  <w:style w:type="paragraph" w:customStyle="1" w:styleId="HeadingBase">
    <w:name w:val="Heading Base"/>
    <w:rsid w:val="007323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2359"/>
    <w:pPr>
      <w:tabs>
        <w:tab w:val="right" w:leader="dot" w:pos="9072"/>
      </w:tabs>
      <w:ind w:left="567"/>
    </w:pPr>
    <w:rPr>
      <w:szCs w:val="22"/>
    </w:rPr>
  </w:style>
  <w:style w:type="paragraph" w:customStyle="1" w:styleId="TOCBase">
    <w:name w:val="TOC Base"/>
    <w:rsid w:val="007323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2359"/>
    <w:pPr>
      <w:tabs>
        <w:tab w:val="right" w:leader="dot" w:pos="9072"/>
      </w:tabs>
      <w:spacing w:before="40" w:after="40"/>
      <w:ind w:left="284"/>
    </w:pPr>
    <w:rPr>
      <w:rFonts w:ascii="Times New Roman" w:hAnsi="Times New Roman"/>
    </w:rPr>
  </w:style>
  <w:style w:type="paragraph" w:styleId="TOC1">
    <w:name w:val="toc 1"/>
    <w:basedOn w:val="TOCBase"/>
    <w:next w:val="Normal"/>
    <w:rsid w:val="007323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23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2359"/>
    <w:rPr>
      <w:rFonts w:ascii="Times New Roman" w:eastAsia="Times New Roman" w:hAnsi="Times New Roman" w:cs="Times New Roman"/>
      <w:sz w:val="16"/>
      <w:lang w:eastAsia="en-US"/>
    </w:rPr>
  </w:style>
  <w:style w:type="paragraph" w:styleId="Title">
    <w:name w:val="Title"/>
    <w:basedOn w:val="HeadingBase"/>
    <w:link w:val="TitleChar"/>
    <w:qFormat/>
    <w:rsid w:val="00732359"/>
    <w:pPr>
      <w:spacing w:before="5040"/>
      <w:jc w:val="center"/>
    </w:pPr>
    <w:rPr>
      <w:sz w:val="48"/>
      <w:szCs w:val="72"/>
      <w:lang w:val="en-US"/>
    </w:rPr>
  </w:style>
  <w:style w:type="character" w:customStyle="1" w:styleId="TitleChar">
    <w:name w:val="Title Char"/>
    <w:basedOn w:val="DefaultParagraphFont"/>
    <w:link w:val="Title"/>
    <w:rsid w:val="007323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2359"/>
    <w:pPr>
      <w:tabs>
        <w:tab w:val="left" w:pos="3600"/>
        <w:tab w:val="left" w:pos="3958"/>
      </w:tabs>
    </w:pPr>
  </w:style>
  <w:style w:type="paragraph" w:styleId="List">
    <w:name w:val="List"/>
    <w:basedOn w:val="BodyText"/>
    <w:next w:val="BodyText"/>
    <w:rsid w:val="00732359"/>
    <w:pPr>
      <w:tabs>
        <w:tab w:val="left" w:pos="340"/>
      </w:tabs>
      <w:spacing w:before="60" w:after="60"/>
      <w:ind w:left="340" w:hanging="340"/>
    </w:pPr>
  </w:style>
  <w:style w:type="paragraph" w:customStyle="1" w:styleId="Note">
    <w:name w:val="Note"/>
    <w:basedOn w:val="BodyText"/>
    <w:rsid w:val="007323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2359"/>
    <w:pPr>
      <w:framePr w:wrap="auto" w:hAnchor="text" w:y="6049"/>
    </w:pPr>
    <w:rPr>
      <w:color w:val="000000"/>
      <w:sz w:val="40"/>
    </w:rPr>
  </w:style>
  <w:style w:type="paragraph" w:customStyle="1" w:styleId="TOCTitle">
    <w:name w:val="TOCTitle"/>
    <w:basedOn w:val="Heading1"/>
    <w:rsid w:val="00732359"/>
    <w:pPr>
      <w:spacing w:after="240"/>
      <w:jc w:val="center"/>
      <w:outlineLvl w:val="9"/>
    </w:pPr>
    <w:rPr>
      <w:caps/>
    </w:rPr>
  </w:style>
  <w:style w:type="paragraph" w:customStyle="1" w:styleId="Version">
    <w:name w:val="Version"/>
    <w:rsid w:val="007323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2359"/>
    <w:pPr>
      <w:keepNext w:val="0"/>
      <w:tabs>
        <w:tab w:val="right" w:pos="4176"/>
      </w:tabs>
      <w:ind w:left="198" w:hanging="198"/>
    </w:pPr>
    <w:rPr>
      <w:rFonts w:ascii="Garamond" w:hAnsi="Garamond"/>
    </w:rPr>
  </w:style>
  <w:style w:type="paragraph" w:styleId="IndexHeading">
    <w:name w:val="index heading"/>
    <w:basedOn w:val="Normal"/>
    <w:next w:val="Index1"/>
    <w:semiHidden/>
    <w:rsid w:val="00732359"/>
    <w:pPr>
      <w:spacing w:before="120" w:after="120"/>
    </w:pPr>
    <w:rPr>
      <w:rFonts w:ascii="Arial" w:hAnsi="Arial"/>
      <w:b/>
      <w:color w:val="918585"/>
      <w:sz w:val="24"/>
    </w:rPr>
  </w:style>
  <w:style w:type="paragraph" w:styleId="Header">
    <w:name w:val="header"/>
    <w:basedOn w:val="Normal"/>
    <w:link w:val="HeaderChar"/>
    <w:rsid w:val="007323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2359"/>
    <w:rPr>
      <w:rFonts w:ascii="Times New Roman" w:eastAsia="Times New Roman" w:hAnsi="Times New Roman" w:cs="Times New Roman"/>
      <w:sz w:val="16"/>
      <w:szCs w:val="20"/>
      <w:lang w:val="en-GB" w:eastAsia="en-US"/>
    </w:rPr>
  </w:style>
  <w:style w:type="paragraph" w:customStyle="1" w:styleId="Chapter">
    <w:name w:val="Chapter"/>
    <w:basedOn w:val="Normal"/>
    <w:rsid w:val="00732359"/>
    <w:pPr>
      <w:spacing w:before="240"/>
    </w:pPr>
    <w:rPr>
      <w:rFonts w:ascii="Times New Roman" w:hAnsi="Times New Roman"/>
      <w:smallCaps/>
      <w:spacing w:val="80"/>
      <w:sz w:val="28"/>
    </w:rPr>
  </w:style>
  <w:style w:type="paragraph" w:customStyle="1" w:styleId="InChapter">
    <w:name w:val="InChapter"/>
    <w:basedOn w:val="Heading3"/>
    <w:rsid w:val="00732359"/>
    <w:pPr>
      <w:spacing w:after="240"/>
      <w:outlineLvl w:val="9"/>
    </w:pPr>
    <w:rPr>
      <w:noProof/>
    </w:rPr>
  </w:style>
  <w:style w:type="paragraph" w:styleId="Index2">
    <w:name w:val="index 2"/>
    <w:basedOn w:val="Normal"/>
    <w:next w:val="Normal"/>
    <w:semiHidden/>
    <w:rsid w:val="00732359"/>
    <w:pPr>
      <w:tabs>
        <w:tab w:val="right" w:pos="4176"/>
      </w:tabs>
      <w:ind w:left="568" w:hanging="284"/>
    </w:pPr>
    <w:rPr>
      <w:rFonts w:ascii="Garamond" w:hAnsi="Garamond"/>
    </w:rPr>
  </w:style>
  <w:style w:type="paragraph" w:customStyle="1" w:styleId="Byline">
    <w:name w:val="Byline"/>
    <w:rsid w:val="007323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2359"/>
    <w:pPr>
      <w:tabs>
        <w:tab w:val="clear" w:pos="3600"/>
        <w:tab w:val="clear" w:pos="3958"/>
      </w:tabs>
      <w:jc w:val="right"/>
    </w:pPr>
  </w:style>
  <w:style w:type="character" w:styleId="Emphasis">
    <w:name w:val="Emphasis"/>
    <w:basedOn w:val="DefaultParagraphFont"/>
    <w:qFormat/>
    <w:rsid w:val="00732359"/>
    <w:rPr>
      <w:i/>
    </w:rPr>
  </w:style>
  <w:style w:type="paragraph" w:styleId="Caption">
    <w:name w:val="caption"/>
    <w:basedOn w:val="BodyText"/>
    <w:next w:val="Normal"/>
    <w:qFormat/>
    <w:rsid w:val="00732359"/>
    <w:pPr>
      <w:framePr w:w="2268" w:hSpace="181" w:vSpace="181" w:wrap="around" w:vAnchor="text" w:hAnchor="page" w:x="1135" w:y="285" w:anchorLock="1"/>
    </w:pPr>
    <w:rPr>
      <w:i/>
    </w:rPr>
  </w:style>
  <w:style w:type="paragraph" w:customStyle="1" w:styleId="MiniTOCTitle">
    <w:name w:val="MiniTOCTitle"/>
    <w:basedOn w:val="Heading4"/>
    <w:rsid w:val="00732359"/>
    <w:pPr>
      <w:spacing w:before="240"/>
      <w:outlineLvl w:val="9"/>
    </w:pPr>
    <w:rPr>
      <w:noProof/>
      <w:sz w:val="24"/>
    </w:rPr>
  </w:style>
  <w:style w:type="paragraph" w:customStyle="1" w:styleId="MiniTOCItem">
    <w:name w:val="MiniTOCItem"/>
    <w:basedOn w:val="ListBullet"/>
    <w:rsid w:val="00732359"/>
    <w:pPr>
      <w:numPr>
        <w:numId w:val="0"/>
      </w:numPr>
      <w:tabs>
        <w:tab w:val="right" w:leader="dot" w:pos="6521"/>
      </w:tabs>
      <w:spacing w:before="0" w:after="0"/>
    </w:pPr>
  </w:style>
  <w:style w:type="paragraph" w:customStyle="1" w:styleId="TOFTitle">
    <w:name w:val="TOFTitle"/>
    <w:basedOn w:val="TOCTitle"/>
    <w:rsid w:val="00732359"/>
  </w:style>
  <w:style w:type="paragraph" w:styleId="TableofFigures">
    <w:name w:val="table of figures"/>
    <w:basedOn w:val="Normal"/>
    <w:next w:val="Normal"/>
    <w:semiHidden/>
    <w:rsid w:val="00732359"/>
    <w:pPr>
      <w:tabs>
        <w:tab w:val="right" w:leader="dot" w:pos="9072"/>
      </w:tabs>
      <w:ind w:left="970" w:hanging="403"/>
    </w:pPr>
    <w:rPr>
      <w:rFonts w:ascii="Times New Roman" w:hAnsi="Times New Roman"/>
      <w:b/>
    </w:rPr>
  </w:style>
  <w:style w:type="paragraph" w:styleId="ListNumber">
    <w:name w:val="List Number"/>
    <w:basedOn w:val="List"/>
    <w:rsid w:val="00732359"/>
    <w:pPr>
      <w:numPr>
        <w:numId w:val="11"/>
      </w:numPr>
    </w:pPr>
  </w:style>
  <w:style w:type="character" w:customStyle="1" w:styleId="WingdingSymbols">
    <w:name w:val="Wingding Symbols"/>
    <w:rsid w:val="00732359"/>
    <w:rPr>
      <w:rFonts w:ascii="Wingdings" w:hAnsi="Wingdings"/>
    </w:rPr>
  </w:style>
  <w:style w:type="paragraph" w:customStyle="1" w:styleId="TableHeading">
    <w:name w:val="Table Heading"/>
    <w:basedOn w:val="HeadingBase"/>
    <w:rsid w:val="00732359"/>
    <w:pPr>
      <w:keepLines/>
      <w:pBdr>
        <w:bottom w:val="single" w:sz="6" w:space="1" w:color="918585"/>
      </w:pBdr>
      <w:spacing w:before="240"/>
    </w:pPr>
  </w:style>
  <w:style w:type="character" w:customStyle="1" w:styleId="HotSpot">
    <w:name w:val="HotSpot"/>
    <w:rsid w:val="00732359"/>
    <w:rPr>
      <w:color w:val="0033CC"/>
      <w:u w:val="none"/>
    </w:rPr>
  </w:style>
  <w:style w:type="paragraph" w:customStyle="1" w:styleId="BodyTextRight">
    <w:name w:val="Body Text Right"/>
    <w:basedOn w:val="BodyText"/>
    <w:rsid w:val="00732359"/>
    <w:pPr>
      <w:spacing w:before="0" w:after="0"/>
      <w:jc w:val="right"/>
    </w:pPr>
  </w:style>
  <w:style w:type="paragraph" w:styleId="Index3">
    <w:name w:val="index 3"/>
    <w:basedOn w:val="ListNumber2"/>
    <w:next w:val="Normal"/>
    <w:semiHidden/>
    <w:rsid w:val="00732359"/>
    <w:pPr>
      <w:numPr>
        <w:numId w:val="0"/>
      </w:numPr>
      <w:tabs>
        <w:tab w:val="right" w:leader="dot" w:pos="4176"/>
      </w:tabs>
    </w:pPr>
  </w:style>
  <w:style w:type="paragraph" w:styleId="ListNumber2">
    <w:name w:val="List Number 2"/>
    <w:basedOn w:val="List2"/>
    <w:rsid w:val="00732359"/>
    <w:pPr>
      <w:numPr>
        <w:numId w:val="10"/>
      </w:numPr>
      <w:tabs>
        <w:tab w:val="clear" w:pos="1060"/>
      </w:tabs>
    </w:pPr>
  </w:style>
  <w:style w:type="paragraph" w:customStyle="1" w:styleId="MarginNote">
    <w:name w:val="Margin Note"/>
    <w:basedOn w:val="BodyText"/>
    <w:rsid w:val="007323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23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23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2359"/>
    <w:rPr>
      <w:sz w:val="32"/>
    </w:rPr>
  </w:style>
  <w:style w:type="paragraph" w:customStyle="1" w:styleId="HeadingProcedure">
    <w:name w:val="Heading Procedure"/>
    <w:basedOn w:val="HeadingBase"/>
    <w:next w:val="Normal"/>
    <w:rsid w:val="00732359"/>
    <w:pPr>
      <w:tabs>
        <w:tab w:val="left" w:pos="0"/>
      </w:tabs>
      <w:spacing w:before="120" w:after="60"/>
    </w:pPr>
    <w:rPr>
      <w:i/>
      <w:color w:val="918585"/>
      <w:sz w:val="22"/>
    </w:rPr>
  </w:style>
  <w:style w:type="paragraph" w:customStyle="1" w:styleId="TableBodyText">
    <w:name w:val="Table Body Text"/>
    <w:basedOn w:val="BodyText"/>
    <w:rsid w:val="00732359"/>
    <w:pPr>
      <w:spacing w:before="60" w:after="60"/>
    </w:pPr>
  </w:style>
  <w:style w:type="paragraph" w:styleId="ListContinue">
    <w:name w:val="List Continue"/>
    <w:basedOn w:val="List"/>
    <w:rsid w:val="00732359"/>
    <w:pPr>
      <w:ind w:firstLine="0"/>
    </w:pPr>
  </w:style>
  <w:style w:type="paragraph" w:customStyle="1" w:styleId="ListNote">
    <w:name w:val="List Note"/>
    <w:basedOn w:val="List"/>
    <w:rsid w:val="00732359"/>
    <w:pPr>
      <w:pBdr>
        <w:top w:val="single" w:sz="6" w:space="2" w:color="918585"/>
        <w:bottom w:val="single" w:sz="6" w:space="2" w:color="918585"/>
      </w:pBdr>
      <w:tabs>
        <w:tab w:val="left" w:pos="1021"/>
      </w:tabs>
      <w:ind w:firstLine="0"/>
    </w:pPr>
  </w:style>
  <w:style w:type="paragraph" w:customStyle="1" w:styleId="Warning">
    <w:name w:val="Warning"/>
    <w:basedOn w:val="BodyText"/>
    <w:rsid w:val="00732359"/>
    <w:pPr>
      <w:shd w:val="clear" w:color="auto" w:fill="D9D9D9"/>
      <w:tabs>
        <w:tab w:val="left" w:pos="992"/>
      </w:tabs>
      <w:ind w:left="119" w:right="119"/>
    </w:pPr>
    <w:rPr>
      <w:sz w:val="20"/>
    </w:rPr>
  </w:style>
  <w:style w:type="paragraph" w:customStyle="1" w:styleId="MarginIcons">
    <w:name w:val="Margin Icons"/>
    <w:basedOn w:val="BodyText"/>
    <w:rsid w:val="007323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2359"/>
    <w:rPr>
      <w:rFonts w:ascii="Courier New" w:hAnsi="Courier New"/>
    </w:rPr>
  </w:style>
  <w:style w:type="paragraph" w:customStyle="1" w:styleId="NoteBullet">
    <w:name w:val="Note Bullet"/>
    <w:basedOn w:val="Note"/>
    <w:rsid w:val="00732359"/>
    <w:pPr>
      <w:tabs>
        <w:tab w:val="clear" w:pos="680"/>
      </w:tabs>
      <w:spacing w:before="60" w:after="60"/>
    </w:pPr>
  </w:style>
  <w:style w:type="paragraph" w:customStyle="1" w:styleId="SubHeading2">
    <w:name w:val="SubHeading2"/>
    <w:basedOn w:val="HeadingBase"/>
    <w:rsid w:val="00732359"/>
    <w:pPr>
      <w:spacing w:before="240" w:after="60"/>
    </w:pPr>
    <w:rPr>
      <w:sz w:val="20"/>
    </w:rPr>
  </w:style>
  <w:style w:type="paragraph" w:customStyle="1" w:styleId="SubHeading1">
    <w:name w:val="SubHeading1"/>
    <w:basedOn w:val="HeadingBase"/>
    <w:rsid w:val="00732359"/>
    <w:pPr>
      <w:spacing w:before="240" w:after="60"/>
    </w:pPr>
    <w:rPr>
      <w:color w:val="918585"/>
      <w:sz w:val="22"/>
    </w:rPr>
  </w:style>
  <w:style w:type="paragraph" w:customStyle="1" w:styleId="SideHeading">
    <w:name w:val="Side Heading"/>
    <w:basedOn w:val="HeadingBase"/>
    <w:rsid w:val="007323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2359"/>
    <w:pPr>
      <w:numPr>
        <w:numId w:val="12"/>
      </w:numPr>
    </w:pPr>
  </w:style>
  <w:style w:type="paragraph" w:styleId="PlainText">
    <w:name w:val="Plain Text"/>
    <w:basedOn w:val="Normal"/>
    <w:link w:val="PlainTextChar"/>
    <w:rsid w:val="00732359"/>
    <w:rPr>
      <w:sz w:val="20"/>
    </w:rPr>
  </w:style>
  <w:style w:type="character" w:customStyle="1" w:styleId="PlainTextChar">
    <w:name w:val="Plain Text Char"/>
    <w:basedOn w:val="DefaultParagraphFont"/>
    <w:link w:val="PlainText"/>
    <w:rsid w:val="00732359"/>
    <w:rPr>
      <w:rFonts w:ascii="Courier New" w:eastAsia="Times New Roman" w:hAnsi="Courier New" w:cs="Times New Roman"/>
      <w:sz w:val="20"/>
      <w:szCs w:val="20"/>
      <w:lang w:eastAsia="en-US"/>
    </w:rPr>
  </w:style>
  <w:style w:type="character" w:customStyle="1" w:styleId="MenuOption">
    <w:name w:val="Menu Option"/>
    <w:basedOn w:val="DefaultParagraphFont"/>
    <w:rsid w:val="00732359"/>
    <w:rPr>
      <w:b/>
      <w:smallCaps/>
    </w:rPr>
  </w:style>
  <w:style w:type="paragraph" w:customStyle="1" w:styleId="TableListNumber">
    <w:name w:val="Table List Number"/>
    <w:basedOn w:val="ListNumber"/>
    <w:rsid w:val="00732359"/>
    <w:pPr>
      <w:numPr>
        <w:numId w:val="0"/>
      </w:numPr>
    </w:pPr>
  </w:style>
  <w:style w:type="paragraph" w:styleId="TOC4">
    <w:name w:val="toc 4"/>
    <w:basedOn w:val="TOCBase"/>
    <w:next w:val="Normal"/>
    <w:semiHidden/>
    <w:rsid w:val="00732359"/>
    <w:pPr>
      <w:tabs>
        <w:tab w:val="right" w:leader="dot" w:pos="9071"/>
      </w:tabs>
      <w:ind w:left="1701"/>
    </w:pPr>
  </w:style>
  <w:style w:type="paragraph" w:customStyle="1" w:styleId="ListAlpha">
    <w:name w:val="List Alpha"/>
    <w:basedOn w:val="List"/>
    <w:rsid w:val="00732359"/>
    <w:pPr>
      <w:numPr>
        <w:numId w:val="9"/>
      </w:numPr>
    </w:pPr>
  </w:style>
  <w:style w:type="paragraph" w:customStyle="1" w:styleId="ListAlpha2">
    <w:name w:val="List Alpha 2"/>
    <w:basedOn w:val="List2"/>
    <w:rsid w:val="00732359"/>
    <w:pPr>
      <w:numPr>
        <w:numId w:val="8"/>
      </w:numPr>
    </w:pPr>
  </w:style>
  <w:style w:type="paragraph" w:styleId="List2">
    <w:name w:val="List 2"/>
    <w:basedOn w:val="BodyText"/>
    <w:rsid w:val="00732359"/>
    <w:pPr>
      <w:tabs>
        <w:tab w:val="left" w:pos="680"/>
      </w:tabs>
      <w:spacing w:before="60" w:after="60"/>
      <w:ind w:left="680" w:hanging="340"/>
    </w:pPr>
  </w:style>
  <w:style w:type="paragraph" w:styleId="List3">
    <w:name w:val="List 3"/>
    <w:basedOn w:val="BodyText"/>
    <w:rsid w:val="00732359"/>
    <w:pPr>
      <w:tabs>
        <w:tab w:val="left" w:pos="1021"/>
      </w:tabs>
      <w:spacing w:before="60" w:after="60"/>
      <w:ind w:left="1020" w:hanging="340"/>
    </w:pPr>
  </w:style>
  <w:style w:type="paragraph" w:styleId="List4">
    <w:name w:val="List 4"/>
    <w:basedOn w:val="BodyText"/>
    <w:rsid w:val="00732359"/>
    <w:pPr>
      <w:tabs>
        <w:tab w:val="left" w:pos="1361"/>
      </w:tabs>
      <w:spacing w:before="60" w:after="60"/>
      <w:ind w:left="1361" w:hanging="340"/>
    </w:pPr>
  </w:style>
  <w:style w:type="paragraph" w:styleId="List5">
    <w:name w:val="List 5"/>
    <w:basedOn w:val="BodyText"/>
    <w:rsid w:val="00732359"/>
    <w:pPr>
      <w:tabs>
        <w:tab w:val="left" w:pos="1701"/>
      </w:tabs>
      <w:spacing w:before="60" w:after="60"/>
      <w:ind w:left="1701" w:hanging="340"/>
    </w:pPr>
  </w:style>
  <w:style w:type="paragraph" w:styleId="ListBullet3">
    <w:name w:val="List Bullet 3"/>
    <w:basedOn w:val="List3"/>
    <w:rsid w:val="00732359"/>
    <w:pPr>
      <w:numPr>
        <w:numId w:val="15"/>
      </w:numPr>
      <w:tabs>
        <w:tab w:val="clear" w:pos="1021"/>
      </w:tabs>
      <w:ind w:left="1037" w:hanging="357"/>
    </w:pPr>
  </w:style>
  <w:style w:type="paragraph" w:styleId="ListBullet4">
    <w:name w:val="List Bullet 4"/>
    <w:basedOn w:val="List4"/>
    <w:rsid w:val="00732359"/>
    <w:pPr>
      <w:numPr>
        <w:numId w:val="3"/>
      </w:numPr>
    </w:pPr>
  </w:style>
  <w:style w:type="paragraph" w:styleId="ListBullet5">
    <w:name w:val="List Bullet 5"/>
    <w:basedOn w:val="List5"/>
    <w:rsid w:val="00732359"/>
    <w:pPr>
      <w:numPr>
        <w:numId w:val="4"/>
      </w:numPr>
    </w:pPr>
  </w:style>
  <w:style w:type="paragraph" w:styleId="ListContinue2">
    <w:name w:val="List Continue 2"/>
    <w:basedOn w:val="List2"/>
    <w:rsid w:val="00732359"/>
    <w:pPr>
      <w:ind w:firstLine="0"/>
    </w:pPr>
  </w:style>
  <w:style w:type="paragraph" w:styleId="ListContinue3">
    <w:name w:val="List Continue 3"/>
    <w:basedOn w:val="List3"/>
    <w:rsid w:val="00732359"/>
    <w:pPr>
      <w:ind w:left="1021" w:firstLine="0"/>
    </w:pPr>
  </w:style>
  <w:style w:type="paragraph" w:styleId="ListContinue4">
    <w:name w:val="List Continue 4"/>
    <w:basedOn w:val="List4"/>
    <w:rsid w:val="00732359"/>
    <w:pPr>
      <w:ind w:firstLine="0"/>
    </w:pPr>
  </w:style>
  <w:style w:type="paragraph" w:styleId="ListContinue5">
    <w:name w:val="List Continue 5"/>
    <w:basedOn w:val="List5"/>
    <w:rsid w:val="00732359"/>
    <w:pPr>
      <w:ind w:firstLine="0"/>
    </w:pPr>
  </w:style>
  <w:style w:type="paragraph" w:styleId="ListNumber3">
    <w:name w:val="List Number 3"/>
    <w:basedOn w:val="List3"/>
    <w:rsid w:val="00732359"/>
    <w:pPr>
      <w:numPr>
        <w:numId w:val="5"/>
      </w:numPr>
    </w:pPr>
  </w:style>
  <w:style w:type="paragraph" w:styleId="ListNumber4">
    <w:name w:val="List Number 4"/>
    <w:basedOn w:val="List4"/>
    <w:rsid w:val="00732359"/>
    <w:pPr>
      <w:numPr>
        <w:numId w:val="6"/>
      </w:numPr>
    </w:pPr>
  </w:style>
  <w:style w:type="paragraph" w:styleId="ListNumber5">
    <w:name w:val="List Number 5"/>
    <w:basedOn w:val="List5"/>
    <w:rsid w:val="00732359"/>
    <w:pPr>
      <w:numPr>
        <w:numId w:val="7"/>
      </w:numPr>
    </w:pPr>
  </w:style>
  <w:style w:type="paragraph" w:styleId="BlockText">
    <w:name w:val="Block Text"/>
    <w:basedOn w:val="Normal"/>
    <w:rsid w:val="00732359"/>
    <w:pPr>
      <w:spacing w:after="120"/>
      <w:ind w:left="1440" w:right="1440"/>
    </w:pPr>
  </w:style>
  <w:style w:type="character" w:customStyle="1" w:styleId="Subscript">
    <w:name w:val="Subscript"/>
    <w:basedOn w:val="DefaultParagraphFont"/>
    <w:rsid w:val="00732359"/>
    <w:rPr>
      <w:sz w:val="16"/>
      <w:vertAlign w:val="subscript"/>
    </w:rPr>
  </w:style>
  <w:style w:type="character" w:customStyle="1" w:styleId="Superscript">
    <w:name w:val="Superscript"/>
    <w:basedOn w:val="DefaultParagraphFont"/>
    <w:rsid w:val="00732359"/>
    <w:rPr>
      <w:sz w:val="16"/>
      <w:vertAlign w:val="superscript"/>
    </w:rPr>
  </w:style>
  <w:style w:type="character" w:customStyle="1" w:styleId="Symbols">
    <w:name w:val="Symbols"/>
    <w:basedOn w:val="DefaultParagraphFont"/>
    <w:rsid w:val="00732359"/>
    <w:rPr>
      <w:rFonts w:ascii="Symbol" w:hAnsi="Symbol"/>
    </w:rPr>
  </w:style>
  <w:style w:type="character" w:customStyle="1" w:styleId="MenuOptions">
    <w:name w:val="Menu Options"/>
    <w:basedOn w:val="DefaultParagraphFont"/>
    <w:rsid w:val="00732359"/>
    <w:rPr>
      <w:rFonts w:ascii="Arial Narrow" w:hAnsi="Arial Narrow"/>
      <w:smallCaps/>
    </w:rPr>
  </w:style>
  <w:style w:type="character" w:customStyle="1" w:styleId="Buttons">
    <w:name w:val="Buttons"/>
    <w:basedOn w:val="DefaultParagraphFont"/>
    <w:rsid w:val="00732359"/>
    <w:rPr>
      <w:b/>
    </w:rPr>
  </w:style>
  <w:style w:type="character" w:customStyle="1" w:styleId="Underlined">
    <w:name w:val="Underlined"/>
    <w:basedOn w:val="DefaultParagraphFont"/>
    <w:rsid w:val="00732359"/>
    <w:rPr>
      <w:u w:val="single"/>
    </w:rPr>
  </w:style>
  <w:style w:type="paragraph" w:customStyle="1" w:styleId="TableBodyTextRight">
    <w:name w:val="Table Body Text Right"/>
    <w:basedOn w:val="TableBodyText"/>
    <w:rsid w:val="00732359"/>
    <w:pPr>
      <w:widowControl w:val="0"/>
      <w:autoSpaceDE w:val="0"/>
      <w:autoSpaceDN w:val="0"/>
      <w:adjustRightInd w:val="0"/>
      <w:jc w:val="right"/>
    </w:pPr>
    <w:rPr>
      <w:rFonts w:cs="Arial"/>
      <w:szCs w:val="18"/>
    </w:rPr>
  </w:style>
  <w:style w:type="paragraph" w:customStyle="1" w:styleId="CopyrightText">
    <w:name w:val="Copyright Text"/>
    <w:basedOn w:val="BodyText"/>
    <w:rsid w:val="00732359"/>
    <w:rPr>
      <w:sz w:val="18"/>
    </w:rPr>
  </w:style>
  <w:style w:type="paragraph" w:customStyle="1" w:styleId="BodySmallRight">
    <w:name w:val="Body Small Right"/>
    <w:basedOn w:val="BodyTextRight"/>
    <w:rsid w:val="00732359"/>
    <w:rPr>
      <w:sz w:val="18"/>
      <w:szCs w:val="18"/>
    </w:rPr>
  </w:style>
  <w:style w:type="paragraph" w:customStyle="1" w:styleId="MarginEdition">
    <w:name w:val="Margin Edition"/>
    <w:basedOn w:val="MarginNote"/>
    <w:rsid w:val="00732359"/>
    <w:pPr>
      <w:spacing w:before="0" w:after="0"/>
    </w:pPr>
    <w:rPr>
      <w:rFonts w:ascii="Times New Roman" w:hAnsi="Times New Roman"/>
      <w:color w:val="999999"/>
    </w:rPr>
  </w:style>
  <w:style w:type="paragraph" w:customStyle="1" w:styleId="Spacer">
    <w:name w:val="Spacer"/>
    <w:basedOn w:val="Normal"/>
    <w:rsid w:val="00732359"/>
    <w:rPr>
      <w:sz w:val="2"/>
      <w:szCs w:val="2"/>
    </w:rPr>
  </w:style>
  <w:style w:type="character" w:customStyle="1" w:styleId="Small">
    <w:name w:val="Small"/>
    <w:basedOn w:val="DefaultParagraphFont"/>
    <w:rsid w:val="00732359"/>
    <w:rPr>
      <w:sz w:val="16"/>
    </w:rPr>
  </w:style>
  <w:style w:type="paragraph" w:customStyle="1" w:styleId="WideTable">
    <w:name w:val="Wide Table"/>
    <w:basedOn w:val="Normal"/>
    <w:rsid w:val="00732359"/>
    <w:pPr>
      <w:ind w:left="-1418"/>
    </w:pPr>
    <w:rPr>
      <w:sz w:val="2"/>
      <w:szCs w:val="2"/>
    </w:rPr>
  </w:style>
  <w:style w:type="character" w:styleId="PageNumber">
    <w:name w:val="page number"/>
    <w:basedOn w:val="DefaultParagraphFont"/>
    <w:rsid w:val="00732359"/>
  </w:style>
  <w:style w:type="paragraph" w:styleId="Quote">
    <w:name w:val="Quote"/>
    <w:basedOn w:val="Heading1"/>
    <w:link w:val="QuoteChar"/>
    <w:qFormat/>
    <w:rsid w:val="00732359"/>
    <w:rPr>
      <w:b w:val="0"/>
      <w:sz w:val="72"/>
      <w:szCs w:val="72"/>
      <w:lang w:val="en-NZ"/>
    </w:rPr>
  </w:style>
  <w:style w:type="character" w:customStyle="1" w:styleId="QuoteChar">
    <w:name w:val="Quote Char"/>
    <w:basedOn w:val="DefaultParagraphFont"/>
    <w:link w:val="Quote"/>
    <w:rsid w:val="007323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2359"/>
    <w:pPr>
      <w:pageBreakBefore/>
    </w:pPr>
  </w:style>
  <w:style w:type="paragraph" w:customStyle="1" w:styleId="Border">
    <w:name w:val="Border"/>
    <w:basedOn w:val="Normal"/>
    <w:qFormat/>
    <w:rsid w:val="007323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2359"/>
    <w:rPr>
      <w:b/>
      <w:bCs/>
      <w:i/>
      <w:iCs/>
      <w:color w:val="auto"/>
    </w:rPr>
  </w:style>
  <w:style w:type="paragraph" w:styleId="IntenseQuote">
    <w:name w:val="Intense Quote"/>
    <w:basedOn w:val="Normal"/>
    <w:next w:val="Normal"/>
    <w:link w:val="IntenseQuoteChar"/>
    <w:uiPriority w:val="30"/>
    <w:qFormat/>
    <w:rsid w:val="007323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23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2359"/>
    <w:rPr>
      <w:smallCaps/>
      <w:color w:val="auto"/>
      <w:u w:val="single"/>
    </w:rPr>
  </w:style>
  <w:style w:type="character" w:styleId="IntenseReference">
    <w:name w:val="Intense Reference"/>
    <w:basedOn w:val="DefaultParagraphFont"/>
    <w:uiPriority w:val="32"/>
    <w:qFormat/>
    <w:rsid w:val="00732359"/>
    <w:rPr>
      <w:b/>
      <w:bCs/>
      <w:smallCaps/>
      <w:color w:val="auto"/>
      <w:spacing w:val="5"/>
      <w:u w:val="single"/>
    </w:rPr>
  </w:style>
  <w:style w:type="paragraph" w:customStyle="1" w:styleId="2ColumnHeading">
    <w:name w:val="2Column Heading"/>
    <w:basedOn w:val="BodyText"/>
    <w:qFormat/>
    <w:rsid w:val="00732359"/>
    <w:pPr>
      <w:spacing w:after="60"/>
      <w:ind w:left="-2268"/>
    </w:pPr>
    <w:rPr>
      <w:b/>
    </w:rPr>
  </w:style>
  <w:style w:type="paragraph" w:customStyle="1" w:styleId="Heading1TOC">
    <w:name w:val="Heading1 TOC"/>
    <w:basedOn w:val="Normal"/>
    <w:qFormat/>
    <w:rsid w:val="00732359"/>
    <w:pPr>
      <w:spacing w:before="240" w:after="120"/>
    </w:pPr>
    <w:rPr>
      <w:rFonts w:ascii="Times New Roman" w:hAnsi="Times New Roman"/>
      <w:b/>
      <w:sz w:val="32"/>
    </w:rPr>
  </w:style>
  <w:style w:type="paragraph" w:customStyle="1" w:styleId="Heading2TOC">
    <w:name w:val="Heading2 TOC"/>
    <w:basedOn w:val="Normal"/>
    <w:qFormat/>
    <w:rsid w:val="00732359"/>
    <w:pPr>
      <w:spacing w:before="240" w:after="60"/>
    </w:pPr>
    <w:rPr>
      <w:rFonts w:ascii="Times New Roman" w:hAnsi="Times New Roman"/>
      <w:b/>
      <w:sz w:val="28"/>
    </w:rPr>
  </w:style>
  <w:style w:type="character" w:customStyle="1" w:styleId="Underline">
    <w:name w:val="Underline"/>
    <w:basedOn w:val="DefaultParagraphFont"/>
    <w:qFormat/>
    <w:rsid w:val="00732359"/>
    <w:rPr>
      <w:u w:val="single"/>
    </w:rPr>
  </w:style>
  <w:style w:type="character" w:customStyle="1" w:styleId="BoldandItalics">
    <w:name w:val="Bold and Italics"/>
    <w:qFormat/>
    <w:rsid w:val="00732359"/>
    <w:rPr>
      <w:b/>
      <w:i/>
      <w:u w:val="none"/>
    </w:rPr>
  </w:style>
  <w:style w:type="paragraph" w:styleId="BalloonText">
    <w:name w:val="Balloon Text"/>
    <w:basedOn w:val="Normal"/>
    <w:link w:val="BalloonTextChar"/>
    <w:rsid w:val="00732359"/>
    <w:rPr>
      <w:rFonts w:ascii="Tahoma" w:hAnsi="Tahoma" w:cs="Tahoma"/>
      <w:sz w:val="16"/>
      <w:szCs w:val="16"/>
    </w:rPr>
  </w:style>
  <w:style w:type="character" w:customStyle="1" w:styleId="BalloonTextChar">
    <w:name w:val="Balloon Text Char"/>
    <w:basedOn w:val="DefaultParagraphFont"/>
    <w:link w:val="BalloonText"/>
    <w:rsid w:val="007323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23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23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2359"/>
    <w:rPr>
      <w:b/>
      <w:color w:val="660033"/>
      <w:spacing w:val="0"/>
    </w:rPr>
  </w:style>
  <w:style w:type="paragraph" w:customStyle="1" w:styleId="Nameditemlist">
    <w:name w:val="Named item list"/>
    <w:basedOn w:val="BodyText"/>
    <w:qFormat/>
    <w:rsid w:val="007323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2161</Words>
  <Characters>12995</Characters>
  <Application>Microsoft Office Word</Application>
  <DocSecurity>0</DocSecurity>
  <Lines>539</Lines>
  <Paragraphs>230</Paragraphs>
  <ScaleCrop>false</ScaleCrop>
  <Company>Author-it Software Corporation Ltd.</Company>
  <LinksUpToDate>false</LinksUpToDate>
  <CharactersWithSpaces>15049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UEENEEH122A Fault find and repair remote control apparatus</dc:title>
  <dc:subject>Approved</dc:subject>
  <dc:creator>E-OZ Training Standards</dc:creator>
  <cp:keywords>Release: 2</cp:keywords>
  <dc:description>Review Date: 12 April 2008</dc:description>
  <cp:lastModifiedBy>HSD_TPCMSd.prod</cp:lastModifiedBy>
  <cp:revision>3</cp:revision>
  <dcterms:created xsi:type="dcterms:W3CDTF">2013-08-14T07:46:00Z</dcterms:created>
  <dcterms:modified xsi:type="dcterms:W3CDTF">2013-08-14T07:46:00Z</dcterms:modified>
</cp:coreProperties>
</file>