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82A" w:rsidP="0057482A">
      <w:pPr>
        <w:pStyle w:val="Title"/>
      </w:pPr>
      <w:r>
        <w:fldChar w:fldCharType="begin"/>
      </w:r>
      <w:r>
        <w:instrText xml:space="preserve"> TITLE   \* MERGEFORMAT </w:instrText>
      </w:r>
      <w:r>
        <w:fldChar w:fldCharType="separate"/>
      </w:r>
      <w:r>
        <w:t>UEENEEH118A Fault find and repair electronic apparatus</w:t>
      </w:r>
      <w:r>
        <w:fldChar w:fldCharType="end"/>
      </w:r>
    </w:p>
    <w:p w:rsidR="0057482A" w:rsidP="0057482A">
      <w:pPr>
        <w:pStyle w:val="Version"/>
        <w:sectPr w:rsidSect="00311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24D" w:rsidP="0031124D">
      <w:pPr>
        <w:pStyle w:val="SuperHeading"/>
      </w:pPr>
      <w:r w:rsidRPr="0031124D">
        <w:t>UEENEEH118A Fault find and repair electronic apparatus</w:t>
      </w:r>
    </w:p>
    <w:p w:rsidR="00000000" w:rsidRPr="0031124D" w:rsidP="0031124D">
      <w:pPr>
        <w:pStyle w:val="Heading1"/>
      </w:pPr>
      <w:bookmarkStart w:id="1" w:name="O_422269"/>
      <w:bookmarkEnd w:id="1"/>
      <w:r w:rsidRPr="0031124D">
        <w:t>Modification History</w:t>
      </w:r>
    </w:p>
    <w:p w:rsidR="00000000" w:rsidRPr="0031124D" w:rsidP="0031124D">
      <w:pPr>
        <w:pStyle w:val="BodyText"/>
      </w:pPr>
      <w:r w:rsidRPr="0031124D">
        <w:t>Not applicable.</w:t>
      </w:r>
    </w:p>
    <w:p w:rsidR="00000000" w:rsidRPr="0031124D" w:rsidP="0031124D">
      <w:pPr>
        <w:pStyle w:val="AllowPageBreak"/>
      </w:pPr>
    </w:p>
    <w:p w:rsidR="00000000" w:rsidRPr="0031124D" w:rsidP="0031124D">
      <w:pPr>
        <w:pStyle w:val="Heading1"/>
      </w:pPr>
      <w:bookmarkStart w:id="2" w:name="O_422267"/>
      <w:bookmarkEnd w:id="2"/>
      <w:r w:rsidRPr="0031124D">
        <w:t>Unit Descriptor</w:t>
      </w:r>
    </w:p>
    <w:tbl>
      <w:tblPr>
        <w:tblW w:w="0" w:type="auto"/>
        <w:tblLayout w:type="fixed"/>
        <w:tblCellMar>
          <w:left w:w="62" w:type="dxa"/>
          <w:right w:w="62" w:type="dxa"/>
        </w:tblCellMar>
        <w:tblLook w:val="0000"/>
      </w:tblPr>
      <w:tblGrid>
        <w:gridCol w:w="2700"/>
        <w:gridCol w:w="5760"/>
      </w:tblGrid>
      <w:tr w:rsidTr="00574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1)</w:t>
            </w:r>
            <w:r w:rsidRPr="0031124D">
              <w:t xml:space="preserve"> </w:t>
            </w:r>
            <w:r w:rsidRPr="0031124D">
              <w:rPr>
                <w:rStyle w:val="SpecialBold"/>
              </w:rPr>
              <w:t>Scope:</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124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1.1) Descriptor</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This unit covers fault finding and repairing of general electronic apparatus. The unit encompasses safe working practices, consulting apparatus service manuals, interpreting circuit diagrams, applying logical fault finding procedures, conducting repairs, s</w:t>
            </w:r>
            <w:r w:rsidRPr="0031124D">
              <w:t>afety and functional testing and completing the necessary service documentation.</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3" w:name="O_422256"/>
      <w:bookmarkEnd w:id="3"/>
      <w:r w:rsidRPr="0031124D">
        <w:t>Application of the Unit</w:t>
      </w:r>
    </w:p>
    <w:tbl>
      <w:tblPr>
        <w:tblW w:w="0" w:type="auto"/>
        <w:tblLayout w:type="fixed"/>
        <w:tblCellMar>
          <w:left w:w="62" w:type="dxa"/>
          <w:right w:w="62" w:type="dxa"/>
        </w:tblCellMar>
        <w:tblLook w:val="0000"/>
      </w:tblPr>
      <w:tblGrid>
        <w:gridCol w:w="2672"/>
        <w:gridCol w:w="5699"/>
      </w:tblGrid>
      <w:tr w:rsidTr="0057482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2)</w:t>
            </w:r>
          </w:p>
        </w:tc>
      </w:tr>
      <w:tr w:rsidTr="0057482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This unit is intended for competency development entry-level employment based programs incorporated in approved contracts of training or approved training programs. It may also used to augment formally acquired competencies.</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4" w:name="O_422263"/>
      <w:bookmarkEnd w:id="4"/>
      <w:r w:rsidRPr="0031124D">
        <w:t>Licensing/Re</w:t>
      </w:r>
      <w:r w:rsidRPr="0031124D">
        <w:t>gulatory Information</w:t>
      </w:r>
    </w:p>
    <w:tbl>
      <w:tblPr>
        <w:tblW w:w="0" w:type="auto"/>
        <w:tblLayout w:type="fixed"/>
        <w:tblCellMar>
          <w:left w:w="62" w:type="dxa"/>
          <w:right w:w="62" w:type="dxa"/>
        </w:tblCellMar>
        <w:tblLook w:val="0000"/>
      </w:tblPr>
      <w:tblGrid>
        <w:gridCol w:w="2700"/>
        <w:gridCol w:w="5760"/>
      </w:tblGrid>
      <w:tr w:rsidTr="00574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 xml:space="preserve">3) </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The skills and knowledge described in this unit do not require a license to practice in the workplace provided equipment is not connected to installation wiring at voltage above 50 V a.c. or 120 V d.c. However</w:t>
            </w:r>
            <w:r w:rsidRPr="0031124D">
              <w:t xml:space="preserve"> other conditions may apply in some States/Territories subject to regulations related to electrical work. </w:t>
            </w:r>
          </w:p>
          <w:p w:rsidR="00000000" w:rsidRPr="0031124D" w:rsidP="0031124D">
            <w:pPr>
              <w:pStyle w:val="BodyText"/>
            </w:pPr>
            <w:r w:rsidRPr="0031124D">
              <w:t xml:space="preserve">Practice in the workplace and during training is also </w:t>
            </w:r>
            <w:r w:rsidRPr="0031124D">
              <w:t xml:space="preserve">subject to regulations directly related to occupational health and safety and where applicable </w:t>
            </w:r>
            <w:r w:rsidRPr="0031124D">
              <w:t>contracts of training such as apprenticeships.</w:t>
            </w:r>
          </w:p>
          <w:p w:rsidR="00000000" w:rsidRPr="0031124D" w:rsidP="0031124D">
            <w:pPr>
              <w:pStyle w:val="BodyText"/>
            </w:pPr>
            <w:r w:rsidRPr="0031124D">
              <w:t xml:space="preserve">Note: </w:t>
            </w:r>
          </w:p>
          <w:p w:rsidR="00000000" w:rsidRPr="0031124D" w:rsidP="0031124D">
            <w:pPr>
              <w:pStyle w:val="BodyText"/>
            </w:pPr>
            <w:r w:rsidRPr="0031124D">
              <w:t>1. Compliance with permits may be required in various jurisdictions and typically relates to the operation of plant, machinery and equipment such as elevating work platforms, powder operated fixing tool</w:t>
            </w:r>
            <w:r w:rsidRPr="0031124D">
              <w:t>s, power operated tools, vehicles, road signage and traffic control, lifting equipment and the like. Permits may also be required for some work environments such as confined spaces, working aloft, near live electrical apparatus and site rehabilitation.</w:t>
            </w:r>
          </w:p>
          <w:p w:rsidR="00000000" w:rsidRPr="0031124D" w:rsidP="0031124D">
            <w:pPr>
              <w:pStyle w:val="BodyText"/>
            </w:pPr>
            <w:r w:rsidRPr="0031124D">
              <w:t xml:space="preserve">2. </w:t>
            </w:r>
            <w:r w:rsidRPr="0031124D">
              <w:t>Compliance may be required in various jurisdictions relating to currency in First Aid, confined space, lifting and risk safety measures.</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5" w:name="O_422264"/>
      <w:bookmarkEnd w:id="5"/>
      <w:r w:rsidRPr="0031124D">
        <w:t>Pre-Requisites</w:t>
      </w:r>
    </w:p>
    <w:tbl>
      <w:tblPr>
        <w:tblW w:w="0" w:type="auto"/>
        <w:tblLayout w:type="fixed"/>
        <w:tblCellMar>
          <w:left w:w="62" w:type="dxa"/>
          <w:right w:w="62" w:type="dxa"/>
        </w:tblCellMar>
        <w:tblLook w:val="0000"/>
      </w:tblPr>
      <w:tblGrid>
        <w:gridCol w:w="2700"/>
        <w:gridCol w:w="1440"/>
        <w:gridCol w:w="4320"/>
      </w:tblGrid>
      <w:tr w:rsidTr="00574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 xml:space="preserve">4) </w:t>
            </w:r>
          </w:p>
        </w:tc>
      </w:tr>
      <w:tr w:rsidTr="0057482A">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4.1)</w:t>
            </w:r>
          </w:p>
        </w:tc>
      </w:tr>
      <w:tr w:rsidTr="0057482A">
        <w:tblPrEx>
          <w:tblW w:w="0" w:type="auto"/>
          <w:tblLayout w:type="fixed"/>
          <w:tblCellMar>
            <w:left w:w="62" w:type="dxa"/>
            <w:right w:w="62" w:type="dxa"/>
          </w:tblCellMar>
          <w:tblLook w:val="0000"/>
        </w:tblPrEx>
        <w:trPr>
          <w:trHeight w:val="43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Granting competency</w:t>
            </w:r>
            <w:r w:rsidRPr="0031124D">
              <w:t xml:space="preserve"> in this unit shall be made only after competency in the following unit(s) has/have been confirmed.        </w:t>
            </w:r>
          </w:p>
        </w:tc>
      </w:tr>
      <w:tr w:rsidTr="0057482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UEENEEE101A</w:t>
            </w:r>
          </w:p>
        </w:tc>
        <w:tc>
          <w:tcPr>
            <w:tcW w:w="432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 xml:space="preserve">Apply Occupational Health and Safety regulations, codes and practices in the workplace      </w:t>
            </w:r>
          </w:p>
        </w:tc>
      </w:tr>
    </w:tbl>
    <w:p w:rsidR="00000000" w:rsidRPr="0031124D" w:rsidP="003112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7482A">
        <w:tblPrEx>
          <w:tblW w:w="0" w:type="auto"/>
          <w:tblLayout w:type="fixed"/>
          <w:tblCellMar>
            <w:left w:w="62" w:type="dxa"/>
            <w:right w:w="62" w:type="dxa"/>
          </w:tblCellMar>
          <w:tblLook w:val="0000"/>
        </w:tblPrEx>
        <w:trPr>
          <w:trHeight w:val="226"/>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 xml:space="preserve">4.2) </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Participants are best equipped to achieve competency in this unit if they have reading, writing and numeracy skills indicated by the following scales. Description of each scale is given in Volume 2, Part 3 ‘Literacy and Numeracy’</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Reading</w:t>
            </w:r>
          </w:p>
        </w:tc>
        <w:tc>
          <w:tcPr>
            <w:tcW w:w="81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4</w:t>
            </w:r>
          </w:p>
        </w:tc>
        <w:tc>
          <w:tcPr>
            <w:tcW w:w="99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Writing</w:t>
            </w:r>
          </w:p>
        </w:tc>
        <w:tc>
          <w:tcPr>
            <w:tcW w:w="90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4</w:t>
            </w:r>
          </w:p>
        </w:tc>
        <w:tc>
          <w:tcPr>
            <w:tcW w:w="12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Numeracy</w:t>
            </w:r>
          </w:p>
        </w:tc>
        <w:tc>
          <w:tcPr>
            <w:tcW w:w="72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4</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6" w:name="O_422260"/>
      <w:bookmarkEnd w:id="6"/>
      <w:r w:rsidRPr="0031124D">
        <w:t>Employability Skills Information</w:t>
      </w:r>
    </w:p>
    <w:tbl>
      <w:tblPr>
        <w:tblW w:w="0" w:type="auto"/>
        <w:tblLayout w:type="fixed"/>
        <w:tblCellMar>
          <w:left w:w="62" w:type="dxa"/>
          <w:right w:w="62" w:type="dxa"/>
        </w:tblCellMar>
        <w:tblLook w:val="0000"/>
      </w:tblPr>
      <w:tblGrid>
        <w:gridCol w:w="2700"/>
        <w:gridCol w:w="5760"/>
      </w:tblGrid>
      <w:tr w:rsidTr="00574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 xml:space="preserve">5) </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This unit contains Employability Skills</w:t>
            </w:r>
          </w:p>
          <w:p w:rsidR="00000000" w:rsidRPr="0031124D" w:rsidP="0031124D">
            <w:pPr>
              <w:pStyle w:val="BodyText"/>
            </w:pPr>
            <w:r w:rsidRPr="0031124D">
              <w:t>The required outcome</w:t>
            </w:r>
            <w:r w:rsidRPr="0031124D">
              <w:t>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7" w:name="O_422259"/>
      <w:bookmarkEnd w:id="7"/>
      <w:r w:rsidRPr="0031124D">
        <w:t>Elements and Performance Criteria Pre-Content</w:t>
      </w:r>
    </w:p>
    <w:tbl>
      <w:tblPr>
        <w:tblW w:w="0" w:type="auto"/>
        <w:tblLayout w:type="fixed"/>
        <w:tblCellMar>
          <w:left w:w="62" w:type="dxa"/>
          <w:right w:w="62" w:type="dxa"/>
        </w:tblCellMar>
        <w:tblLook w:val="0000"/>
      </w:tblPr>
      <w:tblGrid>
        <w:gridCol w:w="2700"/>
        <w:gridCol w:w="5760"/>
      </w:tblGrid>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6)</w:t>
            </w:r>
            <w:r w:rsidRPr="0031124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Performance Criteria describe the required performance needed to demonstrate achievement of the element. Assessment of perf</w:t>
            </w:r>
            <w:r w:rsidRPr="0031124D">
              <w:t>ormance is to be consistent with the Evidence Guide.</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8" w:name="O_422258"/>
      <w:bookmarkEnd w:id="8"/>
      <w:r w:rsidRPr="0031124D">
        <w:t>Elements and Performance Criteria</w:t>
      </w:r>
    </w:p>
    <w:tbl>
      <w:tblPr>
        <w:tblW w:w="9216" w:type="dxa"/>
        <w:tblLayout w:type="fixed"/>
        <w:tblCellMar>
          <w:left w:w="62" w:type="dxa"/>
          <w:right w:w="62" w:type="dxa"/>
        </w:tblCellMar>
        <w:tblLook w:val="0000"/>
      </w:tblPr>
      <w:tblGrid>
        <w:gridCol w:w="490"/>
        <w:gridCol w:w="2210"/>
        <w:gridCol w:w="241"/>
        <w:gridCol w:w="980"/>
        <w:gridCol w:w="4539"/>
        <w:gridCol w:w="756"/>
      </w:tblGrid>
      <w:tr w:rsidTr="0057482A">
        <w:tblPrEx>
          <w:tblW w:w="9216" w:type="dxa"/>
          <w:tblLayout w:type="fixed"/>
          <w:tblCellMar>
            <w:left w:w="62" w:type="dxa"/>
            <w:right w:w="62" w:type="dxa"/>
          </w:tblCellMar>
          <w:tblLook w:val="0000"/>
        </w:tblPrEx>
        <w:trPr>
          <w:gridAfter w:val="1"/>
          <w:wAfter w:w="756"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PERFORMANCE CRITERIA</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w:t>
            </w:r>
          </w:p>
        </w:tc>
        <w:tc>
          <w:tcPr>
            <w:tcW w:w="2451" w:type="dxa"/>
            <w:gridSpan w:val="2"/>
            <w:vMerge w:val="restart"/>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Prepare to find and repair faults.</w:t>
            </w:r>
          </w:p>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1.1</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 xml:space="preserve">OHS procedures for a given work area are identified, obtained and understood.  </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1.2</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OHS risk control measures and procedures are followed in preparation for the work.</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1.3</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The nature of the fault is obtained from documentation or from work supervisor to establish the scope of work to be undertaken.</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1.4</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 xml:space="preserve">Advice is sought from the work supervisor to ensure the work is co-ordinated effectively with others. </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1.5</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Sources of materials that may be required for the work are established in accordance with established procedures.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1.6</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Tools, equipment and testing devices needed to carry out the work are obtained in accordance with established procedures and checked f</w:t>
            </w:r>
            <w:r w:rsidRPr="0031124D">
              <w:t>or correct operation and safety.</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w:t>
            </w:r>
          </w:p>
        </w:tc>
        <w:tc>
          <w:tcPr>
            <w:tcW w:w="2451" w:type="dxa"/>
            <w:gridSpan w:val="2"/>
            <w:vMerge w:val="restart"/>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Find faults.</w:t>
            </w:r>
          </w:p>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2.1</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OHS risk control measures and procedures for carrying out the work are followed.</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2.2</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The need to test or measure live is determined in strict accordance with OHS requirements and when necessary conducted within established safety procedures.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2.3</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Apparatus is checked as being isolated where necessary in strict accordance OHS requirements and procedures.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2.4</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Fault finding is approached methodically drawing on knowledge of data circuits using measured and calculated values of apparatus parameters</w:t>
            </w:r>
            <w:r w:rsidRPr="0031124D">
              <w:t xml:space="preserve">. </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2.5</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Apparatus components are dismantled where necessary and parts stored to protect them against loss or damage</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2.6</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Faulty components are rechecked and their fault status confirmed.</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2.7</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Effectiveness of the repair is tested in accordance with established procedures.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2.8</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Apparatus is reassembled, finally tested and prepared for return to customer.</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2.9</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Unexpected situations are dealt with safely and with the approval of an authorise</w:t>
            </w:r>
            <w:r w:rsidRPr="0031124D">
              <w:t>d person.</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2.10</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Fault finding activities are carried out efficiently without waste of materials or damage to apparatus and the surrounding environment or services and using sustainable energy practices.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3</w:t>
            </w:r>
          </w:p>
        </w:tc>
        <w:tc>
          <w:tcPr>
            <w:tcW w:w="2451" w:type="dxa"/>
            <w:gridSpan w:val="2"/>
            <w:vMerge w:val="restart"/>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Completion and report repair activities.</w:t>
            </w:r>
          </w:p>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3.1</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OHS work completion risk control measures and procedures are followed.</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3.2</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Work area is cleaned and made safe in accordance with established procedures.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3.3</w:t>
            </w:r>
          </w:p>
        </w:tc>
        <w:tc>
          <w:tcPr>
            <w:tcW w:w="5295"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Written justification is made for repairs to apparatus.</w:t>
            </w:r>
          </w:p>
        </w:tc>
      </w:tr>
      <w:tr w:rsidTr="0057482A">
        <w:tblPrEx>
          <w:tblW w:w="9216" w:type="dxa"/>
          <w:tblLayout w:type="fixed"/>
          <w:tblCellMar>
            <w:left w:w="62" w:type="dxa"/>
            <w:right w:w="62" w:type="dxa"/>
          </w:tblCellMar>
          <w:tblLook w:val="0000"/>
        </w:tblPrEx>
        <w:tc>
          <w:tcPr>
            <w:tcW w:w="4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3.4</w:t>
            </w:r>
          </w:p>
        </w:tc>
        <w:tc>
          <w:tcPr>
            <w:tcW w:w="5295" w:type="dxa"/>
            <w:gridSpan w:val="2"/>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Work completion is documented and an appropriate person or persons notified in accordance with established procedures.</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9" w:name="O_422266"/>
      <w:bookmarkEnd w:id="9"/>
      <w:r w:rsidRPr="0031124D">
        <w:t>Required Skills and Knowledge</w:t>
      </w:r>
    </w:p>
    <w:tbl>
      <w:tblPr>
        <w:tblW w:w="0" w:type="auto"/>
        <w:tblLayout w:type="fixed"/>
        <w:tblCellMar>
          <w:left w:w="62" w:type="dxa"/>
          <w:right w:w="62" w:type="dxa"/>
        </w:tblCellMar>
        <w:tblLook w:val="0000"/>
      </w:tblPr>
      <w:tblGrid>
        <w:gridCol w:w="8460"/>
      </w:tblGrid>
      <w:tr w:rsidTr="005748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REQUIRED SKILLS AND KNOWLEDGE</w:t>
            </w:r>
          </w:p>
        </w:tc>
      </w:tr>
      <w:tr w:rsidTr="0057482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8)</w:t>
            </w:r>
            <w:r w:rsidRPr="0031124D">
              <w:t xml:space="preserve"> This describes the essential skills and knowledge and their level, required for this unit.</w:t>
            </w:r>
          </w:p>
          <w:p w:rsidR="00000000" w:rsidRPr="0031124D" w:rsidP="0031124D">
            <w:pPr>
              <w:pStyle w:val="BodyText"/>
            </w:pPr>
            <w:r w:rsidRPr="0031124D">
              <w:t xml:space="preserve">Evidence shall show that knowledge has been acquired of safe working practices and finding and repairing faults in electronic apparatus. </w:t>
            </w:r>
          </w:p>
          <w:p w:rsidR="00000000" w:rsidRPr="0031124D" w:rsidP="0031124D">
            <w:pPr>
              <w:pStyle w:val="BodyText"/>
            </w:pPr>
            <w:r w:rsidRPr="0031124D">
              <w:t>All knowledge and skills d</w:t>
            </w:r>
            <w:r w:rsidRPr="0031124D">
              <w:t>etailed in this unit should be contextualised to current industry practices and technologies.</w:t>
            </w:r>
          </w:p>
          <w:p w:rsidR="00000000" w:rsidRPr="0031124D" w:rsidP="0031124D">
            <w:pPr>
              <w:pStyle w:val="BodyText"/>
            </w:pPr>
            <w:r w:rsidRPr="0031124D">
              <w:rPr>
                <w:rStyle w:val="SpecialBold"/>
              </w:rPr>
              <w:t>KS01-EH118A</w:t>
            </w:r>
            <w:r w:rsidRPr="0031124D">
              <w:rPr>
                <w:rStyle w:val="SpecialBold"/>
              </w:rPr>
              <w:tab/>
              <w:t xml:space="preserve">              Electronic apparatus fault finding and repair</w:t>
            </w:r>
          </w:p>
          <w:p w:rsidR="00000000" w:rsidRPr="0031124D" w:rsidP="0031124D">
            <w:pPr>
              <w:pStyle w:val="BodyText"/>
            </w:pPr>
            <w:r w:rsidRPr="0031124D">
              <w:t>Evidence shall show an understanding of electronic communications systems, applying safe w</w:t>
            </w:r>
            <w:r w:rsidRPr="0031124D">
              <w:t>orking practices and relevant Standards, Codes and Regulations to an extent indicated by the following aspects:</w:t>
            </w:r>
          </w:p>
          <w:p w:rsidR="00000000" w:rsidRPr="0031124D" w:rsidP="0031124D">
            <w:pPr>
              <w:pStyle w:val="BodyText"/>
            </w:pPr>
            <w:r w:rsidRPr="0031124D">
              <w:t>T1.</w:t>
            </w:r>
            <w:r w:rsidRPr="0031124D">
              <w:tab/>
              <w:t>Drawings and diagrams</w:t>
            </w:r>
          </w:p>
          <w:p w:rsidR="00000000" w:rsidRPr="0031124D" w:rsidP="0031124D">
            <w:pPr>
              <w:pStyle w:val="ListBullet"/>
            </w:pPr>
            <w:r w:rsidRPr="0031124D">
              <w:t>Drawing types and applications encompassing:</w:t>
            </w:r>
          </w:p>
          <w:p w:rsidR="00000000" w:rsidRPr="0031124D" w:rsidP="0031124D">
            <w:pPr>
              <w:pStyle w:val="ListBullet"/>
            </w:pPr>
            <w:r w:rsidRPr="0031124D">
              <w:t>Drawing layouts and conventions - mechanical drawings, electrical/electr</w:t>
            </w:r>
            <w:r w:rsidRPr="0031124D">
              <w:t>onic schematics, wiring diagrams, PC boards, location diagrams (architectural drawings), and cable routes and switching arrangements and building details.</w:t>
            </w:r>
          </w:p>
          <w:p w:rsidR="00000000" w:rsidRPr="0031124D" w:rsidP="0031124D">
            <w:pPr>
              <w:pStyle w:val="ListBullet"/>
            </w:pPr>
            <w:r w:rsidRPr="0031124D">
              <w:t>Drawing symbols - symbols representing electrotechnology circuit components, equipment location and c</w:t>
            </w:r>
            <w:r w:rsidRPr="0031124D">
              <w:t>able routes and control arrangements.</w:t>
            </w:r>
          </w:p>
          <w:p w:rsidR="00000000" w:rsidRPr="0031124D" w:rsidP="0031124D">
            <w:pPr>
              <w:pStyle w:val="ListBullet"/>
            </w:pPr>
            <w:r w:rsidRPr="0031124D">
              <w:t>Freehand drawing</w:t>
            </w:r>
          </w:p>
          <w:p w:rsidR="00000000" w:rsidRPr="0031124D" w:rsidP="0031124D">
            <w:pPr>
              <w:pStyle w:val="ListBullet"/>
            </w:pPr>
            <w:r w:rsidRPr="0031124D">
              <w:t>Cable/wiring/connection and equipment/component/schedules.</w:t>
            </w:r>
          </w:p>
          <w:p w:rsidR="00000000" w:rsidRPr="0031124D" w:rsidP="0031124D">
            <w:pPr>
              <w:pStyle w:val="BodyText"/>
            </w:pPr>
            <w:r w:rsidRPr="0031124D">
              <w:t>T2.</w:t>
            </w:r>
            <w:r w:rsidRPr="0031124D">
              <w:tab/>
              <w:t>Electronic testing and measuring devices and techniques</w:t>
            </w:r>
          </w:p>
          <w:p w:rsidR="00000000" w:rsidRPr="0031124D" w:rsidP="0031124D">
            <w:pPr>
              <w:pStyle w:val="ListBullet"/>
            </w:pPr>
            <w:r w:rsidRPr="0031124D">
              <w:t xml:space="preserve">Test/measuring devices and their application - analogue and digital multimeters, </w:t>
            </w:r>
            <w:r w:rsidRPr="0031124D">
              <w:t xml:space="preserve">voltage and digital testers, signal generators and oscilloscopes </w:t>
            </w:r>
          </w:p>
          <w:p w:rsidR="00000000" w:rsidRPr="0031124D" w:rsidP="0031124D">
            <w:pPr>
              <w:pStyle w:val="ListBullet"/>
            </w:pPr>
            <w:r w:rsidRPr="0031124D">
              <w:t>Connection of test/measuring devices into a circuit encompassing:</w:t>
            </w:r>
          </w:p>
          <w:p w:rsidR="00000000" w:rsidRPr="0031124D" w:rsidP="0031124D">
            <w:pPr>
              <w:pStyle w:val="ListBullet2"/>
            </w:pPr>
            <w:r w:rsidRPr="0031124D">
              <w:t>safety procedures</w:t>
            </w:r>
          </w:p>
          <w:p w:rsidR="00000000" w:rsidRPr="0031124D" w:rsidP="0031124D">
            <w:pPr>
              <w:pStyle w:val="ListBullet2"/>
            </w:pPr>
            <w:r w:rsidRPr="0031124D">
              <w:t>circuit arrangement of test/measuring devices</w:t>
            </w:r>
          </w:p>
          <w:p w:rsidR="00000000" w:rsidRPr="0031124D" w:rsidP="0031124D">
            <w:pPr>
              <w:pStyle w:val="ListBullet"/>
            </w:pPr>
            <w:r w:rsidRPr="0031124D">
              <w:t>Taking readings</w:t>
            </w:r>
          </w:p>
          <w:p w:rsidR="00000000" w:rsidRPr="0031124D" w:rsidP="0031124D">
            <w:pPr>
              <w:pStyle w:val="ListBullet"/>
            </w:pPr>
            <w:r w:rsidRPr="0031124D">
              <w:t>Storage, maintenance and care of test/measuring devices</w:t>
            </w:r>
          </w:p>
          <w:p w:rsidR="00000000" w:rsidRPr="0031124D" w:rsidP="0031124D">
            <w:pPr>
              <w:pStyle w:val="BodyText"/>
            </w:pPr>
            <w:r w:rsidRPr="0031124D">
              <w:t>T3.</w:t>
            </w:r>
            <w:r w:rsidRPr="0031124D">
              <w:tab/>
              <w:t>Electronic fault finding</w:t>
            </w:r>
          </w:p>
          <w:p w:rsidR="00000000" w:rsidRPr="0031124D" w:rsidP="0031124D">
            <w:pPr>
              <w:pStyle w:val="ListBullet"/>
            </w:pPr>
            <w:r w:rsidRPr="0031124D">
              <w:t>Factors to consider in clarifying the nature of a fault encompassing:</w:t>
            </w:r>
          </w:p>
          <w:p w:rsidR="00000000" w:rsidRPr="0031124D" w:rsidP="0031124D">
            <w:pPr>
              <w:pStyle w:val="ListBullet2"/>
            </w:pPr>
            <w:r w:rsidRPr="0031124D">
              <w:t xml:space="preserve">Initial fault report </w:t>
            </w:r>
          </w:p>
          <w:p w:rsidR="00000000" w:rsidRPr="0031124D" w:rsidP="0031124D">
            <w:pPr>
              <w:pStyle w:val="ListBullet2"/>
            </w:pPr>
            <w:r w:rsidRPr="0031124D">
              <w:t>Confirmation of symptoms of the fault</w:t>
            </w:r>
          </w:p>
          <w:p w:rsidR="00000000" w:rsidRPr="0031124D" w:rsidP="0031124D">
            <w:pPr>
              <w:pStyle w:val="ListBullet2"/>
            </w:pPr>
            <w:r w:rsidRPr="0031124D">
              <w:t>Comparison of symptoms with normal oper</w:t>
            </w:r>
            <w:r w:rsidRPr="0031124D">
              <w:t>ation</w:t>
            </w:r>
          </w:p>
          <w:p w:rsidR="00000000" w:rsidRPr="0031124D" w:rsidP="0031124D">
            <w:pPr>
              <w:pStyle w:val="ListBullet"/>
            </w:pPr>
            <w:r w:rsidRPr="0031124D">
              <w:t>Effect to cause reasoning — assumptions of possible causes</w:t>
            </w:r>
          </w:p>
          <w:p w:rsidR="00000000" w:rsidRPr="0031124D" w:rsidP="0031124D">
            <w:pPr>
              <w:pStyle w:val="ListBullet"/>
            </w:pPr>
            <w:r w:rsidRPr="0031124D">
              <w:t>Methods for testing assumptions encompassing:</w:t>
            </w:r>
          </w:p>
          <w:p w:rsidR="00000000" w:rsidRPr="0031124D" w:rsidP="0031124D">
            <w:pPr>
              <w:pStyle w:val="ListBullet2"/>
            </w:pPr>
            <w:r w:rsidRPr="0031124D">
              <w:t>Visual inspection</w:t>
            </w:r>
          </w:p>
          <w:p w:rsidR="00000000" w:rsidRPr="0031124D" w:rsidP="0031124D">
            <w:pPr>
              <w:pStyle w:val="ListBullet2"/>
            </w:pPr>
            <w:r w:rsidRPr="0031124D">
              <w:t>Sectional testing</w:t>
            </w:r>
          </w:p>
          <w:p w:rsidR="00000000" w:rsidRPr="0031124D" w:rsidP="0031124D">
            <w:pPr>
              <w:pStyle w:val="ListBullet2"/>
            </w:pPr>
            <w:r w:rsidRPr="0031124D">
              <w:t>Split-half tests</w:t>
            </w:r>
          </w:p>
          <w:p w:rsidR="00000000" w:rsidRPr="0031124D" w:rsidP="0031124D">
            <w:pPr>
              <w:pStyle w:val="ListBullet2"/>
            </w:pPr>
            <w:r w:rsidRPr="0031124D">
              <w:t>Component isolation</w:t>
            </w:r>
          </w:p>
          <w:p w:rsidR="00000000" w:rsidRPr="0031124D" w:rsidP="0031124D">
            <w:pPr>
              <w:pStyle w:val="ListBullet"/>
            </w:pPr>
            <w:r w:rsidRPr="0031124D">
              <w:t>Dealing with intermittent faults - causes of intermittent faults are vibration, shock, changes in temperature and electromagnetic interference.</w:t>
            </w:r>
          </w:p>
          <w:p w:rsidR="00000000" w:rsidRPr="0031124D" w:rsidP="0031124D">
            <w:pPr>
              <w:pStyle w:val="BodyText"/>
            </w:pPr>
            <w:r w:rsidRPr="0031124D">
              <w:t>T4.</w:t>
            </w:r>
            <w:r w:rsidRPr="0031124D">
              <w:tab/>
              <w:t>Electronic Safe working practices</w:t>
            </w:r>
          </w:p>
          <w:p w:rsidR="00000000" w:rsidRPr="0031124D" w:rsidP="0031124D">
            <w:pPr>
              <w:pStyle w:val="ListBullet"/>
            </w:pPr>
            <w:r w:rsidRPr="0031124D">
              <w:t>Risk management and assessment of risk encompassing:</w:t>
            </w:r>
          </w:p>
          <w:p w:rsidR="00000000" w:rsidRPr="0031124D" w:rsidP="0031124D">
            <w:pPr>
              <w:pStyle w:val="ListBullet2"/>
            </w:pPr>
            <w:r w:rsidRPr="0031124D">
              <w:t>Of the immediate en</w:t>
            </w:r>
            <w:r w:rsidRPr="0031124D">
              <w:t>vironment</w:t>
            </w:r>
          </w:p>
          <w:p w:rsidR="00000000" w:rsidRPr="0031124D" w:rsidP="0031124D">
            <w:pPr>
              <w:pStyle w:val="ListBullet2"/>
            </w:pPr>
            <w:r w:rsidRPr="0031124D">
              <w:t>Of the apparatus under repair</w:t>
            </w:r>
          </w:p>
          <w:p w:rsidR="00000000" w:rsidRPr="0031124D" w:rsidP="0031124D">
            <w:pPr>
              <w:pStyle w:val="ListBullet"/>
            </w:pPr>
            <w:r w:rsidRPr="0031124D">
              <w:t>Hazards associated with low-voltage, extra-low voltage and high-currents encompassing:</w:t>
            </w:r>
          </w:p>
          <w:p w:rsidR="00000000" w:rsidRPr="0031124D" w:rsidP="0031124D">
            <w:pPr>
              <w:pStyle w:val="ListBullet2"/>
            </w:pPr>
            <w:r w:rsidRPr="0031124D">
              <w:t>Of the immediate environment</w:t>
            </w:r>
          </w:p>
          <w:p w:rsidR="00000000" w:rsidRPr="0031124D" w:rsidP="0031124D">
            <w:pPr>
              <w:pStyle w:val="ListBullet2"/>
            </w:pPr>
            <w:r w:rsidRPr="0031124D">
              <w:t>Of the apparatus under repair</w:t>
            </w:r>
          </w:p>
          <w:p w:rsidR="00000000" w:rsidRPr="0031124D" w:rsidP="0031124D">
            <w:pPr>
              <w:pStyle w:val="ListBullet2"/>
            </w:pPr>
            <w:r w:rsidRPr="0031124D">
              <w:t>Parts of an electronic systems and equipment that operate at low-vol</w:t>
            </w:r>
            <w:r w:rsidRPr="0031124D">
              <w:t xml:space="preserve">tage and extra-low voltage, </w:t>
            </w:r>
          </w:p>
          <w:p w:rsidR="00000000" w:rsidRPr="0031124D" w:rsidP="0031124D">
            <w:pPr>
              <w:pStyle w:val="ListBullet2"/>
            </w:pPr>
            <w:r w:rsidRPr="0031124D">
              <w:t>Parts of an electronic systems and equipment where high-currents are likely.</w:t>
            </w:r>
          </w:p>
          <w:p w:rsidR="00000000" w:rsidRPr="0031124D" w:rsidP="0031124D">
            <w:pPr>
              <w:pStyle w:val="ListBullet"/>
            </w:pPr>
            <w:r w:rsidRPr="0031124D">
              <w:t>Risks and control measures associated with high-voltage encompassing:</w:t>
            </w:r>
          </w:p>
          <w:p w:rsidR="00000000" w:rsidRPr="0031124D" w:rsidP="0031124D">
            <w:pPr>
              <w:pStyle w:val="ListBullet2"/>
            </w:pPr>
            <w:r w:rsidRPr="0031124D">
              <w:t>Of the immediate environment</w:t>
            </w:r>
          </w:p>
          <w:p w:rsidR="00000000" w:rsidRPr="0031124D" w:rsidP="0031124D">
            <w:pPr>
              <w:pStyle w:val="ListBullet2"/>
            </w:pPr>
            <w:r w:rsidRPr="0031124D">
              <w:t>Of the apparatus under repair</w:t>
            </w:r>
          </w:p>
          <w:p w:rsidR="00000000" w:rsidRPr="0031124D" w:rsidP="0031124D">
            <w:pPr>
              <w:pStyle w:val="ListBullet2"/>
            </w:pPr>
            <w:r w:rsidRPr="0031124D">
              <w:t>Parts of an electronic systems and equipment that operate at high-voltage,</w:t>
            </w:r>
          </w:p>
          <w:p w:rsidR="00000000" w:rsidRPr="0031124D" w:rsidP="0031124D">
            <w:pPr>
              <w:pStyle w:val="ListBullet2"/>
            </w:pPr>
            <w:r w:rsidRPr="0031124D">
              <w:t>The terms used - ‘touch voltage’, ‘step voltage’, ‘induced voltage’ and ‘creepage’ as they relate to the hazards of high-voltage, and</w:t>
            </w:r>
          </w:p>
          <w:p w:rsidR="00000000" w:rsidRPr="0031124D" w:rsidP="0031124D">
            <w:pPr>
              <w:pStyle w:val="ListBullet2"/>
            </w:pPr>
            <w:r w:rsidRPr="0031124D">
              <w:t>Control measures used for dealing with the haza</w:t>
            </w:r>
            <w:r w:rsidRPr="0031124D">
              <w:t>rds of high-voltage.</w:t>
            </w:r>
          </w:p>
          <w:p w:rsidR="00000000" w:rsidRPr="0031124D" w:rsidP="0031124D">
            <w:pPr>
              <w:pStyle w:val="ListBullet"/>
            </w:pPr>
            <w:r w:rsidRPr="0031124D">
              <w:t>Risks and control measures associated with low voltage encompassing:</w:t>
            </w:r>
          </w:p>
          <w:p w:rsidR="00000000" w:rsidRPr="0031124D" w:rsidP="0031124D">
            <w:pPr>
              <w:pStyle w:val="ListBullet2"/>
            </w:pPr>
            <w:r w:rsidRPr="0031124D">
              <w:t>Risks associated with installation, fault finding, maintenance and repair.</w:t>
            </w:r>
          </w:p>
          <w:p w:rsidR="00000000" w:rsidRPr="0031124D" w:rsidP="0031124D">
            <w:pPr>
              <w:pStyle w:val="ListBullet2"/>
            </w:pPr>
            <w:r w:rsidRPr="0031124D">
              <w:t>Control measures before, while and after working on electronic systems or equipment</w:t>
            </w:r>
          </w:p>
          <w:p w:rsidR="00000000" w:rsidRPr="0031124D" w:rsidP="0031124D">
            <w:pPr>
              <w:pStyle w:val="ListBullet2"/>
            </w:pPr>
            <w:r w:rsidRPr="0031124D">
              <w:t>Isola</w:t>
            </w:r>
            <w:r w:rsidRPr="0031124D">
              <w:t>tion and tagging-off procedures.</w:t>
            </w:r>
          </w:p>
          <w:p w:rsidR="00000000" w:rsidRPr="0031124D" w:rsidP="0031124D">
            <w:pPr>
              <w:pStyle w:val="ListBullet2"/>
            </w:pPr>
            <w:r w:rsidRPr="0031124D">
              <w:t>Risks and restrictions in working live.</w:t>
            </w:r>
          </w:p>
          <w:p w:rsidR="00000000" w:rsidRPr="0031124D" w:rsidP="0031124D">
            <w:pPr>
              <w:pStyle w:val="ListBullet2"/>
            </w:pPr>
            <w:r w:rsidRPr="0031124D">
              <w:t>Control measures for working live.</w:t>
            </w:r>
          </w:p>
          <w:p w:rsidR="00000000" w:rsidRPr="0031124D" w:rsidP="0031124D">
            <w:pPr>
              <w:pStyle w:val="ListBullet"/>
            </w:pPr>
            <w:r w:rsidRPr="0031124D">
              <w:t>Safety, selection, use, maintenance and care of test equipment encompassing:</w:t>
            </w:r>
          </w:p>
          <w:p w:rsidR="00000000" w:rsidRPr="0031124D" w:rsidP="0031124D">
            <w:pPr>
              <w:pStyle w:val="ListBullet2"/>
            </w:pPr>
            <w:r w:rsidRPr="0031124D">
              <w:t>Of the immediate environment</w:t>
            </w:r>
          </w:p>
          <w:p w:rsidR="00000000" w:rsidRPr="0031124D" w:rsidP="0031124D">
            <w:pPr>
              <w:pStyle w:val="ListBullet2"/>
            </w:pPr>
            <w:r w:rsidRPr="0031124D">
              <w:t>Of the apparatus under repair</w:t>
            </w:r>
          </w:p>
          <w:p w:rsidR="00000000" w:rsidRPr="0031124D" w:rsidP="0031124D">
            <w:pPr>
              <w:pStyle w:val="ListBullet2"/>
            </w:pPr>
            <w:r w:rsidRPr="0031124D">
              <w:t>Safety characteristics of electrical testing devices,</w:t>
            </w:r>
          </w:p>
          <w:p w:rsidR="00000000" w:rsidRPr="0031124D" w:rsidP="0031124D">
            <w:pPr>
              <w:pStyle w:val="ListBullet2"/>
            </w:pPr>
            <w:r w:rsidRPr="0031124D">
              <w:t>Chemical cleaning solvents, glues and joining wastes used in electronics,</w:t>
            </w:r>
          </w:p>
          <w:p w:rsidR="00000000" w:rsidRPr="0031124D" w:rsidP="0031124D">
            <w:pPr>
              <w:pStyle w:val="ListBullet2"/>
            </w:pPr>
            <w:r w:rsidRPr="0031124D">
              <w:t>Safe use of electrical testing device, and</w:t>
            </w:r>
          </w:p>
          <w:p w:rsidR="00000000" w:rsidRPr="0031124D" w:rsidP="0031124D">
            <w:pPr>
              <w:pStyle w:val="ListBullet2"/>
            </w:pPr>
            <w:r w:rsidRPr="0031124D">
              <w:t>Checks and storage methods for maintaining the safety of testing devices.</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10" w:name="O_422261"/>
      <w:bookmarkEnd w:id="10"/>
      <w:r w:rsidRPr="0031124D">
        <w:t>Evidence Guide</w:t>
      </w:r>
    </w:p>
    <w:tbl>
      <w:tblPr>
        <w:tblW w:w="0" w:type="auto"/>
        <w:tblLayout w:type="fixed"/>
        <w:tblCellMar>
          <w:left w:w="62" w:type="dxa"/>
          <w:right w:w="62" w:type="dxa"/>
        </w:tblCellMar>
        <w:tblLook w:val="0000"/>
      </w:tblPr>
      <w:tblGrid>
        <w:gridCol w:w="8460"/>
      </w:tblGrid>
      <w:tr w:rsidTr="005748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EVIDENCE GUIDE</w:t>
            </w:r>
          </w:p>
        </w:tc>
      </w:tr>
      <w:tr w:rsidTr="005748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9)</w:t>
            </w:r>
            <w:r w:rsidRPr="0031124D">
              <w:t xml:space="preserve"> The evidence guide provides advice on assessment and must be read in conjunction with the Performance Criteria, Required Skills and Knowledge, the Range Statement and the Assessment Guidelines for this Training Pac</w:t>
            </w:r>
            <w:r w:rsidRPr="0031124D">
              <w:t>kage. .</w:t>
            </w:r>
          </w:p>
          <w:p w:rsidR="00000000" w:rsidRPr="0031124D" w:rsidP="0031124D">
            <w:pPr>
              <w:pStyle w:val="BodyText"/>
            </w:pPr>
            <w:r w:rsidRPr="0031124D">
              <w:t>The Evidence Guide forms an integral part of this unit. It must be used in conjunction with all parts of the unit and performed in accordance with the Assessment Guidelines of this Training Package.</w:t>
            </w:r>
          </w:p>
        </w:tc>
      </w:tr>
    </w:tbl>
    <w:p w:rsidR="00000000" w:rsidRPr="0031124D" w:rsidP="0031124D">
      <w:pPr>
        <w:pStyle w:val="BodyText"/>
      </w:pPr>
    </w:p>
    <w:tbl>
      <w:tblPr>
        <w:tblW w:w="0" w:type="auto"/>
        <w:tblLayout w:type="fixed"/>
        <w:tblCellMar>
          <w:left w:w="62" w:type="dxa"/>
          <w:right w:w="62" w:type="dxa"/>
        </w:tblCellMar>
        <w:tblLook w:val="0000"/>
      </w:tblPr>
      <w:tblGrid>
        <w:gridCol w:w="1890"/>
        <w:gridCol w:w="6570"/>
      </w:tblGrid>
      <w:tr w:rsidTr="00574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9.1)</w:t>
            </w:r>
          </w:p>
        </w:tc>
      </w:tr>
      <w:tr w:rsidTr="00574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Longitudinal competency development approaches to assessment, such as Profiling, require data to be reliably gathered in a form that can be consistently interpreted over time. This approach is best utilised in Apprenticeship programs and reduces assessment</w:t>
            </w:r>
            <w:r w:rsidRPr="0031124D">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31124D">
              <w:t>cy in a realistically simulated work environment. It is recognised that, in some circumstances, assessment in part or full can occur outside the workplace. However, it must be in accord with industry and regulatory policy.</w:t>
            </w:r>
          </w:p>
          <w:p w:rsidR="00000000" w:rsidRPr="0031124D" w:rsidP="0031124D">
            <w:pPr>
              <w:pStyle w:val="BodyText"/>
            </w:pPr>
            <w:r w:rsidRPr="0031124D">
              <w:t>Methods chosen for a particular a</w:t>
            </w:r>
            <w:r w:rsidRPr="0031124D">
              <w:t>ssessment will be influenced by various factors. These include the extent of the assessment, the most effective locations for the assessment activities to take place, access to physical resources, additional safety measures that may be required and the cri</w:t>
            </w:r>
            <w:r w:rsidRPr="0031124D">
              <w:t>tical nature of the competencies being assessed.</w:t>
            </w:r>
          </w:p>
          <w:p w:rsidR="00000000" w:rsidRPr="0031124D" w:rsidP="0031124D">
            <w:pPr>
              <w:pStyle w:val="BodyText"/>
            </w:pPr>
            <w:r w:rsidRPr="0031124D">
              <w:t>The critical safety nature of working with electricity, electrical equipment, gas or any other hazardous substance/material carries risk in deeming a person competent. Sources of evidence need to be ‘rich’ i</w:t>
            </w:r>
            <w:r w:rsidRPr="0031124D">
              <w:t>n nature to minimise error in judgment.</w:t>
            </w:r>
          </w:p>
          <w:p w:rsidR="00000000" w:rsidRPr="0031124D" w:rsidP="0031124D">
            <w:pPr>
              <w:pStyle w:val="BodyText"/>
            </w:pPr>
            <w:r w:rsidRPr="0031124D">
              <w:t>Activities associated with normal everyday work influence decisions about how/how much the data gathered will contribute to its ‘richness’. Some skills are more critical to safety and operational requirements while t</w:t>
            </w:r>
            <w:r w:rsidRPr="0031124D">
              <w:t>he same skills may be more or less frequently practised. These points are raised for the assessors to consider when choosing an assessment method and developing assessment instruments. Sample assessment instruments are included for Assessors in the Assessm</w:t>
            </w:r>
            <w:r w:rsidRPr="0031124D">
              <w:t>ent Guidelines of this Training Package.</w:t>
            </w:r>
          </w:p>
        </w:tc>
      </w:tr>
    </w:tbl>
    <w:p w:rsidR="00000000" w:rsidRPr="0031124D" w:rsidP="0031124D">
      <w:pPr>
        <w:pStyle w:val="BodyText"/>
      </w:pPr>
    </w:p>
    <w:tbl>
      <w:tblPr>
        <w:tblW w:w="9831" w:type="dxa"/>
        <w:tblLayout w:type="fixed"/>
        <w:tblCellMar>
          <w:left w:w="62" w:type="dxa"/>
          <w:right w:w="62" w:type="dxa"/>
        </w:tblCellMar>
        <w:tblLook w:val="0000"/>
      </w:tblPr>
      <w:tblGrid>
        <w:gridCol w:w="1849"/>
        <w:gridCol w:w="41"/>
        <w:gridCol w:w="6051"/>
        <w:gridCol w:w="519"/>
        <w:gridCol w:w="1371"/>
      </w:tblGrid>
      <w:tr w:rsidTr="0057482A">
        <w:tblPrEx>
          <w:tblW w:w="9831" w:type="dxa"/>
          <w:tblLayout w:type="fixed"/>
          <w:tblCellMar>
            <w:left w:w="62" w:type="dxa"/>
            <w:right w:w="62" w:type="dxa"/>
          </w:tblCellMar>
          <w:tblLook w:val="0000"/>
        </w:tblPrEx>
        <w:trPr>
          <w:gridAfter w:val="1"/>
          <w:wAfter w:w="1371" w:type="dxa"/>
        </w:trPr>
        <w:tc>
          <w:tcPr>
            <w:tcW w:w="1890" w:type="dxa"/>
            <w:gridSpan w:val="2"/>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9.2)</w:t>
            </w:r>
          </w:p>
        </w:tc>
      </w:tr>
      <w:tr w:rsidTr="0057482A">
        <w:tblPrEx>
          <w:tblW w:w="9831" w:type="dxa"/>
          <w:tblLayout w:type="fixed"/>
          <w:tblCellMar>
            <w:left w:w="62" w:type="dxa"/>
            <w:right w:w="62" w:type="dxa"/>
          </w:tblCellMar>
          <w:tblLook w:val="0000"/>
        </w:tblPrEx>
        <w:trPr>
          <w:gridAfter w:val="1"/>
          <w:wAfter w:w="1371" w:type="dxa"/>
          <w:trHeight w:val="7251"/>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Before the critical aspects of evidence are considered all prerequisites shall be met.</w:t>
            </w:r>
          </w:p>
          <w:p w:rsidR="00000000" w:rsidRPr="0031124D" w:rsidP="0031124D">
            <w:pPr>
              <w:pStyle w:val="BodyText"/>
            </w:pPr>
            <w:r w:rsidRPr="0031124D">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31124D" w:rsidP="0031124D">
            <w:pPr>
              <w:pStyle w:val="ListBullet"/>
            </w:pPr>
            <w:r w:rsidRPr="0031124D">
              <w:t>A representative body of work performance demonstrated within the timeframes typically expected of the discipline, work function and industrial environment. In particular this shall incorporate evidence that shows a candidate is able to:</w:t>
            </w:r>
          </w:p>
          <w:p w:rsidR="00000000" w:rsidRPr="0031124D" w:rsidP="0031124D">
            <w:pPr>
              <w:pStyle w:val="ListBullet2"/>
            </w:pPr>
            <w:r w:rsidRPr="0031124D">
              <w:t>Implem</w:t>
            </w:r>
            <w:r w:rsidRPr="0031124D">
              <w:t>ent Occupational Health and Safety workplace procedures and practices, including the use of risk control measures as specified in the performance criteria and range statement</w:t>
            </w:r>
          </w:p>
          <w:p w:rsidR="00000000" w:rsidRPr="0031124D" w:rsidP="0031124D">
            <w:pPr>
              <w:pStyle w:val="ListBullet2"/>
            </w:pPr>
            <w:r w:rsidRPr="0031124D">
              <w:t>Apply sustainable energy principles and practices as specified in the performance</w:t>
            </w:r>
            <w:r w:rsidRPr="0031124D">
              <w:t xml:space="preserve"> criteria and range statement</w:t>
            </w:r>
          </w:p>
          <w:p w:rsidR="00000000" w:rsidRPr="0031124D" w:rsidP="0031124D">
            <w:pPr>
              <w:pStyle w:val="ListBullet2"/>
            </w:pPr>
            <w:r w:rsidRPr="0031124D">
              <w:t>Demonstrate an understanding of the essential knowledge and associated skills as described in this unit.  It may be required by some jurisdictions that RTOs provide a percentile graded result for the purpose of regulatory or l</w:t>
            </w:r>
            <w:r w:rsidRPr="0031124D">
              <w:t>icensing requirements.</w:t>
            </w:r>
          </w:p>
          <w:p w:rsidR="00000000" w:rsidRPr="0031124D" w:rsidP="0031124D">
            <w:pPr>
              <w:pStyle w:val="ListBullet2"/>
            </w:pPr>
            <w:r w:rsidRPr="0031124D">
              <w:t>Demonstrate an appropriate level of skills enabling employment</w:t>
            </w:r>
          </w:p>
          <w:p w:rsidR="00000000" w:rsidRPr="0031124D" w:rsidP="0031124D">
            <w:pPr>
              <w:pStyle w:val="ListBullet2"/>
            </w:pPr>
            <w:r w:rsidRPr="0031124D">
              <w:t>Conduct work observing the relevant Anti Discrimination legislation, regulations, polices and workplace procedures</w:t>
            </w:r>
          </w:p>
          <w:p w:rsidR="00000000" w:rsidRPr="0031124D" w:rsidP="0031124D">
            <w:pPr>
              <w:pStyle w:val="ListBullet"/>
            </w:pPr>
            <w:r w:rsidRPr="0031124D">
              <w:t>Demonstrated consistent performance across a represent</w:t>
            </w:r>
            <w:r w:rsidRPr="0031124D">
              <w:t>ative range of contexts from the prescribed items below:</w:t>
            </w:r>
          </w:p>
          <w:p w:rsidR="00000000" w:rsidP="0031124D">
            <w:pPr>
              <w:pStyle w:val="ListBullet2"/>
              <w:rPr>
                <w:lang w:val="en-NZ"/>
              </w:rPr>
            </w:pPr>
            <w:r w:rsidRPr="0031124D">
              <w:t>Find and repair faults in electronic apparatus as described in 8) and including:</w:t>
            </w:r>
          </w:p>
        </w:tc>
      </w:tr>
      <w:tr w:rsidTr="0057482A">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A</w:t>
            </w:r>
          </w:p>
        </w:tc>
        <w:tc>
          <w:tcPr>
            <w:tcW w:w="6092"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Using methodical fault finding techniques</w:t>
            </w:r>
          </w:p>
        </w:tc>
      </w:tr>
      <w:tr w:rsidTr="0057482A">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B</w:t>
            </w:r>
          </w:p>
        </w:tc>
        <w:tc>
          <w:tcPr>
            <w:tcW w:w="6092"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Finding faults efficiently</w:t>
            </w:r>
          </w:p>
        </w:tc>
      </w:tr>
      <w:tr w:rsidTr="0057482A">
        <w:tblPrEx>
          <w:tblW w:w="9831" w:type="dxa"/>
          <w:tblLayout w:type="fixed"/>
          <w:tblCellMar>
            <w:left w:w="62" w:type="dxa"/>
            <w:right w:w="62" w:type="dxa"/>
          </w:tblCellMar>
          <w:tblLook w:val="0000"/>
        </w:tblPrEx>
        <w:trPr>
          <w:gridAfter w:val="2"/>
          <w:wAfter w:w="1890" w:type="dxa"/>
          <w:trHeight w:val="361"/>
        </w:trPr>
        <w:tc>
          <w:tcPr>
            <w:tcW w:w="1849"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C</w:t>
            </w:r>
          </w:p>
        </w:tc>
        <w:tc>
          <w:tcPr>
            <w:tcW w:w="6092"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Replacing components without damage</w:t>
            </w:r>
          </w:p>
        </w:tc>
      </w:tr>
      <w:tr w:rsidTr="0057482A">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D</w:t>
            </w:r>
          </w:p>
        </w:tc>
        <w:tc>
          <w:tcPr>
            <w:tcW w:w="6092"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Providing written justification for the repairs</w:t>
            </w:r>
          </w:p>
        </w:tc>
      </w:tr>
      <w:tr w:rsidTr="0057482A">
        <w:tblPrEx>
          <w:tblW w:w="9831" w:type="dxa"/>
          <w:tblLayout w:type="fixed"/>
          <w:tblCellMar>
            <w:left w:w="62" w:type="dxa"/>
            <w:right w:w="62" w:type="dxa"/>
          </w:tblCellMar>
          <w:tblLook w:val="0000"/>
        </w:tblPrEx>
        <w:trPr>
          <w:gridAfter w:val="2"/>
          <w:wAfter w:w="1890" w:type="dxa"/>
        </w:trPr>
        <w:tc>
          <w:tcPr>
            <w:tcW w:w="1849"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E</w:t>
            </w:r>
          </w:p>
        </w:tc>
        <w:tc>
          <w:tcPr>
            <w:tcW w:w="6092" w:type="dxa"/>
            <w:gridSpan w:val="2"/>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t>Dealing with unplanned events by drawing on essential knowledge and skills to provide appropriate solutions incorporated in a holistic assessment with the above listed items</w:t>
            </w:r>
          </w:p>
        </w:tc>
      </w:tr>
      <w:tr w:rsidTr="0057482A">
        <w:tblPrEx>
          <w:tblW w:w="9831" w:type="dxa"/>
          <w:tblLayout w:type="fixed"/>
          <w:tblCellMar>
            <w:left w:w="62" w:type="dxa"/>
            <w:right w:w="62" w:type="dxa"/>
          </w:tblCellMar>
          <w:tblLook w:val="0000"/>
        </w:tblPrEx>
        <w:tc>
          <w:tcPr>
            <w:tcW w:w="9831" w:type="dxa"/>
            <w:gridSpan w:val="5"/>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 xml:space="preserve">Note: </w:t>
            </w:r>
            <w:r w:rsidRPr="0031124D">
              <w:br/>
            </w:r>
            <w:r w:rsidRPr="0031124D">
              <w:t>Successful completion of relevant vendor training may be used to contribute to evidence on which competency is deemed. In these cases the alignment of outcomes of vendor training with performance criteria and critical aspects of evidence shall be clearly i</w:t>
            </w:r>
            <w:r w:rsidRPr="0031124D">
              <w:t>dentified.</w:t>
            </w:r>
          </w:p>
        </w:tc>
      </w:tr>
    </w:tbl>
    <w:p w:rsidR="00000000" w:rsidRPr="0031124D" w:rsidP="0031124D">
      <w:pPr>
        <w:pStyle w:val="BodyText"/>
      </w:pPr>
    </w:p>
    <w:tbl>
      <w:tblPr>
        <w:tblW w:w="0" w:type="auto"/>
        <w:tblLayout w:type="fixed"/>
        <w:tblCellMar>
          <w:left w:w="62" w:type="dxa"/>
          <w:right w:w="62" w:type="dxa"/>
        </w:tblCellMar>
        <w:tblLook w:val="0000"/>
      </w:tblPr>
      <w:tblGrid>
        <w:gridCol w:w="1890"/>
        <w:gridCol w:w="6570"/>
      </w:tblGrid>
      <w:tr w:rsidTr="0057482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9.3)</w:t>
            </w:r>
          </w:p>
        </w:tc>
      </w:tr>
      <w:tr w:rsidTr="0057482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This unit should be assessed as it relates to normal work practice using procedures, information and resources typical of a workplace. This should include:</w:t>
            </w:r>
          </w:p>
          <w:p w:rsidR="00000000" w:rsidRPr="0031124D" w:rsidP="0031124D">
            <w:pPr>
              <w:pStyle w:val="ListBullet"/>
            </w:pPr>
            <w:r w:rsidRPr="0031124D">
              <w:t>OHS policy and work procedures and instructions.</w:t>
            </w:r>
          </w:p>
          <w:p w:rsidR="00000000" w:rsidRPr="0031124D" w:rsidP="0031124D">
            <w:pPr>
              <w:pStyle w:val="ListBullet"/>
            </w:pPr>
            <w:r w:rsidRPr="0031124D">
              <w:t>Suitable work environment, facilities, equipment and materials to undertake actual work as prescribed by this unit.</w:t>
            </w:r>
          </w:p>
          <w:p w:rsidR="00000000" w:rsidRPr="0031124D" w:rsidP="0031124D">
            <w:pPr>
              <w:pStyle w:val="BodyText"/>
            </w:pPr>
            <w:r w:rsidRPr="0031124D">
              <w:t>These should be part of the formal learning/assessment environment.</w:t>
            </w:r>
          </w:p>
          <w:p w:rsidR="00000000" w:rsidRPr="0031124D" w:rsidP="0031124D">
            <w:pPr>
              <w:pStyle w:val="BodyText"/>
            </w:pPr>
            <w:r w:rsidRPr="0031124D">
              <w:t>Note:</w:t>
            </w:r>
          </w:p>
          <w:p w:rsidR="00000000" w:rsidRPr="0031124D" w:rsidP="0031124D">
            <w:pPr>
              <w:pStyle w:val="BodyText"/>
            </w:pPr>
            <w:r w:rsidRPr="0031124D">
              <w:t xml:space="preserve">Where simulation </w:t>
            </w:r>
            <w:r w:rsidRPr="0031124D">
              <w:t>is considered a suitable strategy for assessment, conditions must be authentic and as far as possible reproduce and replicate the workplace and be consistent with the approved industry simulation policy.</w:t>
            </w:r>
          </w:p>
          <w:p w:rsidR="00000000" w:rsidRPr="0031124D" w:rsidP="0031124D">
            <w:pPr>
              <w:pStyle w:val="BodyText"/>
            </w:pPr>
            <w:r w:rsidRPr="0031124D">
              <w:t>The resources used for assessment should reflect cur</w:t>
            </w:r>
            <w:r w:rsidRPr="0031124D">
              <w:t>rent industry practices in relation to finding and repairing faults in electronic apparatus.</w:t>
            </w:r>
          </w:p>
        </w:tc>
      </w:tr>
    </w:tbl>
    <w:p w:rsidR="00000000" w:rsidRPr="0031124D" w:rsidP="0031124D">
      <w:pPr>
        <w:pStyle w:val="BodyText"/>
      </w:pPr>
    </w:p>
    <w:tbl>
      <w:tblPr>
        <w:tblW w:w="0" w:type="auto"/>
        <w:tblLayout w:type="fixed"/>
        <w:tblCellMar>
          <w:left w:w="62" w:type="dxa"/>
          <w:right w:w="62" w:type="dxa"/>
        </w:tblCellMar>
        <w:tblLook w:val="0000"/>
      </w:tblPr>
      <w:tblGrid>
        <w:gridCol w:w="1890"/>
        <w:gridCol w:w="6570"/>
      </w:tblGrid>
      <w:tr w:rsidTr="00574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9.4)</w:t>
            </w:r>
          </w:p>
        </w:tc>
      </w:tr>
      <w:tr w:rsidTr="00574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This unit shall be assessed by methods given in Volume 1, Part 3 ‘Assessment Guidelines’.</w:t>
            </w:r>
          </w:p>
          <w:p w:rsidR="00000000" w:rsidRPr="0031124D" w:rsidP="0031124D">
            <w:pPr>
              <w:pStyle w:val="BodyText"/>
            </w:pPr>
            <w:r w:rsidRPr="0031124D">
              <w:t xml:space="preserve">Note: </w:t>
            </w:r>
          </w:p>
          <w:p w:rsidR="00000000" w:rsidRPr="0031124D" w:rsidP="0031124D">
            <w:pPr>
              <w:pStyle w:val="BodyText"/>
            </w:pPr>
            <w:r w:rsidRPr="0031124D">
              <w:t>Competent performance with inherent safe working practices is expected in the industry to which this unit applies. This requires that the specified essential knowledge and associated skills are assessed in a structured environment which is primarily intend</w:t>
            </w:r>
            <w:r w:rsidRPr="0031124D">
              <w:t>ed for learning/assessment and incorporates all necessary equipment and facilities for learners to develop and demonstrate the essential knowledge and skills described in this unit.</w:t>
            </w:r>
          </w:p>
        </w:tc>
      </w:tr>
    </w:tbl>
    <w:p w:rsidR="00000000" w:rsidRPr="0031124D" w:rsidP="0031124D">
      <w:pPr>
        <w:pStyle w:val="BodyText"/>
      </w:pPr>
    </w:p>
    <w:tbl>
      <w:tblPr>
        <w:tblW w:w="0" w:type="auto"/>
        <w:tblLayout w:type="fixed"/>
        <w:tblCellMar>
          <w:left w:w="62" w:type="dxa"/>
          <w:right w:w="62" w:type="dxa"/>
        </w:tblCellMar>
        <w:tblLook w:val="0000"/>
      </w:tblPr>
      <w:tblGrid>
        <w:gridCol w:w="1890"/>
        <w:gridCol w:w="6570"/>
      </w:tblGrid>
      <w:tr w:rsidTr="00574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9.5)</w:t>
            </w:r>
          </w:p>
        </w:tc>
      </w:tr>
      <w:tr w:rsidTr="00574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There are</w:t>
            </w:r>
            <w:r w:rsidRPr="0031124D">
              <w:t xml:space="preserve"> no concurrent assessment recommendations for this unit.</w:t>
            </w:r>
          </w:p>
          <w:p w:rsidR="00000000" w:rsidRPr="0031124D" w:rsidP="0031124D">
            <w:pPr>
              <w:pStyle w:val="BodyText"/>
            </w:pPr>
            <w:r w:rsidRPr="0031124D">
              <w:t>The critical aspects of occupational health and safety covered in unit UEENEEE101A and other discipline specific occupational health and safety units shall be incorporated in relation to this unit.</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11" w:name="O_422265"/>
      <w:bookmarkEnd w:id="11"/>
      <w:r w:rsidRPr="0031124D">
        <w:t>Range Statement</w:t>
      </w:r>
    </w:p>
    <w:tbl>
      <w:tblPr>
        <w:tblW w:w="0" w:type="auto"/>
        <w:tblLayout w:type="fixed"/>
        <w:tblCellMar>
          <w:left w:w="62" w:type="dxa"/>
          <w:right w:w="62" w:type="dxa"/>
        </w:tblCellMar>
        <w:tblLook w:val="0000"/>
      </w:tblPr>
      <w:tblGrid>
        <w:gridCol w:w="8460"/>
      </w:tblGrid>
      <w:tr w:rsidTr="005748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RANGE STATEMENT</w:t>
            </w:r>
          </w:p>
        </w:tc>
      </w:tr>
      <w:tr w:rsidTr="005748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10)</w:t>
            </w:r>
            <w:r w:rsidRPr="0031124D">
              <w:t xml:space="preserve"> This relates to the unit as a whole providing the range of contexts and conditions to which the performance criteria apply. It allows for different work environments and situations that will affect per</w:t>
            </w:r>
            <w:r w:rsidRPr="0031124D">
              <w:t>formance.</w:t>
            </w:r>
          </w:p>
          <w:p w:rsidR="00000000" w:rsidRPr="0031124D" w:rsidP="0031124D">
            <w:pPr>
              <w:pStyle w:val="BodyText"/>
            </w:pPr>
            <w:r w:rsidRPr="0031124D">
              <w:t>This unit shall be demonstrated in relation to finding and repairing four different faults in two different types of electronic apparatus.</w:t>
            </w:r>
          </w:p>
          <w:p w:rsidR="00000000" w:rsidRPr="0031124D" w:rsidP="0031124D">
            <w:pPr>
              <w:pStyle w:val="BodyText"/>
            </w:pPr>
            <w:r w:rsidRPr="0031124D">
              <w:t>Note.</w:t>
            </w:r>
          </w:p>
          <w:p w:rsidR="00000000" w:rsidRPr="0031124D" w:rsidP="0031124D">
            <w:pPr>
              <w:pStyle w:val="BodyText"/>
            </w:pPr>
            <w:r w:rsidRPr="0031124D">
              <w:t>Examples of electronic apparatus are communication-networking devices, data capture devices, fire pro</w:t>
            </w:r>
            <w:r w:rsidRPr="0031124D">
              <w:t>tection panels, industrial control apparatus, instrumentation electronics, security panels, and the like.</w:t>
            </w:r>
          </w:p>
          <w:p w:rsidR="00000000" w:rsidRPr="0031124D" w:rsidP="0031124D">
            <w:pPr>
              <w:pStyle w:val="BodyText"/>
            </w:pPr>
            <w:r w:rsidRPr="0031124D">
              <w:t>Generic terms used throughout this Vocational Standard shall be regarded as part of the Range Statement in which competency is demonstrated. The defin</w:t>
            </w:r>
            <w:r w:rsidRPr="0031124D">
              <w:t>ition of these and other terms that apply are given in Volume 2, Part 2.1.</w:t>
            </w:r>
          </w:p>
        </w:tc>
      </w:tr>
    </w:tbl>
    <w:p w:rsidR="00000000" w:rsidRPr="0031124D" w:rsidP="0031124D">
      <w:pPr>
        <w:pStyle w:val="BodyText"/>
      </w:pPr>
    </w:p>
    <w:p w:rsidR="00000000" w:rsidRPr="0031124D" w:rsidP="0031124D">
      <w:pPr>
        <w:pStyle w:val="AllowPageBreak"/>
      </w:pPr>
    </w:p>
    <w:p w:rsidR="00000000" w:rsidRPr="0031124D" w:rsidP="0031124D">
      <w:pPr>
        <w:pStyle w:val="Heading1"/>
      </w:pPr>
      <w:bookmarkStart w:id="12" w:name="O_422268"/>
      <w:bookmarkEnd w:id="12"/>
      <w:r w:rsidRPr="0031124D">
        <w:t>Unit Sector(s)</w:t>
      </w:r>
    </w:p>
    <w:p w:rsidR="00000000" w:rsidRPr="0031124D" w:rsidP="0031124D">
      <w:pPr>
        <w:pStyle w:val="BodyText"/>
      </w:pPr>
      <w:r w:rsidRPr="0031124D">
        <w:t>Not applicable.</w:t>
      </w:r>
    </w:p>
    <w:p w:rsidR="00000000" w:rsidRPr="0031124D" w:rsidP="0031124D">
      <w:pPr>
        <w:pStyle w:val="AllowPageBreak"/>
      </w:pPr>
    </w:p>
    <w:p w:rsidR="00000000" w:rsidRPr="0031124D" w:rsidP="0031124D">
      <w:pPr>
        <w:pStyle w:val="Heading1"/>
      </w:pPr>
      <w:bookmarkStart w:id="13" w:name="O_422257"/>
      <w:bookmarkEnd w:id="13"/>
      <w:r w:rsidRPr="0031124D">
        <w:t>Competency Field</w:t>
      </w:r>
    </w:p>
    <w:tbl>
      <w:tblPr>
        <w:tblW w:w="0" w:type="auto"/>
        <w:tblLayout w:type="fixed"/>
        <w:tblCellMar>
          <w:left w:w="62" w:type="dxa"/>
          <w:right w:w="62" w:type="dxa"/>
        </w:tblCellMar>
        <w:tblLook w:val="0000"/>
      </w:tblPr>
      <w:tblGrid>
        <w:gridCol w:w="2700"/>
        <w:gridCol w:w="5760"/>
      </w:tblGrid>
      <w:tr w:rsidTr="00574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124D">
            <w:pPr>
              <w:pStyle w:val="BodyText"/>
              <w:rPr>
                <w:lang w:val="en-NZ"/>
              </w:rPr>
            </w:pPr>
            <w:r w:rsidRPr="0031124D">
              <w:rPr>
                <w:rStyle w:val="SpecialBold"/>
              </w:rPr>
              <w:t xml:space="preserve">11) </w:t>
            </w:r>
          </w:p>
        </w:tc>
      </w:tr>
      <w:tr w:rsidTr="00574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24D" w:rsidP="0031124D">
            <w:pPr>
              <w:pStyle w:val="BodyText"/>
            </w:pPr>
            <w:r w:rsidRPr="0031124D">
              <w:t>Electronics</w:t>
            </w:r>
          </w:p>
        </w:tc>
      </w:tr>
    </w:tbl>
    <w:p w:rsidR="00000000" w:rsidRPr="0031124D" w:rsidP="0031124D">
      <w:pPr>
        <w:pStyle w:val="BodyText"/>
      </w:pPr>
    </w:p>
    <w:p w:rsidR="00000000" w:rsidRPr="0031124D" w:rsidP="0031124D"/>
    <w:sectPr w:rsidSect="00311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82A" w:rsidP="00574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82A" w:rsidP="00311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7482A" w:rsidP="00311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7482A" w:rsidP="00311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82A" w:rsidP="005748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82A" w:rsidP="0031124D">
    <w:pPr>
      <w:pStyle w:val="Header"/>
      <w:framePr w:wrap="around"/>
    </w:pPr>
    <w:r>
      <w:fldChar w:fldCharType="begin"/>
    </w:r>
    <w:r>
      <w:instrText xml:space="preserve"> TITLE   \* MERGEFORMAT </w:instrText>
    </w:r>
    <w:r>
      <w:fldChar w:fldCharType="separate"/>
    </w:r>
    <w:r>
      <w:t>UEENEEH118A Fault find and repair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482A" w:rsidP="003112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CF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EB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09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2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24D"/>
    <w:pPr>
      <w:spacing w:before="360" w:after="60"/>
      <w:outlineLvl w:val="0"/>
    </w:pPr>
    <w:rPr>
      <w:sz w:val="32"/>
    </w:rPr>
  </w:style>
  <w:style w:type="paragraph" w:styleId="Heading2">
    <w:name w:val="heading 2"/>
    <w:basedOn w:val="HeadingBase"/>
    <w:next w:val="BodyText"/>
    <w:link w:val="Heading2Char"/>
    <w:qFormat/>
    <w:rsid w:val="0031124D"/>
    <w:pPr>
      <w:keepLines/>
      <w:spacing w:before="240" w:after="120"/>
      <w:outlineLvl w:val="1"/>
    </w:pPr>
    <w:rPr>
      <w:sz w:val="28"/>
      <w:szCs w:val="40"/>
    </w:rPr>
  </w:style>
  <w:style w:type="paragraph" w:styleId="Heading3">
    <w:name w:val="heading 3"/>
    <w:basedOn w:val="HeadingBase"/>
    <w:next w:val="BodyText"/>
    <w:link w:val="Heading3Char"/>
    <w:qFormat/>
    <w:rsid w:val="0031124D"/>
    <w:pPr>
      <w:spacing w:before="180" w:after="120"/>
      <w:outlineLvl w:val="2"/>
    </w:pPr>
    <w:rPr>
      <w:spacing w:val="-10"/>
      <w:kern w:val="32"/>
    </w:rPr>
  </w:style>
  <w:style w:type="paragraph" w:styleId="Heading4">
    <w:name w:val="heading 4"/>
    <w:basedOn w:val="HeadingBase"/>
    <w:next w:val="BodyText"/>
    <w:link w:val="Heading4Char"/>
    <w:qFormat/>
    <w:rsid w:val="0031124D"/>
    <w:pPr>
      <w:spacing w:before="160" w:after="120"/>
      <w:outlineLvl w:val="3"/>
    </w:pPr>
    <w:rPr>
      <w:sz w:val="22"/>
    </w:rPr>
  </w:style>
  <w:style w:type="paragraph" w:styleId="Heading5">
    <w:name w:val="heading 5"/>
    <w:basedOn w:val="HeadingBase"/>
    <w:next w:val="Normal"/>
    <w:link w:val="Heading5Char"/>
    <w:qFormat/>
    <w:rsid w:val="0031124D"/>
    <w:pPr>
      <w:spacing w:before="80"/>
      <w:outlineLvl w:val="4"/>
    </w:pPr>
    <w:rPr>
      <w:color w:val="918585"/>
      <w:sz w:val="20"/>
    </w:rPr>
  </w:style>
  <w:style w:type="paragraph" w:styleId="Heading6">
    <w:name w:val="heading 6"/>
    <w:basedOn w:val="HeadingBase"/>
    <w:next w:val="Normal"/>
    <w:link w:val="Heading6Char"/>
    <w:qFormat/>
    <w:rsid w:val="0031124D"/>
    <w:pPr>
      <w:spacing w:before="60"/>
      <w:outlineLvl w:val="5"/>
    </w:pPr>
    <w:rPr>
      <w:color w:val="918585"/>
      <w:sz w:val="20"/>
    </w:rPr>
  </w:style>
  <w:style w:type="paragraph" w:styleId="Heading7">
    <w:name w:val="heading 7"/>
    <w:basedOn w:val="Normal"/>
    <w:next w:val="Normal"/>
    <w:link w:val="Heading7Char"/>
    <w:qFormat/>
    <w:rsid w:val="0031124D"/>
    <w:pPr>
      <w:ind w:left="720"/>
      <w:outlineLvl w:val="6"/>
    </w:pPr>
    <w:rPr>
      <w:i/>
    </w:rPr>
  </w:style>
  <w:style w:type="paragraph" w:styleId="Heading8">
    <w:name w:val="heading 8"/>
    <w:basedOn w:val="Normal"/>
    <w:next w:val="Normal"/>
    <w:link w:val="Heading8Char"/>
    <w:qFormat/>
    <w:rsid w:val="0031124D"/>
    <w:pPr>
      <w:ind w:left="720"/>
      <w:outlineLvl w:val="7"/>
    </w:pPr>
    <w:rPr>
      <w:i/>
    </w:rPr>
  </w:style>
  <w:style w:type="paragraph" w:styleId="Heading9">
    <w:name w:val="heading 9"/>
    <w:basedOn w:val="Normal"/>
    <w:next w:val="Normal"/>
    <w:link w:val="Heading9Char"/>
    <w:qFormat/>
    <w:rsid w:val="0031124D"/>
    <w:pPr>
      <w:ind w:left="720"/>
      <w:outlineLvl w:val="8"/>
    </w:pPr>
    <w:rPr>
      <w:i/>
    </w:rPr>
  </w:style>
  <w:style w:type="character" w:default="1" w:styleId="DefaultParagraphFont">
    <w:name w:val="Default Paragraph Font"/>
    <w:uiPriority w:val="1"/>
    <w:unhideWhenUsed/>
    <w:rsid w:val="00311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24D"/>
  </w:style>
  <w:style w:type="character" w:customStyle="1" w:styleId="Heading1Char">
    <w:name w:val="Heading 1 Char"/>
    <w:basedOn w:val="DefaultParagraphFont"/>
    <w:link w:val="Heading1"/>
    <w:rsid w:val="0031124D"/>
    <w:rPr>
      <w:rFonts w:ascii="Times New Roman" w:eastAsia="Times New Roman" w:hAnsi="Times New Roman" w:cs="Times New Roman"/>
      <w:b/>
      <w:sz w:val="32"/>
      <w:szCs w:val="20"/>
      <w:lang w:eastAsia="en-US"/>
    </w:rPr>
  </w:style>
  <w:style w:type="paragraph" w:styleId="BodyText">
    <w:name w:val="Body Text"/>
    <w:basedOn w:val="Normal"/>
    <w:link w:val="BodyTextChar"/>
    <w:rsid w:val="00311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24D"/>
    <w:rPr>
      <w:rFonts w:ascii="Times New Roman" w:eastAsia="Times New Roman" w:hAnsi="Times New Roman" w:cs="Times New Roman"/>
      <w:sz w:val="24"/>
      <w:lang w:val="en-US" w:eastAsia="en-US"/>
    </w:rPr>
  </w:style>
  <w:style w:type="paragraph" w:styleId="Footer">
    <w:name w:val="footer"/>
    <w:basedOn w:val="Normal"/>
    <w:link w:val="FooterChar"/>
    <w:rsid w:val="00311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24D"/>
    <w:rPr>
      <w:rFonts w:ascii="Times New Roman" w:eastAsia="Times New Roman" w:hAnsi="Times New Roman" w:cs="Times New Roman"/>
      <w:sz w:val="16"/>
      <w:lang w:val="en-US" w:eastAsia="en-US"/>
    </w:rPr>
  </w:style>
  <w:style w:type="paragraph" w:styleId="ListBullet">
    <w:name w:val="List Bullet"/>
    <w:basedOn w:val="List"/>
    <w:rsid w:val="0031124D"/>
    <w:pPr>
      <w:numPr>
        <w:numId w:val="13"/>
      </w:numPr>
      <w:tabs>
        <w:tab w:val="clear" w:pos="340"/>
      </w:tabs>
      <w:spacing w:before="40" w:after="40"/>
    </w:pPr>
  </w:style>
  <w:style w:type="character" w:customStyle="1" w:styleId="SpecialBold">
    <w:name w:val="Special Bold"/>
    <w:basedOn w:val="DefaultParagraphFont"/>
    <w:rsid w:val="0031124D"/>
    <w:rPr>
      <w:b/>
      <w:spacing w:val="0"/>
    </w:rPr>
  </w:style>
  <w:style w:type="paragraph" w:styleId="ListBullet2">
    <w:name w:val="List Bullet 2"/>
    <w:basedOn w:val="List2"/>
    <w:rsid w:val="0031124D"/>
    <w:pPr>
      <w:numPr>
        <w:numId w:val="14"/>
      </w:numPr>
      <w:tabs>
        <w:tab w:val="clear" w:pos="680"/>
      </w:tabs>
    </w:pPr>
  </w:style>
  <w:style w:type="paragraph" w:styleId="Header">
    <w:name w:val="header"/>
    <w:basedOn w:val="Normal"/>
    <w:link w:val="HeaderChar"/>
    <w:rsid w:val="00311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2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124D"/>
    <w:pPr>
      <w:spacing w:before="240" w:after="120"/>
      <w:outlineLvl w:val="0"/>
    </w:pPr>
    <w:rPr>
      <w:rFonts w:ascii="Times New Roman" w:hAnsi="Times New Roman"/>
      <w:b/>
      <w:sz w:val="28"/>
    </w:rPr>
  </w:style>
  <w:style w:type="paragraph" w:customStyle="1" w:styleId="AllowPageBreak">
    <w:name w:val="AllowPageBreak"/>
    <w:rsid w:val="00311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2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2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24D"/>
    <w:rPr>
      <w:rFonts w:ascii="Courier New" w:eastAsia="Times New Roman" w:hAnsi="Courier New" w:cs="Times New Roman"/>
      <w:i/>
      <w:szCs w:val="20"/>
      <w:lang w:val="en-US" w:eastAsia="en-US"/>
    </w:rPr>
  </w:style>
  <w:style w:type="paragraph" w:customStyle="1" w:styleId="HeadingBase">
    <w:name w:val="Heading Base"/>
    <w:rsid w:val="00311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24D"/>
    <w:pPr>
      <w:tabs>
        <w:tab w:val="right" w:leader="dot" w:pos="9072"/>
      </w:tabs>
      <w:ind w:left="567"/>
    </w:pPr>
    <w:rPr>
      <w:szCs w:val="22"/>
    </w:rPr>
  </w:style>
  <w:style w:type="paragraph" w:customStyle="1" w:styleId="TOCBase">
    <w:name w:val="TOC Base"/>
    <w:rsid w:val="00311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24D"/>
    <w:pPr>
      <w:tabs>
        <w:tab w:val="right" w:leader="dot" w:pos="9072"/>
      </w:tabs>
      <w:spacing w:before="40" w:after="40"/>
      <w:ind w:left="284"/>
    </w:pPr>
    <w:rPr>
      <w:rFonts w:ascii="Times New Roman" w:hAnsi="Times New Roman"/>
    </w:rPr>
  </w:style>
  <w:style w:type="paragraph" w:styleId="TOC1">
    <w:name w:val="toc 1"/>
    <w:basedOn w:val="TOCBase"/>
    <w:next w:val="Normal"/>
    <w:rsid w:val="00311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24D"/>
    <w:pPr>
      <w:spacing w:before="5040"/>
      <w:jc w:val="center"/>
    </w:pPr>
    <w:rPr>
      <w:sz w:val="48"/>
      <w:szCs w:val="72"/>
      <w:lang w:val="en-US"/>
    </w:rPr>
  </w:style>
  <w:style w:type="character" w:customStyle="1" w:styleId="TitleChar">
    <w:name w:val="Title Char"/>
    <w:basedOn w:val="DefaultParagraphFont"/>
    <w:link w:val="Title"/>
    <w:rsid w:val="00311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24D"/>
    <w:pPr>
      <w:tabs>
        <w:tab w:val="left" w:pos="3600"/>
        <w:tab w:val="left" w:pos="3958"/>
      </w:tabs>
    </w:pPr>
  </w:style>
  <w:style w:type="paragraph" w:styleId="List">
    <w:name w:val="List"/>
    <w:basedOn w:val="BodyText"/>
    <w:next w:val="BodyText"/>
    <w:rsid w:val="0031124D"/>
    <w:pPr>
      <w:tabs>
        <w:tab w:val="left" w:pos="340"/>
      </w:tabs>
      <w:spacing w:before="60" w:after="60"/>
      <w:ind w:left="340" w:hanging="340"/>
    </w:pPr>
  </w:style>
  <w:style w:type="paragraph" w:customStyle="1" w:styleId="Note">
    <w:name w:val="Note"/>
    <w:basedOn w:val="BodyText"/>
    <w:rsid w:val="00311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24D"/>
    <w:pPr>
      <w:framePr w:wrap="auto" w:hAnchor="text" w:y="6049"/>
    </w:pPr>
    <w:rPr>
      <w:color w:val="000000"/>
      <w:sz w:val="40"/>
    </w:rPr>
  </w:style>
  <w:style w:type="paragraph" w:customStyle="1" w:styleId="TOCTitle">
    <w:name w:val="TOCTitle"/>
    <w:basedOn w:val="Heading1"/>
    <w:rsid w:val="0031124D"/>
    <w:pPr>
      <w:spacing w:after="240"/>
      <w:jc w:val="center"/>
      <w:outlineLvl w:val="9"/>
    </w:pPr>
    <w:rPr>
      <w:caps/>
    </w:rPr>
  </w:style>
  <w:style w:type="paragraph" w:customStyle="1" w:styleId="Version">
    <w:name w:val="Version"/>
    <w:rsid w:val="00311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24D"/>
    <w:pPr>
      <w:keepNext w:val="0"/>
      <w:tabs>
        <w:tab w:val="right" w:pos="4176"/>
      </w:tabs>
      <w:ind w:left="198" w:hanging="198"/>
    </w:pPr>
    <w:rPr>
      <w:rFonts w:ascii="Garamond" w:hAnsi="Garamond"/>
    </w:rPr>
  </w:style>
  <w:style w:type="paragraph" w:styleId="IndexHeading">
    <w:name w:val="index heading"/>
    <w:basedOn w:val="Normal"/>
    <w:next w:val="Index1"/>
    <w:semiHidden/>
    <w:rsid w:val="0031124D"/>
    <w:pPr>
      <w:spacing w:before="120" w:after="120"/>
    </w:pPr>
    <w:rPr>
      <w:rFonts w:ascii="Arial" w:hAnsi="Arial"/>
      <w:b/>
      <w:color w:val="918585"/>
      <w:sz w:val="24"/>
    </w:rPr>
  </w:style>
  <w:style w:type="paragraph" w:customStyle="1" w:styleId="Chapter">
    <w:name w:val="Chapter"/>
    <w:basedOn w:val="Normal"/>
    <w:rsid w:val="0031124D"/>
    <w:pPr>
      <w:spacing w:before="240"/>
    </w:pPr>
    <w:rPr>
      <w:rFonts w:ascii="Times New Roman" w:hAnsi="Times New Roman"/>
      <w:smallCaps/>
      <w:spacing w:val="80"/>
      <w:sz w:val="28"/>
    </w:rPr>
  </w:style>
  <w:style w:type="paragraph" w:customStyle="1" w:styleId="InChapter">
    <w:name w:val="InChapter"/>
    <w:basedOn w:val="Heading3"/>
    <w:rsid w:val="0031124D"/>
    <w:pPr>
      <w:spacing w:after="240"/>
      <w:outlineLvl w:val="9"/>
    </w:pPr>
    <w:rPr>
      <w:noProof/>
    </w:rPr>
  </w:style>
  <w:style w:type="paragraph" w:styleId="Index2">
    <w:name w:val="index 2"/>
    <w:basedOn w:val="Normal"/>
    <w:next w:val="Normal"/>
    <w:semiHidden/>
    <w:rsid w:val="0031124D"/>
    <w:pPr>
      <w:tabs>
        <w:tab w:val="right" w:pos="4176"/>
      </w:tabs>
      <w:ind w:left="568" w:hanging="284"/>
    </w:pPr>
    <w:rPr>
      <w:rFonts w:ascii="Garamond" w:hAnsi="Garamond"/>
    </w:rPr>
  </w:style>
  <w:style w:type="paragraph" w:customStyle="1" w:styleId="Byline">
    <w:name w:val="Byline"/>
    <w:rsid w:val="00311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24D"/>
    <w:pPr>
      <w:tabs>
        <w:tab w:val="clear" w:pos="3600"/>
        <w:tab w:val="clear" w:pos="3958"/>
      </w:tabs>
      <w:jc w:val="right"/>
    </w:pPr>
  </w:style>
  <w:style w:type="character" w:styleId="Emphasis">
    <w:name w:val="Emphasis"/>
    <w:basedOn w:val="DefaultParagraphFont"/>
    <w:qFormat/>
    <w:rsid w:val="0031124D"/>
    <w:rPr>
      <w:i/>
    </w:rPr>
  </w:style>
  <w:style w:type="paragraph" w:styleId="Caption">
    <w:name w:val="caption"/>
    <w:basedOn w:val="BodyText"/>
    <w:next w:val="Normal"/>
    <w:qFormat/>
    <w:rsid w:val="0031124D"/>
    <w:pPr>
      <w:framePr w:w="2268" w:hSpace="181" w:vSpace="181" w:wrap="around" w:vAnchor="text" w:hAnchor="page" w:x="1135" w:y="285" w:anchorLock="1"/>
    </w:pPr>
    <w:rPr>
      <w:i/>
    </w:rPr>
  </w:style>
  <w:style w:type="paragraph" w:customStyle="1" w:styleId="MiniTOCTitle">
    <w:name w:val="MiniTOCTitle"/>
    <w:basedOn w:val="Heading4"/>
    <w:rsid w:val="0031124D"/>
    <w:pPr>
      <w:spacing w:before="240"/>
      <w:outlineLvl w:val="9"/>
    </w:pPr>
    <w:rPr>
      <w:noProof/>
      <w:sz w:val="24"/>
    </w:rPr>
  </w:style>
  <w:style w:type="paragraph" w:customStyle="1" w:styleId="MiniTOCItem">
    <w:name w:val="MiniTOCItem"/>
    <w:basedOn w:val="ListBullet"/>
    <w:rsid w:val="0031124D"/>
    <w:pPr>
      <w:numPr>
        <w:numId w:val="0"/>
      </w:numPr>
      <w:tabs>
        <w:tab w:val="right" w:leader="dot" w:pos="6521"/>
      </w:tabs>
      <w:spacing w:before="0" w:after="0"/>
    </w:pPr>
  </w:style>
  <w:style w:type="paragraph" w:customStyle="1" w:styleId="TOFTitle">
    <w:name w:val="TOFTitle"/>
    <w:basedOn w:val="TOCTitle"/>
    <w:rsid w:val="0031124D"/>
  </w:style>
  <w:style w:type="paragraph" w:styleId="TableofFigures">
    <w:name w:val="table of figures"/>
    <w:basedOn w:val="Normal"/>
    <w:next w:val="Normal"/>
    <w:semiHidden/>
    <w:rsid w:val="0031124D"/>
    <w:pPr>
      <w:tabs>
        <w:tab w:val="right" w:leader="dot" w:pos="9072"/>
      </w:tabs>
      <w:ind w:left="970" w:hanging="403"/>
    </w:pPr>
    <w:rPr>
      <w:rFonts w:ascii="Times New Roman" w:hAnsi="Times New Roman"/>
      <w:b/>
    </w:rPr>
  </w:style>
  <w:style w:type="paragraph" w:styleId="ListNumber">
    <w:name w:val="List Number"/>
    <w:basedOn w:val="List"/>
    <w:rsid w:val="0031124D"/>
    <w:pPr>
      <w:numPr>
        <w:numId w:val="11"/>
      </w:numPr>
    </w:pPr>
  </w:style>
  <w:style w:type="character" w:customStyle="1" w:styleId="WingdingSymbols">
    <w:name w:val="Wingding Symbols"/>
    <w:rsid w:val="0031124D"/>
    <w:rPr>
      <w:rFonts w:ascii="Wingdings" w:hAnsi="Wingdings"/>
    </w:rPr>
  </w:style>
  <w:style w:type="paragraph" w:customStyle="1" w:styleId="TableHeading">
    <w:name w:val="Table Heading"/>
    <w:basedOn w:val="HeadingBase"/>
    <w:rsid w:val="0031124D"/>
    <w:pPr>
      <w:keepLines/>
      <w:pBdr>
        <w:bottom w:val="single" w:sz="6" w:space="1" w:color="918585"/>
      </w:pBdr>
      <w:spacing w:before="240"/>
    </w:pPr>
  </w:style>
  <w:style w:type="character" w:customStyle="1" w:styleId="HotSpot">
    <w:name w:val="HotSpot"/>
    <w:rsid w:val="0031124D"/>
    <w:rPr>
      <w:color w:val="0033CC"/>
      <w:u w:val="none"/>
    </w:rPr>
  </w:style>
  <w:style w:type="paragraph" w:customStyle="1" w:styleId="BodyTextRight">
    <w:name w:val="Body Text Right"/>
    <w:basedOn w:val="BodyText"/>
    <w:rsid w:val="0031124D"/>
    <w:pPr>
      <w:spacing w:before="0" w:after="0"/>
      <w:jc w:val="right"/>
    </w:pPr>
  </w:style>
  <w:style w:type="paragraph" w:styleId="Index3">
    <w:name w:val="index 3"/>
    <w:basedOn w:val="ListNumber2"/>
    <w:next w:val="Normal"/>
    <w:semiHidden/>
    <w:rsid w:val="0031124D"/>
    <w:pPr>
      <w:numPr>
        <w:numId w:val="0"/>
      </w:numPr>
      <w:tabs>
        <w:tab w:val="right" w:leader="dot" w:pos="4176"/>
      </w:tabs>
    </w:pPr>
  </w:style>
  <w:style w:type="paragraph" w:styleId="ListNumber2">
    <w:name w:val="List Number 2"/>
    <w:basedOn w:val="List2"/>
    <w:rsid w:val="0031124D"/>
    <w:pPr>
      <w:numPr>
        <w:numId w:val="10"/>
      </w:numPr>
      <w:tabs>
        <w:tab w:val="clear" w:pos="1060"/>
      </w:tabs>
    </w:pPr>
  </w:style>
  <w:style w:type="paragraph" w:customStyle="1" w:styleId="MarginNote">
    <w:name w:val="Margin Note"/>
    <w:basedOn w:val="BodyText"/>
    <w:rsid w:val="00311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2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24D"/>
    <w:rPr>
      <w:sz w:val="32"/>
    </w:rPr>
  </w:style>
  <w:style w:type="paragraph" w:customStyle="1" w:styleId="HeadingProcedure">
    <w:name w:val="Heading Procedure"/>
    <w:basedOn w:val="HeadingBase"/>
    <w:next w:val="Normal"/>
    <w:rsid w:val="0031124D"/>
    <w:pPr>
      <w:tabs>
        <w:tab w:val="left" w:pos="0"/>
      </w:tabs>
      <w:spacing w:before="120" w:after="60"/>
    </w:pPr>
    <w:rPr>
      <w:i/>
      <w:color w:val="918585"/>
      <w:sz w:val="22"/>
    </w:rPr>
  </w:style>
  <w:style w:type="paragraph" w:customStyle="1" w:styleId="TableBodyText">
    <w:name w:val="Table Body Text"/>
    <w:basedOn w:val="BodyText"/>
    <w:rsid w:val="0031124D"/>
    <w:pPr>
      <w:spacing w:before="60" w:after="60"/>
    </w:pPr>
  </w:style>
  <w:style w:type="paragraph" w:styleId="ListContinue">
    <w:name w:val="List Continue"/>
    <w:basedOn w:val="List"/>
    <w:rsid w:val="0031124D"/>
    <w:pPr>
      <w:ind w:firstLine="0"/>
    </w:pPr>
  </w:style>
  <w:style w:type="paragraph" w:customStyle="1" w:styleId="ListNote">
    <w:name w:val="List Note"/>
    <w:basedOn w:val="List"/>
    <w:rsid w:val="0031124D"/>
    <w:pPr>
      <w:pBdr>
        <w:top w:val="single" w:sz="6" w:space="2" w:color="918585"/>
        <w:bottom w:val="single" w:sz="6" w:space="2" w:color="918585"/>
      </w:pBdr>
      <w:tabs>
        <w:tab w:val="left" w:pos="1021"/>
      </w:tabs>
      <w:ind w:firstLine="0"/>
    </w:pPr>
  </w:style>
  <w:style w:type="paragraph" w:customStyle="1" w:styleId="Warning">
    <w:name w:val="Warning"/>
    <w:basedOn w:val="BodyText"/>
    <w:rsid w:val="0031124D"/>
    <w:pPr>
      <w:shd w:val="clear" w:color="auto" w:fill="D9D9D9"/>
      <w:tabs>
        <w:tab w:val="left" w:pos="992"/>
      </w:tabs>
      <w:ind w:left="119" w:right="119"/>
    </w:pPr>
    <w:rPr>
      <w:sz w:val="20"/>
    </w:rPr>
  </w:style>
  <w:style w:type="paragraph" w:customStyle="1" w:styleId="MarginIcons">
    <w:name w:val="Margin Icons"/>
    <w:basedOn w:val="BodyText"/>
    <w:rsid w:val="00311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24D"/>
    <w:rPr>
      <w:rFonts w:ascii="Courier New" w:hAnsi="Courier New"/>
    </w:rPr>
  </w:style>
  <w:style w:type="paragraph" w:customStyle="1" w:styleId="NoteBullet">
    <w:name w:val="Note Bullet"/>
    <w:basedOn w:val="Note"/>
    <w:rsid w:val="0031124D"/>
    <w:pPr>
      <w:tabs>
        <w:tab w:val="clear" w:pos="680"/>
      </w:tabs>
      <w:spacing w:before="60" w:after="60"/>
    </w:pPr>
  </w:style>
  <w:style w:type="paragraph" w:customStyle="1" w:styleId="SubHeading2">
    <w:name w:val="SubHeading2"/>
    <w:basedOn w:val="HeadingBase"/>
    <w:rsid w:val="0031124D"/>
    <w:pPr>
      <w:spacing w:before="240" w:after="60"/>
    </w:pPr>
    <w:rPr>
      <w:sz w:val="20"/>
    </w:rPr>
  </w:style>
  <w:style w:type="paragraph" w:customStyle="1" w:styleId="SubHeading1">
    <w:name w:val="SubHeading1"/>
    <w:basedOn w:val="HeadingBase"/>
    <w:rsid w:val="0031124D"/>
    <w:pPr>
      <w:spacing w:before="240" w:after="60"/>
    </w:pPr>
    <w:rPr>
      <w:color w:val="918585"/>
      <w:sz w:val="22"/>
    </w:rPr>
  </w:style>
  <w:style w:type="paragraph" w:customStyle="1" w:styleId="SideHeading">
    <w:name w:val="Side Heading"/>
    <w:basedOn w:val="HeadingBase"/>
    <w:rsid w:val="00311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24D"/>
    <w:pPr>
      <w:numPr>
        <w:numId w:val="12"/>
      </w:numPr>
    </w:pPr>
  </w:style>
  <w:style w:type="paragraph" w:styleId="PlainText">
    <w:name w:val="Plain Text"/>
    <w:basedOn w:val="Normal"/>
    <w:link w:val="PlainTextChar"/>
    <w:rsid w:val="0031124D"/>
    <w:rPr>
      <w:sz w:val="20"/>
    </w:rPr>
  </w:style>
  <w:style w:type="character" w:customStyle="1" w:styleId="PlainTextChar">
    <w:name w:val="Plain Text Char"/>
    <w:basedOn w:val="DefaultParagraphFont"/>
    <w:link w:val="PlainText"/>
    <w:rsid w:val="003112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124D"/>
    <w:rPr>
      <w:b/>
      <w:smallCaps/>
    </w:rPr>
  </w:style>
  <w:style w:type="paragraph" w:customStyle="1" w:styleId="TableListNumber">
    <w:name w:val="Table List Number"/>
    <w:basedOn w:val="ListNumber"/>
    <w:rsid w:val="0031124D"/>
    <w:pPr>
      <w:numPr>
        <w:numId w:val="0"/>
      </w:numPr>
    </w:pPr>
  </w:style>
  <w:style w:type="paragraph" w:styleId="TOC4">
    <w:name w:val="toc 4"/>
    <w:basedOn w:val="TOCBase"/>
    <w:next w:val="Normal"/>
    <w:semiHidden/>
    <w:rsid w:val="0031124D"/>
    <w:pPr>
      <w:tabs>
        <w:tab w:val="right" w:leader="dot" w:pos="9071"/>
      </w:tabs>
      <w:ind w:left="1701"/>
    </w:pPr>
  </w:style>
  <w:style w:type="paragraph" w:customStyle="1" w:styleId="ListAlpha">
    <w:name w:val="List Alpha"/>
    <w:basedOn w:val="List"/>
    <w:rsid w:val="0031124D"/>
    <w:pPr>
      <w:numPr>
        <w:numId w:val="9"/>
      </w:numPr>
    </w:pPr>
  </w:style>
  <w:style w:type="paragraph" w:customStyle="1" w:styleId="ListAlpha2">
    <w:name w:val="List Alpha 2"/>
    <w:basedOn w:val="List2"/>
    <w:rsid w:val="0031124D"/>
    <w:pPr>
      <w:numPr>
        <w:numId w:val="8"/>
      </w:numPr>
    </w:pPr>
  </w:style>
  <w:style w:type="paragraph" w:styleId="List2">
    <w:name w:val="List 2"/>
    <w:basedOn w:val="BodyText"/>
    <w:rsid w:val="0031124D"/>
    <w:pPr>
      <w:tabs>
        <w:tab w:val="left" w:pos="680"/>
      </w:tabs>
      <w:spacing w:before="60" w:after="60"/>
      <w:ind w:left="680" w:hanging="340"/>
    </w:pPr>
  </w:style>
  <w:style w:type="paragraph" w:styleId="List3">
    <w:name w:val="List 3"/>
    <w:basedOn w:val="BodyText"/>
    <w:rsid w:val="0031124D"/>
    <w:pPr>
      <w:tabs>
        <w:tab w:val="left" w:pos="1021"/>
      </w:tabs>
      <w:spacing w:before="60" w:after="60"/>
      <w:ind w:left="1020" w:hanging="340"/>
    </w:pPr>
  </w:style>
  <w:style w:type="paragraph" w:styleId="List4">
    <w:name w:val="List 4"/>
    <w:basedOn w:val="BodyText"/>
    <w:rsid w:val="0031124D"/>
    <w:pPr>
      <w:tabs>
        <w:tab w:val="left" w:pos="1361"/>
      </w:tabs>
      <w:spacing w:before="60" w:after="60"/>
      <w:ind w:left="1361" w:hanging="340"/>
    </w:pPr>
  </w:style>
  <w:style w:type="paragraph" w:styleId="List5">
    <w:name w:val="List 5"/>
    <w:basedOn w:val="BodyText"/>
    <w:rsid w:val="0031124D"/>
    <w:pPr>
      <w:tabs>
        <w:tab w:val="left" w:pos="1701"/>
      </w:tabs>
      <w:spacing w:before="60" w:after="60"/>
      <w:ind w:left="1701" w:hanging="340"/>
    </w:pPr>
  </w:style>
  <w:style w:type="paragraph" w:styleId="ListBullet3">
    <w:name w:val="List Bullet 3"/>
    <w:basedOn w:val="List3"/>
    <w:rsid w:val="0031124D"/>
    <w:pPr>
      <w:numPr>
        <w:numId w:val="15"/>
      </w:numPr>
      <w:tabs>
        <w:tab w:val="clear" w:pos="1021"/>
      </w:tabs>
      <w:ind w:left="1037" w:hanging="357"/>
    </w:pPr>
  </w:style>
  <w:style w:type="paragraph" w:styleId="ListBullet4">
    <w:name w:val="List Bullet 4"/>
    <w:basedOn w:val="List4"/>
    <w:rsid w:val="0031124D"/>
    <w:pPr>
      <w:numPr>
        <w:numId w:val="3"/>
      </w:numPr>
    </w:pPr>
  </w:style>
  <w:style w:type="paragraph" w:styleId="ListBullet5">
    <w:name w:val="List Bullet 5"/>
    <w:basedOn w:val="List5"/>
    <w:rsid w:val="0031124D"/>
    <w:pPr>
      <w:numPr>
        <w:numId w:val="4"/>
      </w:numPr>
    </w:pPr>
  </w:style>
  <w:style w:type="paragraph" w:styleId="ListContinue2">
    <w:name w:val="List Continue 2"/>
    <w:basedOn w:val="List2"/>
    <w:rsid w:val="0031124D"/>
    <w:pPr>
      <w:ind w:firstLine="0"/>
    </w:pPr>
  </w:style>
  <w:style w:type="paragraph" w:styleId="ListContinue3">
    <w:name w:val="List Continue 3"/>
    <w:basedOn w:val="List3"/>
    <w:rsid w:val="0031124D"/>
    <w:pPr>
      <w:ind w:left="1021" w:firstLine="0"/>
    </w:pPr>
  </w:style>
  <w:style w:type="paragraph" w:styleId="ListContinue4">
    <w:name w:val="List Continue 4"/>
    <w:basedOn w:val="List4"/>
    <w:rsid w:val="0031124D"/>
    <w:pPr>
      <w:ind w:firstLine="0"/>
    </w:pPr>
  </w:style>
  <w:style w:type="paragraph" w:styleId="ListContinue5">
    <w:name w:val="List Continue 5"/>
    <w:basedOn w:val="List5"/>
    <w:rsid w:val="0031124D"/>
    <w:pPr>
      <w:ind w:firstLine="0"/>
    </w:pPr>
  </w:style>
  <w:style w:type="paragraph" w:styleId="ListNumber3">
    <w:name w:val="List Number 3"/>
    <w:basedOn w:val="List3"/>
    <w:rsid w:val="0031124D"/>
    <w:pPr>
      <w:numPr>
        <w:numId w:val="5"/>
      </w:numPr>
    </w:pPr>
  </w:style>
  <w:style w:type="paragraph" w:styleId="ListNumber4">
    <w:name w:val="List Number 4"/>
    <w:basedOn w:val="List4"/>
    <w:rsid w:val="0031124D"/>
    <w:pPr>
      <w:numPr>
        <w:numId w:val="6"/>
      </w:numPr>
    </w:pPr>
  </w:style>
  <w:style w:type="paragraph" w:styleId="ListNumber5">
    <w:name w:val="List Number 5"/>
    <w:basedOn w:val="List5"/>
    <w:rsid w:val="0031124D"/>
    <w:pPr>
      <w:numPr>
        <w:numId w:val="7"/>
      </w:numPr>
    </w:pPr>
  </w:style>
  <w:style w:type="paragraph" w:styleId="BlockText">
    <w:name w:val="Block Text"/>
    <w:basedOn w:val="Normal"/>
    <w:rsid w:val="0031124D"/>
    <w:pPr>
      <w:spacing w:after="120"/>
      <w:ind w:left="1440" w:right="1440"/>
    </w:pPr>
  </w:style>
  <w:style w:type="character" w:customStyle="1" w:styleId="Subscript">
    <w:name w:val="Subscript"/>
    <w:basedOn w:val="DefaultParagraphFont"/>
    <w:rsid w:val="0031124D"/>
    <w:rPr>
      <w:sz w:val="16"/>
      <w:vertAlign w:val="subscript"/>
    </w:rPr>
  </w:style>
  <w:style w:type="character" w:customStyle="1" w:styleId="Superscript">
    <w:name w:val="Superscript"/>
    <w:basedOn w:val="DefaultParagraphFont"/>
    <w:rsid w:val="0031124D"/>
    <w:rPr>
      <w:sz w:val="16"/>
      <w:vertAlign w:val="superscript"/>
    </w:rPr>
  </w:style>
  <w:style w:type="character" w:customStyle="1" w:styleId="Symbols">
    <w:name w:val="Symbols"/>
    <w:basedOn w:val="DefaultParagraphFont"/>
    <w:rsid w:val="0031124D"/>
    <w:rPr>
      <w:rFonts w:ascii="Symbol" w:hAnsi="Symbol"/>
    </w:rPr>
  </w:style>
  <w:style w:type="character" w:customStyle="1" w:styleId="MenuOptions">
    <w:name w:val="Menu Options"/>
    <w:basedOn w:val="DefaultParagraphFont"/>
    <w:rsid w:val="0031124D"/>
    <w:rPr>
      <w:rFonts w:ascii="Arial Narrow" w:hAnsi="Arial Narrow"/>
      <w:smallCaps/>
    </w:rPr>
  </w:style>
  <w:style w:type="character" w:customStyle="1" w:styleId="Buttons">
    <w:name w:val="Buttons"/>
    <w:basedOn w:val="DefaultParagraphFont"/>
    <w:rsid w:val="0031124D"/>
    <w:rPr>
      <w:b/>
    </w:rPr>
  </w:style>
  <w:style w:type="character" w:customStyle="1" w:styleId="Underlined">
    <w:name w:val="Underlined"/>
    <w:basedOn w:val="DefaultParagraphFont"/>
    <w:rsid w:val="0031124D"/>
    <w:rPr>
      <w:u w:val="single"/>
    </w:rPr>
  </w:style>
  <w:style w:type="paragraph" w:customStyle="1" w:styleId="TableBodyTextRight">
    <w:name w:val="Table Body Text Right"/>
    <w:basedOn w:val="TableBodyText"/>
    <w:rsid w:val="0031124D"/>
    <w:pPr>
      <w:widowControl w:val="0"/>
      <w:autoSpaceDE w:val="0"/>
      <w:autoSpaceDN w:val="0"/>
      <w:adjustRightInd w:val="0"/>
      <w:jc w:val="right"/>
    </w:pPr>
    <w:rPr>
      <w:rFonts w:cs="Arial"/>
      <w:szCs w:val="18"/>
    </w:rPr>
  </w:style>
  <w:style w:type="paragraph" w:customStyle="1" w:styleId="CopyrightText">
    <w:name w:val="Copyright Text"/>
    <w:basedOn w:val="BodyText"/>
    <w:rsid w:val="0031124D"/>
    <w:rPr>
      <w:sz w:val="18"/>
    </w:rPr>
  </w:style>
  <w:style w:type="paragraph" w:customStyle="1" w:styleId="BodySmallRight">
    <w:name w:val="Body Small Right"/>
    <w:basedOn w:val="BodyTextRight"/>
    <w:rsid w:val="0031124D"/>
    <w:rPr>
      <w:sz w:val="18"/>
      <w:szCs w:val="18"/>
    </w:rPr>
  </w:style>
  <w:style w:type="paragraph" w:customStyle="1" w:styleId="MarginEdition">
    <w:name w:val="Margin Edition"/>
    <w:basedOn w:val="MarginNote"/>
    <w:rsid w:val="0031124D"/>
    <w:pPr>
      <w:spacing w:before="0" w:after="0"/>
    </w:pPr>
    <w:rPr>
      <w:rFonts w:ascii="Times New Roman" w:hAnsi="Times New Roman"/>
      <w:color w:val="999999"/>
    </w:rPr>
  </w:style>
  <w:style w:type="paragraph" w:customStyle="1" w:styleId="Spacer">
    <w:name w:val="Spacer"/>
    <w:basedOn w:val="Normal"/>
    <w:rsid w:val="0031124D"/>
    <w:rPr>
      <w:sz w:val="2"/>
      <w:szCs w:val="2"/>
    </w:rPr>
  </w:style>
  <w:style w:type="character" w:customStyle="1" w:styleId="Small">
    <w:name w:val="Small"/>
    <w:basedOn w:val="DefaultParagraphFont"/>
    <w:rsid w:val="0031124D"/>
    <w:rPr>
      <w:sz w:val="16"/>
    </w:rPr>
  </w:style>
  <w:style w:type="paragraph" w:customStyle="1" w:styleId="WideTable">
    <w:name w:val="Wide Table"/>
    <w:basedOn w:val="Normal"/>
    <w:rsid w:val="0031124D"/>
    <w:pPr>
      <w:ind w:left="-1418"/>
    </w:pPr>
    <w:rPr>
      <w:sz w:val="2"/>
      <w:szCs w:val="2"/>
    </w:rPr>
  </w:style>
  <w:style w:type="character" w:styleId="PageNumber">
    <w:name w:val="page number"/>
    <w:basedOn w:val="DefaultParagraphFont"/>
    <w:rsid w:val="0031124D"/>
  </w:style>
  <w:style w:type="paragraph" w:styleId="Quote">
    <w:name w:val="Quote"/>
    <w:basedOn w:val="Heading1"/>
    <w:link w:val="QuoteChar"/>
    <w:qFormat/>
    <w:rsid w:val="0031124D"/>
    <w:rPr>
      <w:b w:val="0"/>
      <w:sz w:val="72"/>
      <w:szCs w:val="72"/>
      <w:lang w:val="en-NZ"/>
    </w:rPr>
  </w:style>
  <w:style w:type="character" w:customStyle="1" w:styleId="QuoteChar">
    <w:name w:val="Quote Char"/>
    <w:basedOn w:val="DefaultParagraphFont"/>
    <w:link w:val="Quote"/>
    <w:rsid w:val="00311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24D"/>
    <w:pPr>
      <w:pageBreakBefore/>
    </w:pPr>
  </w:style>
  <w:style w:type="paragraph" w:customStyle="1" w:styleId="Border">
    <w:name w:val="Border"/>
    <w:basedOn w:val="Normal"/>
    <w:qFormat/>
    <w:rsid w:val="00311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24D"/>
    <w:rPr>
      <w:b/>
      <w:bCs/>
      <w:i/>
      <w:iCs/>
      <w:color w:val="auto"/>
    </w:rPr>
  </w:style>
  <w:style w:type="paragraph" w:styleId="IntenseQuote">
    <w:name w:val="Intense Quote"/>
    <w:basedOn w:val="Normal"/>
    <w:next w:val="Normal"/>
    <w:link w:val="IntenseQuoteChar"/>
    <w:uiPriority w:val="30"/>
    <w:qFormat/>
    <w:rsid w:val="00311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2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124D"/>
    <w:rPr>
      <w:smallCaps/>
      <w:color w:val="auto"/>
      <w:u w:val="single"/>
    </w:rPr>
  </w:style>
  <w:style w:type="character" w:styleId="IntenseReference">
    <w:name w:val="Intense Reference"/>
    <w:basedOn w:val="DefaultParagraphFont"/>
    <w:uiPriority w:val="32"/>
    <w:qFormat/>
    <w:rsid w:val="0031124D"/>
    <w:rPr>
      <w:b/>
      <w:bCs/>
      <w:smallCaps/>
      <w:color w:val="auto"/>
      <w:spacing w:val="5"/>
      <w:u w:val="single"/>
    </w:rPr>
  </w:style>
  <w:style w:type="paragraph" w:customStyle="1" w:styleId="2ColumnHeading">
    <w:name w:val="2Column Heading"/>
    <w:basedOn w:val="BodyText"/>
    <w:qFormat/>
    <w:rsid w:val="0031124D"/>
    <w:pPr>
      <w:spacing w:after="60"/>
      <w:ind w:left="-2268"/>
    </w:pPr>
    <w:rPr>
      <w:b/>
    </w:rPr>
  </w:style>
  <w:style w:type="paragraph" w:customStyle="1" w:styleId="Heading1TOC">
    <w:name w:val="Heading1 TOC"/>
    <w:basedOn w:val="Normal"/>
    <w:qFormat/>
    <w:rsid w:val="0031124D"/>
    <w:pPr>
      <w:spacing w:before="240" w:after="120"/>
    </w:pPr>
    <w:rPr>
      <w:rFonts w:ascii="Times New Roman" w:hAnsi="Times New Roman"/>
      <w:b/>
      <w:sz w:val="32"/>
    </w:rPr>
  </w:style>
  <w:style w:type="paragraph" w:customStyle="1" w:styleId="Heading2TOC">
    <w:name w:val="Heading2 TOC"/>
    <w:basedOn w:val="Normal"/>
    <w:qFormat/>
    <w:rsid w:val="0031124D"/>
    <w:pPr>
      <w:spacing w:before="240" w:after="60"/>
    </w:pPr>
    <w:rPr>
      <w:rFonts w:ascii="Times New Roman" w:hAnsi="Times New Roman"/>
      <w:b/>
      <w:sz w:val="28"/>
    </w:rPr>
  </w:style>
  <w:style w:type="character" w:customStyle="1" w:styleId="Underline">
    <w:name w:val="Underline"/>
    <w:basedOn w:val="DefaultParagraphFont"/>
    <w:qFormat/>
    <w:rsid w:val="0031124D"/>
    <w:rPr>
      <w:u w:val="single"/>
    </w:rPr>
  </w:style>
  <w:style w:type="character" w:customStyle="1" w:styleId="BoldandItalics">
    <w:name w:val="Bold and Italics"/>
    <w:qFormat/>
    <w:rsid w:val="0031124D"/>
    <w:rPr>
      <w:b/>
      <w:i/>
      <w:u w:val="none"/>
    </w:rPr>
  </w:style>
  <w:style w:type="paragraph" w:styleId="BalloonText">
    <w:name w:val="Balloon Text"/>
    <w:basedOn w:val="Normal"/>
    <w:link w:val="BalloonTextChar"/>
    <w:rsid w:val="0031124D"/>
    <w:rPr>
      <w:rFonts w:ascii="Tahoma" w:hAnsi="Tahoma" w:cs="Tahoma"/>
      <w:sz w:val="16"/>
      <w:szCs w:val="16"/>
    </w:rPr>
  </w:style>
  <w:style w:type="character" w:customStyle="1" w:styleId="BalloonTextChar">
    <w:name w:val="Balloon Text Char"/>
    <w:basedOn w:val="DefaultParagraphFont"/>
    <w:link w:val="BalloonText"/>
    <w:rsid w:val="003112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2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2320</Words>
  <Characters>14116</Characters>
  <Application>Microsoft Office Word</Application>
  <DocSecurity>0</DocSecurity>
  <Lines>492</Lines>
  <Paragraphs>220</Paragraphs>
  <ScaleCrop>false</ScaleCrop>
  <Company>Author-it Software Corporation Ltd.</Company>
  <LinksUpToDate>false</LinksUpToDate>
  <CharactersWithSpaces>16324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UEENEEH118A Fault find and repair electronic apparatus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2012-05-26T11:16:00Z</dcterms:created>
  <dcterms:modified xsi:type="dcterms:W3CDTF">2012-05-26T11:16:00Z</dcterms:modified>
</cp:coreProperties>
</file>