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F28" w:rsidP="00CC6F28">
      <w:pPr>
        <w:pStyle w:val="Title"/>
      </w:pPr>
      <w:r>
        <w:fldChar w:fldCharType="begin"/>
      </w:r>
      <w:r>
        <w:instrText xml:space="preserve"> TITLE   \* MERGEFORMAT </w:instrText>
      </w:r>
      <w:r>
        <w:fldChar w:fldCharType="separate"/>
      </w:r>
      <w:r>
        <w:t>UEENEEH117A Carry out repairs of predictable faults in video  and audio replay/recording apparatus</w:t>
      </w:r>
      <w:r>
        <w:fldChar w:fldCharType="end"/>
      </w:r>
    </w:p>
    <w:p w:rsidR="00CC6F28" w:rsidP="00CC6F28">
      <w:pPr>
        <w:pStyle w:val="Version"/>
        <w:sectPr w:rsidSect="002E5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57BA" w:rsidP="002E57BA">
      <w:pPr>
        <w:pStyle w:val="SuperHeading"/>
      </w:pPr>
      <w:r w:rsidRPr="002E57BA">
        <w:t>UEENEEH117A Carry out repairs of predictable faults in video  and audio replay/recording apparatus</w:t>
      </w:r>
    </w:p>
    <w:p w:rsidR="00000000" w:rsidRPr="002E57BA" w:rsidP="002E57BA">
      <w:pPr>
        <w:pStyle w:val="Heading1"/>
      </w:pPr>
      <w:bookmarkStart w:id="1" w:name="O_587105"/>
      <w:bookmarkEnd w:id="1"/>
      <w:r w:rsidRPr="002E57BA">
        <w:t>Modification History</w:t>
      </w:r>
    </w:p>
    <w:p w:rsidR="00000000" w:rsidRPr="002E57BA" w:rsidP="002E57BA">
      <w:pPr>
        <w:pStyle w:val="BodyText"/>
      </w:pPr>
      <w:r w:rsidRPr="002E57BA">
        <w:t>Not applicable.</w:t>
      </w:r>
    </w:p>
    <w:p w:rsidR="00000000" w:rsidRPr="002E57BA" w:rsidP="002E57BA">
      <w:pPr>
        <w:pStyle w:val="AllowPageBreak"/>
      </w:pPr>
    </w:p>
    <w:p w:rsidR="00000000" w:rsidRPr="002E57BA" w:rsidP="002E57BA">
      <w:pPr>
        <w:pStyle w:val="Heading1"/>
      </w:pPr>
      <w:bookmarkStart w:id="2" w:name="O_587104"/>
      <w:bookmarkEnd w:id="2"/>
      <w:r w:rsidRPr="002E57BA">
        <w:t>Unit Descriptor</w:t>
      </w:r>
    </w:p>
    <w:tbl>
      <w:tblPr>
        <w:tblW w:w="0" w:type="auto"/>
        <w:tblLayout w:type="fixed"/>
        <w:tblCellMar>
          <w:left w:w="62" w:type="dxa"/>
          <w:right w:w="62" w:type="dxa"/>
        </w:tblCellMar>
        <w:tblLook w:val="0000"/>
      </w:tblPr>
      <w:tblGrid>
        <w:gridCol w:w="2700"/>
        <w:gridCol w:w="5760"/>
      </w:tblGrid>
      <w:tr w:rsidTr="00CC6F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1)</w:t>
            </w:r>
            <w:r w:rsidRPr="002E57BA">
              <w:t xml:space="preserve"> </w:t>
            </w:r>
            <w:r w:rsidRPr="002E57BA">
              <w:rPr>
                <w:rStyle w:val="SpecialBold"/>
              </w:rPr>
              <w:t>Scope:</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57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1.1) Descriptor</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This unit covers identifying predictable faults and repairing by replacement of subassemblies in CD, DVD and tape replay/recording apparatus. The unit encompasses safe working practices, interpreting circuit diagrams and service manuals, applying logical f</w:t>
            </w:r>
            <w:r w:rsidRPr="002E57BA">
              <w:t>ault finding procedures, conducting repairs, safety and functional testing and completing the necessary service documentation.</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3" w:name="O_587103"/>
      <w:bookmarkEnd w:id="3"/>
      <w:r w:rsidRPr="002E57BA">
        <w:t>Application of the Unit</w:t>
      </w:r>
    </w:p>
    <w:tbl>
      <w:tblPr>
        <w:tblW w:w="0" w:type="auto"/>
        <w:tblLayout w:type="fixed"/>
        <w:tblCellMar>
          <w:left w:w="62" w:type="dxa"/>
          <w:right w:w="62" w:type="dxa"/>
        </w:tblCellMar>
        <w:tblLook w:val="0000"/>
      </w:tblPr>
      <w:tblGrid>
        <w:gridCol w:w="2672"/>
        <w:gridCol w:w="5699"/>
      </w:tblGrid>
      <w:tr w:rsidTr="00CC6F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2)</w:t>
            </w:r>
          </w:p>
        </w:tc>
      </w:tr>
      <w:tr w:rsidTr="00CC6F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This unit is intended for competency development entry-level employment based programs incorporated in approved contracts of training or approved training programs. It may also used to augment formally acquired competencies.</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4" w:name="O_587102"/>
      <w:bookmarkEnd w:id="4"/>
      <w:r w:rsidRPr="002E57BA">
        <w:t>Licensing/Re</w:t>
      </w:r>
      <w:r w:rsidRPr="002E57BA">
        <w:t>gulatory Information</w:t>
      </w:r>
    </w:p>
    <w:tbl>
      <w:tblPr>
        <w:tblW w:w="0" w:type="auto"/>
        <w:tblLayout w:type="fixed"/>
        <w:tblCellMar>
          <w:left w:w="62" w:type="dxa"/>
          <w:right w:w="62" w:type="dxa"/>
        </w:tblCellMar>
        <w:tblLook w:val="0000"/>
      </w:tblPr>
      <w:tblGrid>
        <w:gridCol w:w="2700"/>
        <w:gridCol w:w="5760"/>
      </w:tblGrid>
      <w:tr w:rsidTr="00CC6F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 xml:space="preserve">3) </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The skills and knowledge described in this unit do not require a license to practice in the workplace provided equipment is not connected to installation wiring at voltage above 50 V a.c. or 120 V d.c. However</w:t>
            </w:r>
            <w:r w:rsidRPr="002E57BA">
              <w:t xml:space="preserve"> other conditions may apply in some States/Territories subject to </w:t>
            </w:r>
            <w:r w:rsidRPr="002E57BA">
              <w:t xml:space="preserve">regulations related to electrical work. </w:t>
            </w:r>
          </w:p>
          <w:p w:rsidR="00000000" w:rsidRPr="002E57BA" w:rsidP="002E57BA">
            <w:pPr>
              <w:pStyle w:val="BodyText"/>
            </w:pPr>
            <w:r w:rsidRPr="002E57BA">
              <w:t>Practice in the workplace and during training is also subject to regulations directly related to occupational health and safety and where applicable contracts of training such as apprenticeships.</w:t>
            </w:r>
          </w:p>
          <w:p w:rsidR="00000000" w:rsidRPr="002E57BA" w:rsidP="002E57BA">
            <w:pPr>
              <w:pStyle w:val="BodyText"/>
            </w:pPr>
            <w:r w:rsidRPr="002E57BA">
              <w:t xml:space="preserve">Note: </w:t>
            </w:r>
          </w:p>
          <w:p w:rsidR="00000000" w:rsidRPr="002E57BA" w:rsidP="002E57BA">
            <w:pPr>
              <w:pStyle w:val="BodyText"/>
            </w:pPr>
            <w:r w:rsidRPr="002E57BA">
              <w:t>1. Compliance with permits may be required in various</w:t>
            </w:r>
            <w:r w:rsidRPr="002E57BA">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2E57BA">
              <w:t>s may also be required for some work environments such as confined spaces, working aloft, near live electrical apparatus and site rehabilitation.</w:t>
            </w:r>
          </w:p>
          <w:p w:rsidR="00000000" w:rsidRPr="002E57BA" w:rsidP="002E57BA">
            <w:pPr>
              <w:pStyle w:val="BodyText"/>
            </w:pPr>
            <w:r w:rsidRPr="002E57BA">
              <w:t>2. Compliance may be required in various jurisdictions relating to currency in First Aid, confined space, lift</w:t>
            </w:r>
            <w:r w:rsidRPr="002E57BA">
              <w:t>ing and risk safety measures.</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5" w:name="O_587101"/>
      <w:bookmarkEnd w:id="5"/>
      <w:r w:rsidRPr="002E57BA">
        <w:t>Pre-Requisites</w:t>
      </w:r>
    </w:p>
    <w:tbl>
      <w:tblPr>
        <w:tblW w:w="0" w:type="auto"/>
        <w:tblLayout w:type="fixed"/>
        <w:tblCellMar>
          <w:left w:w="62" w:type="dxa"/>
          <w:right w:w="62" w:type="dxa"/>
        </w:tblCellMar>
        <w:tblLook w:val="0000"/>
      </w:tblPr>
      <w:tblGrid>
        <w:gridCol w:w="2700"/>
        <w:gridCol w:w="1440"/>
        <w:gridCol w:w="4320"/>
      </w:tblGrid>
      <w:tr w:rsidTr="00CC6F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 xml:space="preserve">4) </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4.1)</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Granting competency in this unit shall be made only after competency in the following unit(s) has/have been confirmed.</w:t>
            </w:r>
          </w:p>
        </w:tc>
      </w:tr>
      <w:tr w:rsidTr="00CC6F2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UEENEEE101A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Apply Occupational Health and Safety regulations, codes and practices in the workplace</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UEENEEE102A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Fabricate, assemble and dismantle utilities industry components</w:t>
            </w:r>
          </w:p>
        </w:tc>
      </w:tr>
      <w:tr w:rsidTr="00CC6F28">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UEENEEH102A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Repairs basic electronic apparatus faults by replacement of components</w:t>
            </w:r>
          </w:p>
        </w:tc>
      </w:tr>
      <w:tr w:rsidTr="00CC6F2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 xml:space="preserve">UEENEEH111A </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Troubleshoot single phase input d.c. power supplies</w:t>
            </w:r>
          </w:p>
        </w:tc>
      </w:tr>
      <w:tr w:rsidTr="00CC6F2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UEENEEH112A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Troubleshoot digital sub-systems</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 xml:space="preserve">UEENEEH113A </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Troubleshoot amplifier circuits</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UEENEEH138A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Fault find and repair complex power supplies</w:t>
            </w:r>
          </w:p>
        </w:tc>
      </w:tr>
      <w:tr w:rsidTr="00CC6F2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AND</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p>
        </w:tc>
      </w:tr>
      <w:tr w:rsidTr="00CC6F2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 xml:space="preserve">UEENEEH114A </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Troubleshoot resonance circuits in an electronic apparatus</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UEENEEE104A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Solve problems in d.c. circuits</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UEENEEH169A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Solve problems in basic electronic circuits</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OR</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 xml:space="preserve">UEENEEE104A </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Solve problems in d.c. circuits</w:t>
            </w:r>
          </w:p>
        </w:tc>
      </w:tr>
      <w:tr w:rsidTr="00CC6F2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UEENEEG101A</w:t>
            </w:r>
          </w:p>
        </w:tc>
        <w:tc>
          <w:tcPr>
            <w:tcW w:w="432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Solve problems in elect</w:t>
            </w:r>
            <w:r w:rsidRPr="002E57BA">
              <w:t>romagnetic devices and related circuits</w:t>
            </w:r>
          </w:p>
        </w:tc>
      </w:tr>
      <w:tr w:rsidTr="00CC6F2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UEENEEG102A</w:t>
            </w:r>
          </w:p>
        </w:tc>
        <w:tc>
          <w:tcPr>
            <w:tcW w:w="432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Solve problems in low voltage a.c. circuits</w:t>
            </w:r>
          </w:p>
        </w:tc>
      </w:tr>
    </w:tbl>
    <w:p w:rsidR="00000000" w:rsidRPr="002E57BA" w:rsidP="002E57B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C6F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 xml:space="preserve">4.2) </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Participants are best equipped to achieve competency in this unit if they have reading, writing and numeracy skills indicated by the following scales. Description of each scale is given in Volume 2, Part 3 ‘Literacy and Numeracy’</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Reading</w:t>
            </w:r>
          </w:p>
        </w:tc>
        <w:tc>
          <w:tcPr>
            <w:tcW w:w="81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3</w:t>
            </w:r>
          </w:p>
        </w:tc>
        <w:tc>
          <w:tcPr>
            <w:tcW w:w="99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Writing</w:t>
            </w:r>
          </w:p>
        </w:tc>
        <w:tc>
          <w:tcPr>
            <w:tcW w:w="90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3</w:t>
            </w:r>
          </w:p>
        </w:tc>
        <w:tc>
          <w:tcPr>
            <w:tcW w:w="12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Numeracy</w:t>
            </w:r>
          </w:p>
        </w:tc>
        <w:tc>
          <w:tcPr>
            <w:tcW w:w="72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3</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6" w:name="O_587100"/>
      <w:bookmarkEnd w:id="6"/>
      <w:r w:rsidRPr="002E57BA">
        <w:t>Employability Skills Information</w:t>
      </w:r>
    </w:p>
    <w:tbl>
      <w:tblPr>
        <w:tblW w:w="0" w:type="auto"/>
        <w:tblLayout w:type="fixed"/>
        <w:tblCellMar>
          <w:left w:w="62" w:type="dxa"/>
          <w:right w:w="62" w:type="dxa"/>
        </w:tblCellMar>
        <w:tblLook w:val="0000"/>
      </w:tblPr>
      <w:tblGrid>
        <w:gridCol w:w="2700"/>
        <w:gridCol w:w="5760"/>
      </w:tblGrid>
      <w:tr w:rsidTr="00CC6F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 xml:space="preserve">5) </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This unit contains Employability Skills</w:t>
            </w:r>
          </w:p>
          <w:p w:rsidR="00000000" w:rsidRPr="002E57BA" w:rsidP="002E57BA">
            <w:pPr>
              <w:pStyle w:val="BodyText"/>
            </w:pPr>
            <w:r w:rsidRPr="002E57B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E57BA">
              <w:t>requirements.</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7" w:name="O_587099"/>
      <w:bookmarkEnd w:id="7"/>
      <w:r w:rsidRPr="002E57BA">
        <w:t>Elements and Performance Criteria Pre-Content</w:t>
      </w:r>
    </w:p>
    <w:tbl>
      <w:tblPr>
        <w:tblW w:w="0" w:type="auto"/>
        <w:tblLayout w:type="fixed"/>
        <w:tblCellMar>
          <w:left w:w="62" w:type="dxa"/>
          <w:right w:w="62" w:type="dxa"/>
        </w:tblCellMar>
        <w:tblLook w:val="0000"/>
      </w:tblPr>
      <w:tblGrid>
        <w:gridCol w:w="2700"/>
        <w:gridCol w:w="5760"/>
      </w:tblGrid>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6)</w:t>
            </w:r>
            <w:r w:rsidRPr="002E57B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Performance Criteria describe the required performance needed to demonstrate achievement of the element</w:t>
            </w:r>
            <w:r w:rsidRPr="002E57BA">
              <w:t>. Assessment of performance is to be consistent with the Evidence Guide.</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8" w:name="O_587098"/>
      <w:bookmarkEnd w:id="8"/>
      <w:r w:rsidRPr="002E57BA">
        <w:t>Elements and Performance Criteria</w:t>
      </w:r>
    </w:p>
    <w:tbl>
      <w:tblPr>
        <w:tblW w:w="0" w:type="auto"/>
        <w:tblLayout w:type="fixed"/>
        <w:tblCellMar>
          <w:left w:w="62" w:type="dxa"/>
          <w:right w:w="62" w:type="dxa"/>
        </w:tblCellMar>
        <w:tblLook w:val="0000"/>
      </w:tblPr>
      <w:tblGrid>
        <w:gridCol w:w="485"/>
        <w:gridCol w:w="2215"/>
        <w:gridCol w:w="212"/>
        <w:gridCol w:w="971"/>
        <w:gridCol w:w="4577"/>
        <w:gridCol w:w="666"/>
      </w:tblGrid>
      <w:tr w:rsidTr="00CC6F28">
        <w:tblPrEx>
          <w:tblW w:w="0" w:type="auto"/>
          <w:tblLayout w:type="fixed"/>
          <w:tblCellMar>
            <w:left w:w="62" w:type="dxa"/>
            <w:right w:w="62" w:type="dxa"/>
          </w:tblCellMar>
          <w:tblLook w:val="0000"/>
        </w:tblPrEx>
        <w:trPr>
          <w:gridAfter w:val="1"/>
          <w:wAfter w:w="666"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PERFORMANCE CRITERIA</w:t>
            </w:r>
          </w:p>
        </w:tc>
      </w:tr>
      <w:tr w:rsidTr="00CC6F28">
        <w:tblPrEx>
          <w:tblW w:w="0" w:type="auto"/>
          <w:tblLayout w:type="fixed"/>
          <w:tblCellMar>
            <w:left w:w="62" w:type="dxa"/>
            <w:right w:w="62" w:type="dxa"/>
          </w:tblCellMar>
          <w:tblLook w:val="0000"/>
        </w:tblPrEx>
        <w:trPr>
          <w:trHeight w:val="610"/>
        </w:trPr>
        <w:tc>
          <w:tcPr>
            <w:tcW w:w="485"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1</w:t>
            </w:r>
          </w:p>
        </w:tc>
        <w:tc>
          <w:tcPr>
            <w:tcW w:w="2427" w:type="dxa"/>
            <w:gridSpan w:val="2"/>
            <w:vMerge w:val="restart"/>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Prepare to repair replay/recording apparatus.</w:t>
            </w:r>
          </w:p>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1.1</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 xml:space="preserve">OHS procedures for a given work area are identified, obtained and understood.  </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1.2</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OHS risk control measures and procedures are followed in preparation for the work.</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1.3</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The nature of the fault is obtained from documentation or from work supervisor to establish the scope of work to be undertaken.</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1.4</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 xml:space="preserve">Advice is sought from the work supervisor to ensure the work is co-ordinated effectively with others. </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1.5</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Sources of materials that may be required for the work are established in accordance with established procedures.</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1.6</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Tools, equipment, testing devices and service manual needed to carry out the work are obtained in accordance with established procedur</w:t>
            </w:r>
            <w:r w:rsidRPr="002E57BA">
              <w:t>es and checked for correct operation and safety.</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w:t>
            </w:r>
          </w:p>
        </w:tc>
        <w:tc>
          <w:tcPr>
            <w:tcW w:w="2427" w:type="dxa"/>
            <w:gridSpan w:val="2"/>
            <w:vMerge w:val="restart"/>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Find and repair faults.</w:t>
            </w:r>
          </w:p>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2.1</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OHS risk control measures and procedures for carrying out the work are followed.</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2.2</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The need to test or measure live is determined in strict accordance with OHS requirements and when necessary conducted within established safety procedures.</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2.3</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Apparatus is checked as being isolated where necessary in strict accordance OHS requirements and procedures.</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2.4</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Fault finding is approached methodically drawing on knowledge of replay/recording apparatus and circuit using measured and calculated value</w:t>
            </w:r>
            <w:r w:rsidRPr="002E57BA">
              <w:t xml:space="preserve">s of apparatus parameters and/or with reference to manufacturer’s service manual. </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2.5</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Apparatus components are dismantled where necessary and parts stored to protect them against loss or damage.</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2.6</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Faulty components are rechecked and their fault status confirmed.</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2.7</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Repairs are made in accordance with manufacturer’s service guide and supervisor’s instructions.</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2.8</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Apparatus is reassembled and tested for safety and functionality in preparation for return to the customer.</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2.9</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Unexpected situations are dealt with safely and with the approval of an authorised person.</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2.10</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Repair activities are carried out effici</w:t>
            </w:r>
            <w:r w:rsidRPr="002E57BA">
              <w:t>ently without waste of materials or damage to apparatus and the surrounding environment or services and using sustainable energy practices.</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3</w:t>
            </w:r>
          </w:p>
        </w:tc>
        <w:tc>
          <w:tcPr>
            <w:tcW w:w="2427" w:type="dxa"/>
            <w:gridSpan w:val="2"/>
            <w:vMerge w:val="restart"/>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Completion and report repair activities.</w:t>
            </w:r>
          </w:p>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3.1</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OHS work completion risk control measures and procedures are followed.</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3.2</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Work area is cleaned and made safe in accordance with established procedures.</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3.3</w:t>
            </w:r>
          </w:p>
        </w:tc>
        <w:tc>
          <w:tcPr>
            <w:tcW w:w="5243"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Written justification is made for repairs to apparatus.</w:t>
            </w:r>
          </w:p>
        </w:tc>
      </w:tr>
      <w:tr w:rsidTr="00CC6F28">
        <w:tblPrEx>
          <w:tblW w:w="0" w:type="auto"/>
          <w:tblLayout w:type="fixed"/>
          <w:tblCellMar>
            <w:left w:w="62" w:type="dxa"/>
            <w:right w:w="62" w:type="dxa"/>
          </w:tblCellMar>
          <w:tblLook w:val="0000"/>
        </w:tblPrEx>
        <w:tc>
          <w:tcPr>
            <w:tcW w:w="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3.4</w:t>
            </w:r>
          </w:p>
        </w:tc>
        <w:tc>
          <w:tcPr>
            <w:tcW w:w="5243" w:type="dxa"/>
            <w:gridSpan w:val="2"/>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Work completion is documented and an appropriate person or persons notified in accordance with established procedures.</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9" w:name="O_587097"/>
      <w:bookmarkEnd w:id="9"/>
      <w:r w:rsidRPr="002E57BA">
        <w:t>Required Skills and Knowledge</w:t>
      </w:r>
    </w:p>
    <w:tbl>
      <w:tblPr>
        <w:tblW w:w="0" w:type="auto"/>
        <w:tblLayout w:type="fixed"/>
        <w:tblCellMar>
          <w:left w:w="62" w:type="dxa"/>
          <w:right w:w="62" w:type="dxa"/>
        </w:tblCellMar>
        <w:tblLook w:val="0000"/>
      </w:tblPr>
      <w:tblGrid>
        <w:gridCol w:w="8460"/>
      </w:tblGrid>
      <w:tr w:rsidTr="00CC6F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REQUIRED SKILLS AND KNOWLEDGE</w:t>
            </w:r>
          </w:p>
        </w:tc>
      </w:tr>
      <w:tr w:rsidTr="00CC6F2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8)</w:t>
            </w:r>
            <w:r w:rsidRPr="002E57BA">
              <w:t xml:space="preserve"> This describes the essential skills and knowledge and their level, required for this unit.</w:t>
            </w:r>
          </w:p>
          <w:p w:rsidR="00000000" w:rsidRPr="002E57BA" w:rsidP="002E57BA">
            <w:pPr>
              <w:pStyle w:val="BodyText"/>
            </w:pPr>
            <w:r w:rsidRPr="002E57BA">
              <w:t>Evidence shall show that knowledge has been acquired of safe working practices and carrying out repairs of predictable faults in audio and video replay/recording ap</w:t>
            </w:r>
            <w:r w:rsidRPr="002E57BA">
              <w:t xml:space="preserve">paratus </w:t>
            </w:r>
          </w:p>
          <w:p w:rsidR="00000000" w:rsidRPr="002E57BA" w:rsidP="002E57BA">
            <w:pPr>
              <w:pStyle w:val="BodyText"/>
            </w:pPr>
            <w:r w:rsidRPr="002E57BA">
              <w:t>All knowledge and skills detailed in this unit should be contextualised to current industry practices and technologies.</w:t>
            </w:r>
          </w:p>
          <w:p w:rsidR="00000000" w:rsidRPr="002E57BA" w:rsidP="002E57BA">
            <w:pPr>
              <w:pStyle w:val="BodyText"/>
            </w:pPr>
            <w:r w:rsidRPr="002E57BA">
              <w:rPr>
                <w:rStyle w:val="SpecialBold"/>
              </w:rPr>
              <w:t>KS01-EH117A</w:t>
            </w:r>
            <w:r w:rsidRPr="002E57BA">
              <w:rPr>
                <w:rStyle w:val="SpecialBold"/>
              </w:rPr>
              <w:tab/>
              <w:t xml:space="preserve">              Audio and video recording and replaying apparatus </w:t>
            </w:r>
            <w:r w:rsidRPr="002E57BA">
              <w:t xml:space="preserve">  </w:t>
            </w:r>
          </w:p>
          <w:p w:rsidR="00000000" w:rsidRPr="002E57BA" w:rsidP="002E57BA">
            <w:pPr>
              <w:pStyle w:val="BodyText"/>
            </w:pPr>
            <w:r w:rsidRPr="002E57BA">
              <w:t>Evidence shall show an understanding of electron</w:t>
            </w:r>
            <w:r w:rsidRPr="002E57BA">
              <w:t>ic communications systems, applying safe working practices and relevant Standards, Codes and Regulations to an extent indicated by the following aspects:</w:t>
            </w:r>
          </w:p>
          <w:p w:rsidR="00000000" w:rsidRPr="002E57BA" w:rsidP="002E57BA">
            <w:pPr>
              <w:pStyle w:val="BodyText"/>
            </w:pPr>
            <w:r w:rsidRPr="002E57BA">
              <w:t>T1.</w:t>
            </w:r>
            <w:r w:rsidRPr="002E57BA">
              <w:tab/>
              <w:t>Sound reproduction fundamentals</w:t>
            </w:r>
          </w:p>
          <w:p w:rsidR="00000000" w:rsidRPr="002E57BA" w:rsidP="002E57BA">
            <w:pPr>
              <w:pStyle w:val="ListBullet"/>
            </w:pPr>
            <w:r w:rsidRPr="002E57BA">
              <w:t>Sound wave propagation</w:t>
            </w:r>
          </w:p>
          <w:p w:rsidR="00000000" w:rsidRPr="002E57BA" w:rsidP="002E57BA">
            <w:pPr>
              <w:pStyle w:val="ListBullet"/>
            </w:pPr>
            <w:r w:rsidRPr="002E57BA">
              <w:t>Timbre of sound</w:t>
            </w:r>
          </w:p>
          <w:p w:rsidR="00000000" w:rsidRPr="002E57BA" w:rsidP="002E57BA">
            <w:pPr>
              <w:pStyle w:val="ListBullet"/>
            </w:pPr>
            <w:r w:rsidRPr="002E57BA">
              <w:t>Effects of other medium of</w:t>
            </w:r>
            <w:r w:rsidRPr="002E57BA">
              <w:t xml:space="preserve"> sound waves</w:t>
            </w:r>
          </w:p>
          <w:p w:rsidR="00000000" w:rsidRPr="002E57BA" w:rsidP="002E57BA">
            <w:pPr>
              <w:pStyle w:val="ListBullet"/>
            </w:pPr>
            <w:r w:rsidRPr="002E57BA">
              <w:t>Characteristics of the human ear</w:t>
            </w:r>
          </w:p>
          <w:p w:rsidR="00000000" w:rsidRPr="002E57BA" w:rsidP="002E57BA">
            <w:pPr>
              <w:pStyle w:val="ListBullet"/>
            </w:pPr>
            <w:r w:rsidRPr="002E57BA">
              <w:t>Difference between mono and stereo</w:t>
            </w:r>
          </w:p>
          <w:p w:rsidR="00000000" w:rsidRPr="002E57BA" w:rsidP="002E57BA">
            <w:pPr>
              <w:pStyle w:val="ListBullet"/>
            </w:pPr>
            <w:r w:rsidRPr="002E57BA">
              <w:t>Surround sound principles</w:t>
            </w:r>
          </w:p>
          <w:p w:rsidR="00000000" w:rsidRPr="002E57BA" w:rsidP="002E57BA">
            <w:pPr>
              <w:pStyle w:val="BodyText"/>
            </w:pPr>
            <w:r w:rsidRPr="002E57BA">
              <w:t>T2.</w:t>
            </w:r>
            <w:r w:rsidRPr="002E57BA">
              <w:tab/>
              <w:t xml:space="preserve">  Audio reproduction, electronic components</w:t>
            </w:r>
          </w:p>
          <w:p w:rsidR="00000000" w:rsidRPr="002E57BA" w:rsidP="002E57BA">
            <w:pPr>
              <w:pStyle w:val="ListBullet"/>
            </w:pPr>
            <w:r w:rsidRPr="002E57BA">
              <w:t>Preamplifiers amplifier encompassing:</w:t>
            </w:r>
          </w:p>
          <w:p w:rsidR="00000000" w:rsidRPr="002E57BA" w:rsidP="002E57BA">
            <w:pPr>
              <w:pStyle w:val="ListBullet"/>
            </w:pPr>
            <w:r w:rsidRPr="002E57BA">
              <w:t>Function in the reproduction chain</w:t>
            </w:r>
          </w:p>
          <w:p w:rsidR="00000000" w:rsidRPr="002E57BA" w:rsidP="002E57BA">
            <w:pPr>
              <w:pStyle w:val="ListBullet"/>
            </w:pPr>
            <w:r w:rsidRPr="002E57BA">
              <w:t>Typical circuit arrangements</w:t>
            </w:r>
          </w:p>
          <w:p w:rsidR="00000000" w:rsidRPr="002E57BA" w:rsidP="002E57BA">
            <w:pPr>
              <w:pStyle w:val="ListBullet2"/>
            </w:pPr>
            <w:r w:rsidRPr="002E57BA">
              <w:t>Power and integrated amplifiers encompassing:</w:t>
            </w:r>
          </w:p>
          <w:p w:rsidR="00000000" w:rsidRPr="002E57BA" w:rsidP="002E57BA">
            <w:pPr>
              <w:pStyle w:val="ListBullet"/>
            </w:pPr>
            <w:r w:rsidRPr="002E57BA">
              <w:t>Function in the reproduction chain</w:t>
            </w:r>
          </w:p>
          <w:p w:rsidR="00000000" w:rsidRPr="002E57BA" w:rsidP="002E57BA">
            <w:pPr>
              <w:pStyle w:val="ListBullet"/>
            </w:pPr>
            <w:r w:rsidRPr="002E57BA">
              <w:t>Typical circuit arrangements</w:t>
            </w:r>
          </w:p>
          <w:p w:rsidR="00000000" w:rsidRPr="002E57BA" w:rsidP="002E57BA">
            <w:pPr>
              <w:pStyle w:val="ListBullet2"/>
            </w:pPr>
            <w:r w:rsidRPr="002E57BA">
              <w:t>Graphic equalizers encompassing:</w:t>
            </w:r>
          </w:p>
          <w:p w:rsidR="00000000" w:rsidRPr="002E57BA" w:rsidP="002E57BA">
            <w:pPr>
              <w:pStyle w:val="ListBullet"/>
            </w:pPr>
            <w:r w:rsidRPr="002E57BA">
              <w:t>Function in the reproduction chain</w:t>
            </w:r>
          </w:p>
          <w:p w:rsidR="00000000" w:rsidRPr="002E57BA" w:rsidP="002E57BA">
            <w:pPr>
              <w:pStyle w:val="ListBullet"/>
            </w:pPr>
            <w:r w:rsidRPr="002E57BA">
              <w:t>Typical circuit arrangements</w:t>
            </w:r>
          </w:p>
          <w:p w:rsidR="00000000" w:rsidRPr="002E57BA" w:rsidP="002E57BA">
            <w:pPr>
              <w:pStyle w:val="ListBullet2"/>
            </w:pPr>
            <w:r w:rsidRPr="002E57BA">
              <w:t>Component insta</w:t>
            </w:r>
            <w:r w:rsidRPr="002E57BA">
              <w:t>llation and interconnections</w:t>
            </w:r>
          </w:p>
          <w:p w:rsidR="00000000" w:rsidRPr="002E57BA" w:rsidP="002E57BA">
            <w:pPr>
              <w:pStyle w:val="BodyText"/>
            </w:pPr>
            <w:r w:rsidRPr="002E57BA">
              <w:t>T3.</w:t>
            </w:r>
            <w:r w:rsidRPr="002E57BA">
              <w:tab/>
              <w:t xml:space="preserve">  Audio reproduction, speaker fundamentals</w:t>
            </w:r>
          </w:p>
          <w:p w:rsidR="00000000" w:rsidRPr="002E57BA" w:rsidP="002E57BA">
            <w:pPr>
              <w:pStyle w:val="ListBullet"/>
            </w:pPr>
            <w:r w:rsidRPr="002E57BA">
              <w:t>Types of speaker drives and their operating mechanism</w:t>
            </w:r>
          </w:p>
          <w:p w:rsidR="00000000" w:rsidRPr="002E57BA" w:rsidP="002E57BA">
            <w:pPr>
              <w:pStyle w:val="ListBullet"/>
            </w:pPr>
            <w:r w:rsidRPr="002E57BA">
              <w:t>Speaker cabinet characteristics</w:t>
            </w:r>
          </w:p>
          <w:p w:rsidR="00000000" w:rsidRPr="002E57BA" w:rsidP="002E57BA">
            <w:pPr>
              <w:pStyle w:val="ListBullet"/>
            </w:pPr>
            <w:r w:rsidRPr="002E57BA">
              <w:t>Purpose and circuit arrangement of typical cross-over networks</w:t>
            </w:r>
          </w:p>
          <w:p w:rsidR="00000000" w:rsidRPr="002E57BA" w:rsidP="002E57BA">
            <w:pPr>
              <w:pStyle w:val="ListBullet"/>
            </w:pPr>
            <w:r w:rsidRPr="002E57BA">
              <w:t>Speaker installation and connections</w:t>
            </w:r>
          </w:p>
          <w:p w:rsidR="00000000" w:rsidRPr="002E57BA" w:rsidP="002E57BA">
            <w:pPr>
              <w:pStyle w:val="BodyText"/>
            </w:pPr>
            <w:r w:rsidRPr="002E57BA">
              <w:t>T4.</w:t>
            </w:r>
            <w:r w:rsidRPr="002E57BA">
              <w:tab/>
              <w:t>Audio/video recording and replay components repair basics</w:t>
            </w:r>
          </w:p>
          <w:p w:rsidR="00000000" w:rsidRPr="002E57BA" w:rsidP="002E57BA">
            <w:pPr>
              <w:pStyle w:val="ListBullet"/>
            </w:pPr>
            <w:r w:rsidRPr="002E57BA">
              <w:t>Sub-system components (i.e. functional blocks) and their operating parameters</w:t>
            </w:r>
          </w:p>
          <w:p w:rsidR="00000000" w:rsidRPr="002E57BA" w:rsidP="002E57BA">
            <w:pPr>
              <w:pStyle w:val="ListBullet"/>
            </w:pPr>
            <w:r w:rsidRPr="002E57BA">
              <w:t>Common faults, their symptoms and cause.</w:t>
            </w:r>
          </w:p>
          <w:p w:rsidR="00000000" w:rsidRPr="002E57BA" w:rsidP="002E57BA">
            <w:pPr>
              <w:pStyle w:val="ListBullet"/>
            </w:pPr>
            <w:r w:rsidRPr="002E57BA">
              <w:t>Fault location procedures and testing</w:t>
            </w:r>
            <w:r w:rsidRPr="002E57BA">
              <w:t xml:space="preserve"> points</w:t>
            </w:r>
          </w:p>
          <w:p w:rsidR="00000000" w:rsidRPr="002E57BA" w:rsidP="002E57BA">
            <w:pPr>
              <w:pStyle w:val="ListBullet"/>
            </w:pPr>
            <w:r w:rsidRPr="002E57BA">
              <w:t xml:space="preserve">Device adjustments - audio/video systems are compact disk players, DVD players and AV systems </w:t>
            </w:r>
          </w:p>
          <w:p w:rsidR="00000000" w:rsidRPr="002E57BA" w:rsidP="002E57BA">
            <w:pPr>
              <w:pStyle w:val="BodyText"/>
            </w:pPr>
            <w:r w:rsidRPr="002E57BA">
              <w:t>T5.</w:t>
            </w:r>
            <w:r w:rsidRPr="002E57BA">
              <w:tab/>
              <w:t>Audio/video control equipment</w:t>
            </w:r>
          </w:p>
          <w:p w:rsidR="00000000" w:rsidRPr="002E57BA" w:rsidP="002E57BA">
            <w:pPr>
              <w:pStyle w:val="ListBullet"/>
            </w:pPr>
            <w:r w:rsidRPr="002E57BA">
              <w:t>Types of control devices and their operating principles</w:t>
            </w:r>
          </w:p>
          <w:p w:rsidR="00000000" w:rsidRPr="002E57BA" w:rsidP="002E57BA">
            <w:pPr>
              <w:pStyle w:val="ListBullet"/>
            </w:pPr>
            <w:r w:rsidRPr="002E57BA">
              <w:t>Control equipment arrangement in an audio/video system</w:t>
            </w:r>
          </w:p>
          <w:p w:rsidR="00000000" w:rsidRPr="002E57BA" w:rsidP="002E57BA">
            <w:pPr>
              <w:pStyle w:val="ListBullet"/>
            </w:pPr>
            <w:r w:rsidRPr="002E57BA">
              <w:t>Safe use of electrical testing device, and</w:t>
            </w:r>
          </w:p>
          <w:p w:rsidR="00000000" w:rsidRPr="002E57BA" w:rsidP="002E57BA">
            <w:pPr>
              <w:pStyle w:val="ListBullet"/>
            </w:pPr>
            <w:r w:rsidRPr="002E57BA">
              <w:t>Checks and storage methods for maintaining the safety of testing device</w:t>
            </w:r>
          </w:p>
          <w:p w:rsidR="00000000" w:rsidRPr="002E57BA" w:rsidP="002E57BA">
            <w:pPr>
              <w:pStyle w:val="BodyText"/>
            </w:pPr>
            <w:r w:rsidRPr="002E57BA">
              <w:t>T6.</w:t>
            </w:r>
            <w:r w:rsidRPr="002E57BA">
              <w:tab/>
              <w:t>Technical manuals and catalogues</w:t>
            </w:r>
          </w:p>
          <w:p w:rsidR="00000000" w:rsidRPr="002E57BA" w:rsidP="002E57BA">
            <w:pPr>
              <w:pStyle w:val="ListBullet"/>
            </w:pPr>
            <w:r w:rsidRPr="002E57BA">
              <w:t>Typical format</w:t>
            </w:r>
          </w:p>
          <w:p w:rsidR="00000000" w:rsidRPr="002E57BA" w:rsidP="002E57BA">
            <w:pPr>
              <w:pStyle w:val="ListBullet"/>
            </w:pPr>
            <w:r w:rsidRPr="002E57BA">
              <w:t>How to read and apply information</w:t>
            </w:r>
          </w:p>
          <w:p w:rsidR="00000000" w:rsidRPr="002E57BA" w:rsidP="002E57BA">
            <w:pPr>
              <w:pStyle w:val="BodyText"/>
            </w:pPr>
            <w:r w:rsidRPr="002E57BA">
              <w:t>T7.</w:t>
            </w:r>
            <w:r w:rsidRPr="002E57BA">
              <w:tab/>
              <w:t>Digital versatile disc (DVD) and compact disc (CD)</w:t>
            </w:r>
          </w:p>
          <w:p w:rsidR="00000000" w:rsidRPr="002E57BA" w:rsidP="002E57BA">
            <w:pPr>
              <w:pStyle w:val="ListBullet"/>
            </w:pPr>
            <w:r w:rsidRPr="002E57BA">
              <w:t>Operational principles and standards of digital signal processing</w:t>
            </w:r>
          </w:p>
          <w:p w:rsidR="00000000" w:rsidRPr="002E57BA" w:rsidP="002E57BA">
            <w:pPr>
              <w:pStyle w:val="ListBullet"/>
            </w:pPr>
            <w:r w:rsidRPr="002E57BA">
              <w:t>Standards and features of DVDs and CDs</w:t>
            </w:r>
          </w:p>
          <w:p w:rsidR="00000000" w:rsidRPr="002E57BA" w:rsidP="002E57BA">
            <w:pPr>
              <w:pStyle w:val="ListBullet"/>
            </w:pPr>
            <w:r w:rsidRPr="002E57BA">
              <w:t>Operation and adjustment of DVDs and CDs, as well as</w:t>
            </w:r>
          </w:p>
          <w:p w:rsidR="00000000" w:rsidRPr="002E57BA" w:rsidP="002E57BA">
            <w:pPr>
              <w:pStyle w:val="ListBullet"/>
            </w:pPr>
            <w:r w:rsidRPr="002E57BA">
              <w:t>Transport mechanisms</w:t>
            </w:r>
          </w:p>
          <w:p w:rsidR="00000000" w:rsidRPr="002E57BA" w:rsidP="002E57BA">
            <w:pPr>
              <w:pStyle w:val="ListBullet"/>
            </w:pPr>
            <w:r w:rsidRPr="002E57BA">
              <w:t>Laser alignment/tracking</w:t>
            </w:r>
          </w:p>
          <w:p w:rsidR="00000000" w:rsidRPr="002E57BA" w:rsidP="002E57BA">
            <w:pPr>
              <w:pStyle w:val="ListBullet"/>
            </w:pPr>
            <w:r w:rsidRPr="002E57BA">
              <w:t>Servo system description, operation and adjustment</w:t>
            </w:r>
            <w:r w:rsidRPr="002E57BA">
              <w:t xml:space="preserve"> of servo loops</w:t>
            </w:r>
          </w:p>
          <w:p w:rsidR="00000000" w:rsidRPr="002E57BA" w:rsidP="002E57BA">
            <w:pPr>
              <w:pStyle w:val="ListBullet"/>
            </w:pPr>
            <w:r w:rsidRPr="002E57BA">
              <w:t>System control of player</w:t>
            </w:r>
          </w:p>
          <w:p w:rsidR="00000000" w:rsidRPr="002E57BA" w:rsidP="002E57BA">
            <w:pPr>
              <w:pStyle w:val="ListBullet"/>
            </w:pPr>
            <w:r w:rsidRPr="002E57BA">
              <w:t>On screen display including service mode set-up on adjustment</w:t>
            </w:r>
          </w:p>
          <w:p w:rsidR="00000000" w:rsidRPr="002E57BA" w:rsidP="002E57BA">
            <w:pPr>
              <w:pStyle w:val="BodyText"/>
            </w:pPr>
            <w:r w:rsidRPr="002E57BA">
              <w:t>T8.</w:t>
            </w:r>
            <w:r w:rsidRPr="002E57BA">
              <w:tab/>
              <w:t>Digital audio</w:t>
            </w:r>
          </w:p>
          <w:p w:rsidR="00000000" w:rsidRPr="002E57BA" w:rsidP="002E57BA">
            <w:pPr>
              <w:pStyle w:val="ListBullet"/>
            </w:pPr>
            <w:r w:rsidRPr="002E57BA">
              <w:t>Fundamentals of digital audio systems</w:t>
            </w:r>
          </w:p>
          <w:p w:rsidR="00000000" w:rsidRPr="002E57BA" w:rsidP="002E57BA">
            <w:pPr>
              <w:pStyle w:val="ListBullet"/>
            </w:pPr>
            <w:r w:rsidRPr="002E57BA">
              <w:t>Signal processing within the encoding of a system</w:t>
            </w:r>
          </w:p>
          <w:p w:rsidR="00000000" w:rsidRPr="002E57BA" w:rsidP="002E57BA">
            <w:pPr>
              <w:pStyle w:val="ListBullet"/>
            </w:pPr>
            <w:r w:rsidRPr="002E57BA">
              <w:t>Error checking techniques in the encoder proce</w:t>
            </w:r>
            <w:r w:rsidRPr="002E57BA">
              <w:t>ss</w:t>
            </w:r>
          </w:p>
          <w:p w:rsidR="00000000" w:rsidRPr="002E57BA" w:rsidP="002E57BA">
            <w:pPr>
              <w:pStyle w:val="ListBullet"/>
            </w:pPr>
            <w:r w:rsidRPr="002E57BA">
              <w:t>Modulation used in the encoding process</w:t>
            </w:r>
          </w:p>
          <w:p w:rsidR="00000000" w:rsidRPr="002E57BA" w:rsidP="002E57BA">
            <w:pPr>
              <w:pStyle w:val="ListBullet"/>
            </w:pPr>
            <w:r w:rsidRPr="002E57BA">
              <w:t>The process for decoding digital audio signals to produce analogue stereo output</w:t>
            </w:r>
          </w:p>
          <w:p w:rsidR="00000000" w:rsidRPr="002E57BA" w:rsidP="002E57BA">
            <w:pPr>
              <w:pStyle w:val="ListBullet"/>
            </w:pPr>
            <w:r w:rsidRPr="002E57BA">
              <w:t>Features and operation of compact disk players</w:t>
            </w:r>
          </w:p>
          <w:p w:rsidR="00000000" w:rsidRPr="002E57BA" w:rsidP="002E57BA">
            <w:pPr>
              <w:pStyle w:val="BodyText"/>
            </w:pPr>
            <w:r w:rsidRPr="002E57BA">
              <w:t>T9.</w:t>
            </w:r>
            <w:r w:rsidRPr="002E57BA">
              <w:tab/>
              <w:t>Compact disk players</w:t>
            </w:r>
          </w:p>
          <w:p w:rsidR="00000000" w:rsidRPr="002E57BA" w:rsidP="002E57BA">
            <w:pPr>
              <w:pStyle w:val="ListBullet"/>
            </w:pPr>
            <w:r w:rsidRPr="002E57BA">
              <w:t>Characteristics of optical digital recording</w:t>
            </w:r>
          </w:p>
          <w:p w:rsidR="00000000" w:rsidRPr="002E57BA" w:rsidP="002E57BA">
            <w:pPr>
              <w:pStyle w:val="ListBullet"/>
            </w:pPr>
            <w:r w:rsidRPr="002E57BA">
              <w:t>Components of CD players</w:t>
            </w:r>
          </w:p>
          <w:p w:rsidR="00000000" w:rsidRPr="002E57BA" w:rsidP="002E57BA">
            <w:pPr>
              <w:pStyle w:val="ListBullet"/>
            </w:pPr>
            <w:r w:rsidRPr="002E57BA">
              <w:t>Operation of servo loops</w:t>
            </w:r>
          </w:p>
          <w:p w:rsidR="00000000" w:rsidRPr="002E57BA" w:rsidP="002E57BA">
            <w:pPr>
              <w:pStyle w:val="ListBullet"/>
            </w:pPr>
            <w:r w:rsidRPr="002E57BA">
              <w:t>Digital signal processing</w:t>
            </w:r>
          </w:p>
          <w:p w:rsidR="00000000" w:rsidRPr="002E57BA" w:rsidP="002E57BA">
            <w:pPr>
              <w:pStyle w:val="ListBullet"/>
            </w:pPr>
            <w:r w:rsidRPr="002E57BA">
              <w:t>System control sections of a CD</w:t>
            </w:r>
          </w:p>
          <w:p w:rsidR="00000000" w:rsidRPr="002E57BA" w:rsidP="002E57BA">
            <w:pPr>
              <w:pStyle w:val="BodyText"/>
            </w:pPr>
            <w:r w:rsidRPr="002E57BA">
              <w:t>T10.</w:t>
            </w:r>
            <w:r w:rsidRPr="002E57BA">
              <w:tab/>
              <w:t>Digital versatile disk processors</w:t>
            </w:r>
          </w:p>
          <w:p w:rsidR="00000000" w:rsidRPr="002E57BA" w:rsidP="002E57BA">
            <w:pPr>
              <w:pStyle w:val="ListBullet"/>
            </w:pPr>
            <w:r w:rsidRPr="002E57BA">
              <w:t>Operating principles, characteristics, features and standards of DVD players</w:t>
            </w:r>
          </w:p>
          <w:p w:rsidR="00000000" w:rsidRPr="002E57BA" w:rsidP="002E57BA">
            <w:pPr>
              <w:pStyle w:val="ListBullet"/>
            </w:pPr>
            <w:r w:rsidRPr="002E57BA">
              <w:t>Components and adjustment of DV</w:t>
            </w:r>
            <w:r w:rsidRPr="002E57BA">
              <w:t>D players</w:t>
            </w:r>
          </w:p>
          <w:p w:rsidR="00000000" w:rsidRPr="002E57BA" w:rsidP="002E57BA">
            <w:pPr>
              <w:pStyle w:val="BodyText"/>
            </w:pPr>
            <w:r w:rsidRPr="002E57BA">
              <w:t>T11.</w:t>
            </w:r>
            <w:r w:rsidRPr="002E57BA">
              <w:tab/>
              <w:t>Audio/video recording and replay components repair basics</w:t>
            </w:r>
          </w:p>
          <w:p w:rsidR="00000000" w:rsidRPr="002E57BA" w:rsidP="002E57BA">
            <w:pPr>
              <w:pStyle w:val="ListBullet"/>
            </w:pPr>
            <w:r w:rsidRPr="002E57BA">
              <w:t>Sub-system components (i.e. functional blocks) and their operating parameters</w:t>
            </w:r>
          </w:p>
          <w:p w:rsidR="00000000" w:rsidRPr="002E57BA" w:rsidP="002E57BA">
            <w:pPr>
              <w:pStyle w:val="ListBullet"/>
            </w:pPr>
            <w:r w:rsidRPr="002E57BA">
              <w:t>Common faults, their symptoms and cause.</w:t>
            </w:r>
          </w:p>
          <w:p w:rsidR="00000000" w:rsidRPr="002E57BA" w:rsidP="002E57BA">
            <w:pPr>
              <w:pStyle w:val="ListBullet"/>
            </w:pPr>
            <w:r w:rsidRPr="002E57BA">
              <w:t>Fault location procedures and testing points</w:t>
            </w:r>
          </w:p>
          <w:p w:rsidR="00000000" w:rsidRPr="002E57BA" w:rsidP="002E57BA">
            <w:pPr>
              <w:pStyle w:val="ListBullet"/>
            </w:pPr>
            <w:r w:rsidRPr="002E57BA">
              <w:t>Device adjustments</w:t>
            </w:r>
            <w:r w:rsidRPr="002E57BA">
              <w:t xml:space="preserve"> - audio/video systems are compact disk players, DVD players and AV systems</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10" w:name="O_587121"/>
      <w:bookmarkEnd w:id="10"/>
      <w:r w:rsidRPr="002E57BA">
        <w:t>Evidence Guide</w:t>
      </w:r>
    </w:p>
    <w:tbl>
      <w:tblPr>
        <w:tblW w:w="0" w:type="auto"/>
        <w:tblLayout w:type="fixed"/>
        <w:tblCellMar>
          <w:left w:w="62" w:type="dxa"/>
          <w:right w:w="62" w:type="dxa"/>
        </w:tblCellMar>
        <w:tblLook w:val="0000"/>
      </w:tblPr>
      <w:tblGrid>
        <w:gridCol w:w="8460"/>
      </w:tblGrid>
      <w:tr w:rsidTr="00CC6F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EVIDENCE GUIDE</w:t>
            </w:r>
          </w:p>
        </w:tc>
      </w:tr>
      <w:tr w:rsidTr="00CC6F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9)</w:t>
            </w:r>
            <w:r w:rsidRPr="002E57BA">
              <w:t xml:space="preserve"> The evidence guide provides advice on assessment and must be read in conjunction with the Performance </w:t>
            </w:r>
            <w:r w:rsidRPr="002E57BA">
              <w:t>Criteria, Required Skills and Knowledge, the Range Statement and the Assessment Guidelines for this Training Package. .</w:t>
            </w:r>
          </w:p>
          <w:p w:rsidR="00000000" w:rsidRPr="002E57BA" w:rsidP="002E57BA">
            <w:pPr>
              <w:pStyle w:val="BodyText"/>
            </w:pPr>
            <w:r w:rsidRPr="002E57BA">
              <w:t>The Evidence Guide forms an integral part of this unit. It must be used in conjunction with all parts of the unit and performed in accor</w:t>
            </w:r>
            <w:r w:rsidRPr="002E57BA">
              <w:t>dance with the Assessment Guidelines of this Training Package.</w:t>
            </w:r>
          </w:p>
        </w:tc>
      </w:tr>
    </w:tbl>
    <w:p w:rsidR="00000000" w:rsidRPr="002E57BA" w:rsidP="002E57BA">
      <w:pPr>
        <w:pStyle w:val="BodyText"/>
      </w:pPr>
    </w:p>
    <w:tbl>
      <w:tblPr>
        <w:tblW w:w="0" w:type="auto"/>
        <w:tblLayout w:type="fixed"/>
        <w:tblCellMar>
          <w:left w:w="62" w:type="dxa"/>
          <w:right w:w="62" w:type="dxa"/>
        </w:tblCellMar>
        <w:tblLook w:val="0000"/>
      </w:tblPr>
      <w:tblGrid>
        <w:gridCol w:w="1890"/>
        <w:gridCol w:w="6570"/>
      </w:tblGrid>
      <w:tr w:rsidTr="00CC6F28">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9.1)</w:t>
            </w:r>
          </w:p>
        </w:tc>
      </w:tr>
      <w:tr w:rsidTr="00CC6F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 xml:space="preserve">Longitudinal competency development approaches to assessment, such as Profiling, require data to be reliably gathered in a form that can be </w:t>
            </w:r>
            <w:r w:rsidRPr="002E57BA">
              <w:t>consistently interpreted over time. This approach is best utilised in Apprenticeship programs and reduces assessment intervention. It is the Industry-preferred model for apprenticeships. However, where summative (or final) assessment is used it must includ</w:t>
            </w:r>
            <w:r w:rsidRPr="002E57BA">
              <w:t>e the application of the competency in the normal work environment or, at a minimum, the application of the competency in a realistically simulated work environment. It is recognised that, in some circumstances, assessment in part or full can occur outside</w:t>
            </w:r>
            <w:r w:rsidRPr="002E57BA">
              <w:t xml:space="preserve"> the workplace. However, it must be in accord with industry and regulatory policy.</w:t>
            </w:r>
          </w:p>
          <w:p w:rsidR="00000000" w:rsidRPr="002E57BA" w:rsidP="002E57BA">
            <w:pPr>
              <w:pStyle w:val="BodyText"/>
            </w:pPr>
            <w:r w:rsidRPr="002E57BA">
              <w:t>Methods chosen for a particular assessment will be influenced by various factors. These include the extent of the assessment, the most effective locations for the assessment</w:t>
            </w:r>
            <w:r w:rsidRPr="002E57BA">
              <w:t xml:space="preserve"> activities to take place, access to physical resources, additional safety measures that may be required and the critical nature of the competencies being assessed.</w:t>
            </w:r>
          </w:p>
          <w:p w:rsidR="00000000" w:rsidRPr="002E57BA" w:rsidP="002E57BA">
            <w:pPr>
              <w:pStyle w:val="BodyText"/>
            </w:pPr>
            <w:r w:rsidRPr="002E57BA">
              <w:t>The critical safety nature of working with electricity, electrical equipment, gas or any ot</w:t>
            </w:r>
            <w:r w:rsidRPr="002E57BA">
              <w:t>her hazardous substance/material carries risk in deeming a person competent. Sources of evidence need to be ‘rich’ in nature to minimise error in judgment.</w:t>
            </w:r>
          </w:p>
          <w:p w:rsidR="00000000" w:rsidRPr="002E57BA" w:rsidP="002E57BA">
            <w:pPr>
              <w:pStyle w:val="BodyText"/>
            </w:pPr>
            <w:r w:rsidRPr="002E57BA">
              <w:t>Activities associated with normal everyday work influence decisions about how/how much the data gath</w:t>
            </w:r>
            <w:r w:rsidRPr="002E57BA">
              <w:t>ered will contribute to its ‘richness’. Some skills are more critical to safety and operational requirements while the same skills may be more or less frequently practised. These points are raised for the assessors to consider when choosing an assessment m</w:t>
            </w:r>
            <w:r w:rsidRPr="002E57BA">
              <w:t>ethod and developing assessment instruments. Sample assessment instruments are included for Assessors in the Assessment Guidelines of this Training Package.</w:t>
            </w:r>
          </w:p>
        </w:tc>
      </w:tr>
    </w:tbl>
    <w:p w:rsidR="00000000" w:rsidRPr="002E57BA" w:rsidP="002E57BA">
      <w:pPr>
        <w:pStyle w:val="BodyText"/>
      </w:pPr>
    </w:p>
    <w:tbl>
      <w:tblPr>
        <w:tblW w:w="12396" w:type="dxa"/>
        <w:tblLayout w:type="fixed"/>
        <w:tblCellMar>
          <w:left w:w="62" w:type="dxa"/>
          <w:right w:w="62" w:type="dxa"/>
        </w:tblCellMar>
        <w:tblLook w:val="0000"/>
      </w:tblPr>
      <w:tblGrid>
        <w:gridCol w:w="1890"/>
        <w:gridCol w:w="879"/>
        <w:gridCol w:w="2242"/>
        <w:gridCol w:w="3449"/>
        <w:gridCol w:w="3936"/>
      </w:tblGrid>
      <w:tr w:rsidTr="00CC6F28">
        <w:tblPrEx>
          <w:tblW w:w="12396" w:type="dxa"/>
          <w:tblLayout w:type="fixed"/>
          <w:tblCellMar>
            <w:left w:w="62" w:type="dxa"/>
            <w:right w:w="62" w:type="dxa"/>
          </w:tblCellMar>
          <w:tblLook w:val="0000"/>
        </w:tblPrEx>
        <w:trPr>
          <w:gridAfter w:val="1"/>
          <w:wAfter w:w="3936" w:type="dxa"/>
        </w:trPr>
        <w:tc>
          <w:tcPr>
            <w:tcW w:w="189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9.2)</w:t>
            </w:r>
          </w:p>
        </w:tc>
      </w:tr>
      <w:tr w:rsidTr="00CC6F28">
        <w:tblPrEx>
          <w:tblW w:w="12396" w:type="dxa"/>
          <w:tblLayout w:type="fixed"/>
          <w:tblCellMar>
            <w:left w:w="62" w:type="dxa"/>
            <w:right w:w="62" w:type="dxa"/>
          </w:tblCellMar>
          <w:tblLook w:val="0000"/>
        </w:tblPrEx>
        <w:trPr>
          <w:gridAfter w:val="1"/>
          <w:wAfter w:w="3936"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Before the critical aspects of evidence are considered all prerequisites shall be met.</w:t>
            </w:r>
          </w:p>
          <w:p w:rsidR="00000000" w:rsidRPr="002E57BA" w:rsidP="002E57BA">
            <w:pPr>
              <w:pStyle w:val="BodyText"/>
            </w:pPr>
            <w:r w:rsidRPr="002E57BA">
              <w:t xml:space="preserve">Evidence for competence in this unit shall be considered holistically.  Each Element and associated performance criteria shall be demonstrated on at least two occasions </w:t>
            </w:r>
            <w:r w:rsidRPr="002E57BA">
              <w:t>in accordance with the ‘Assessment Guidelines – UEE11’.  Evidence shall also comprise:</w:t>
            </w:r>
          </w:p>
          <w:p w:rsidR="00000000" w:rsidRPr="002E57BA" w:rsidP="002E57BA">
            <w:pPr>
              <w:pStyle w:val="ListBullet"/>
            </w:pPr>
            <w:r w:rsidRPr="002E57BA">
              <w:t>A representative body of work performance demonstrated within the timeframes typically expected of the discipline, work function and industrial environment. In particul</w:t>
            </w:r>
            <w:r w:rsidRPr="002E57BA">
              <w:t>ar this shall incorporate evidence that shows a candidate is able to:</w:t>
            </w:r>
          </w:p>
          <w:p w:rsidR="00000000" w:rsidRPr="002E57BA" w:rsidP="002E57BA">
            <w:pPr>
              <w:pStyle w:val="ListBullet2"/>
            </w:pPr>
            <w:r w:rsidRPr="002E57BA">
              <w:t>Implement Occupational Health and Safety workplace procedures and practices, including the use of risk control measures as specified in the performance criteria and range statement</w:t>
            </w:r>
          </w:p>
          <w:p w:rsidR="00000000" w:rsidRPr="002E57BA" w:rsidP="002E57BA">
            <w:pPr>
              <w:pStyle w:val="ListBullet2"/>
            </w:pPr>
            <w:r w:rsidRPr="002E57BA">
              <w:t>Appl</w:t>
            </w:r>
            <w:r w:rsidRPr="002E57BA">
              <w:t>y sustainable energy principles and practices as specified in the performance criteria and range statement</w:t>
            </w:r>
          </w:p>
          <w:p w:rsidR="00000000" w:rsidRPr="002E57BA" w:rsidP="002E57BA">
            <w:pPr>
              <w:pStyle w:val="ListBullet2"/>
            </w:pPr>
            <w:r w:rsidRPr="002E57BA">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2E57BA" w:rsidP="002E57BA">
            <w:pPr>
              <w:pStyle w:val="ListBullet2"/>
            </w:pPr>
            <w:r w:rsidRPr="002E57BA">
              <w:t>Demonst</w:t>
            </w:r>
            <w:r w:rsidRPr="002E57BA">
              <w:t>rate an appropriate level of skills enabling employment</w:t>
            </w:r>
          </w:p>
          <w:p w:rsidR="00000000" w:rsidRPr="002E57BA" w:rsidP="002E57BA">
            <w:pPr>
              <w:pStyle w:val="ListBullet2"/>
            </w:pPr>
            <w:r w:rsidRPr="002E57BA">
              <w:t>Conduct work observing the relevant Anti Discrimination legislation, regulations, polices and workplace procedures</w:t>
            </w:r>
          </w:p>
          <w:p w:rsidR="00000000" w:rsidRPr="002E57BA" w:rsidP="002E57BA">
            <w:pPr>
              <w:pStyle w:val="ListBullet"/>
            </w:pPr>
            <w:r w:rsidRPr="002E57BA">
              <w:t>Demonstrated consistent performance across a representative range of contexts from t</w:t>
            </w:r>
            <w:r w:rsidRPr="002E57BA">
              <w:t>he prescribed items below:</w:t>
            </w:r>
          </w:p>
          <w:p w:rsidR="00000000" w:rsidP="002E57BA">
            <w:pPr>
              <w:pStyle w:val="ListBullet2"/>
              <w:rPr>
                <w:lang w:val="en-NZ"/>
              </w:rPr>
            </w:pPr>
            <w:r w:rsidRPr="002E57BA">
              <w:t>Carry out repairs of predictable faults in audio and video replay/recording apparatus as described in 8) and including:</w:t>
            </w:r>
          </w:p>
        </w:tc>
      </w:tr>
      <w:tr w:rsidTr="00CC6F28">
        <w:tblPrEx>
          <w:tblW w:w="12396" w:type="dxa"/>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2"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A</w:t>
            </w:r>
          </w:p>
        </w:tc>
        <w:tc>
          <w:tcPr>
            <w:tcW w:w="7385"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Using methodical fault finding techniques.</w:t>
            </w:r>
          </w:p>
        </w:tc>
      </w:tr>
      <w:tr w:rsidTr="00CC6F28">
        <w:tblPrEx>
          <w:tblW w:w="12396" w:type="dxa"/>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2"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B</w:t>
            </w:r>
          </w:p>
        </w:tc>
        <w:tc>
          <w:tcPr>
            <w:tcW w:w="7385"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Finding faults efficiently.</w:t>
            </w:r>
          </w:p>
        </w:tc>
      </w:tr>
      <w:tr w:rsidTr="00CC6F28">
        <w:tblPrEx>
          <w:tblW w:w="12396" w:type="dxa"/>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2"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C</w:t>
            </w:r>
          </w:p>
        </w:tc>
        <w:tc>
          <w:tcPr>
            <w:tcW w:w="7385"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Replacing components without damage.</w:t>
            </w:r>
          </w:p>
        </w:tc>
      </w:tr>
      <w:tr w:rsidTr="00CC6F28">
        <w:tblPrEx>
          <w:tblW w:w="12396" w:type="dxa"/>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2"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D</w:t>
            </w:r>
          </w:p>
        </w:tc>
        <w:tc>
          <w:tcPr>
            <w:tcW w:w="7385"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Providing written justification for the repairs.</w:t>
            </w:r>
          </w:p>
        </w:tc>
      </w:tr>
      <w:tr w:rsidTr="00CC6F28">
        <w:tblPrEx>
          <w:tblW w:w="12396" w:type="dxa"/>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2"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E</w:t>
            </w:r>
          </w:p>
        </w:tc>
        <w:tc>
          <w:tcPr>
            <w:tcW w:w="7385" w:type="dxa"/>
            <w:gridSpan w:val="2"/>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t xml:space="preserve">Dealing with unplanned events by drawing on essential knowledge and skills to provide appropriate solutions incorporated in a holistic assessment </w:t>
            </w:r>
            <w:r w:rsidRPr="002E57BA">
              <w:t>with the above listed items.</w:t>
            </w:r>
          </w:p>
        </w:tc>
      </w:tr>
      <w:tr w:rsidTr="00CC6F28">
        <w:tblPrEx>
          <w:tblW w:w="12396" w:type="dxa"/>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27" w:type="dxa"/>
            <w:gridSpan w:val="3"/>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 xml:space="preserve">Note: </w:t>
            </w:r>
          </w:p>
          <w:p w:rsidR="00000000" w:rsidRPr="002E57BA" w:rsidP="002E57BA">
            <w:pPr>
              <w:pStyle w:val="BodyText"/>
            </w:pPr>
            <w:r w:rsidRPr="002E57BA">
              <w:t>Successful completion of relevant vendor training may be used to contribute to evidence on which competency is deemed. In these cases the alignment of outcomes of vendor training with performance criteria and critical</w:t>
            </w:r>
            <w:r w:rsidRPr="002E57BA">
              <w:t xml:space="preserve"> aspects of evidence shall be clearly identified.</w:t>
            </w:r>
          </w:p>
        </w:tc>
      </w:tr>
    </w:tbl>
    <w:p w:rsidR="00000000" w:rsidRPr="002E57BA" w:rsidP="002E57BA">
      <w:pPr>
        <w:pStyle w:val="BodyText"/>
      </w:pPr>
    </w:p>
    <w:tbl>
      <w:tblPr>
        <w:tblW w:w="0" w:type="auto"/>
        <w:tblLayout w:type="fixed"/>
        <w:tblCellMar>
          <w:left w:w="62" w:type="dxa"/>
          <w:right w:w="62" w:type="dxa"/>
        </w:tblCellMar>
        <w:tblLook w:val="0000"/>
      </w:tblPr>
      <w:tblGrid>
        <w:gridCol w:w="1890"/>
        <w:gridCol w:w="6570"/>
      </w:tblGrid>
      <w:tr w:rsidTr="00CC6F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9.3)</w:t>
            </w:r>
          </w:p>
        </w:tc>
      </w:tr>
      <w:tr w:rsidTr="00CC6F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 xml:space="preserve">This unit should be assessed as it relates to normal work practice using procedures, information and resources typical of a workplace. This </w:t>
            </w:r>
            <w:r w:rsidRPr="002E57BA">
              <w:t>should include:</w:t>
            </w:r>
          </w:p>
          <w:p w:rsidR="00000000" w:rsidRPr="002E57BA" w:rsidP="002E57BA">
            <w:pPr>
              <w:pStyle w:val="ListBullet"/>
            </w:pPr>
            <w:r w:rsidRPr="002E57BA">
              <w:t>OHS policy and work procedures and instructions.</w:t>
            </w:r>
          </w:p>
          <w:p w:rsidR="00000000" w:rsidRPr="002E57BA" w:rsidP="002E57BA">
            <w:pPr>
              <w:pStyle w:val="ListBullet"/>
            </w:pPr>
            <w:r w:rsidRPr="002E57BA">
              <w:t>Suitable work environment, facilities, equipment and materials to undertake actual work as prescribed by this unit.</w:t>
            </w:r>
          </w:p>
          <w:p w:rsidR="00000000" w:rsidRPr="002E57BA" w:rsidP="002E57BA">
            <w:pPr>
              <w:pStyle w:val="BodyText"/>
            </w:pPr>
            <w:r w:rsidRPr="002E57BA">
              <w:t>These should be part of the formal learning/assessment environment.</w:t>
            </w:r>
          </w:p>
          <w:p w:rsidR="00000000" w:rsidRPr="002E57BA" w:rsidP="002E57BA">
            <w:pPr>
              <w:pStyle w:val="BodyText"/>
            </w:pPr>
            <w:r w:rsidRPr="002E57BA">
              <w:t>Note:</w:t>
            </w:r>
          </w:p>
          <w:p w:rsidR="00000000" w:rsidRPr="002E57BA" w:rsidP="002E57BA">
            <w:pPr>
              <w:pStyle w:val="BodyText"/>
            </w:pPr>
            <w:r w:rsidRPr="002E57BA">
              <w:t>Where simulation is considered a suitable strategy for assessment, conditions must be authentic and as far as possible reproduce and replicate the workplace and be consistent with the approved industry simulation policy.</w:t>
            </w:r>
          </w:p>
          <w:p w:rsidR="00000000" w:rsidRPr="002E57BA" w:rsidP="002E57BA">
            <w:pPr>
              <w:pStyle w:val="BodyText"/>
            </w:pPr>
            <w:r w:rsidRPr="002E57BA">
              <w:t>The resources used for assessment s</w:t>
            </w:r>
            <w:r w:rsidRPr="002E57BA">
              <w:t>hould reflect current industry practices in relation to carrying out repairs of predictable faults in audio and video replay/recording apparatus.</w:t>
            </w:r>
          </w:p>
        </w:tc>
      </w:tr>
    </w:tbl>
    <w:p w:rsidR="00000000" w:rsidRPr="002E57BA" w:rsidP="002E57BA">
      <w:pPr>
        <w:pStyle w:val="BodyText"/>
      </w:pPr>
    </w:p>
    <w:tbl>
      <w:tblPr>
        <w:tblW w:w="0" w:type="auto"/>
        <w:tblLayout w:type="fixed"/>
        <w:tblCellMar>
          <w:left w:w="62" w:type="dxa"/>
          <w:right w:w="62" w:type="dxa"/>
        </w:tblCellMar>
        <w:tblLook w:val="0000"/>
      </w:tblPr>
      <w:tblGrid>
        <w:gridCol w:w="1890"/>
        <w:gridCol w:w="6570"/>
      </w:tblGrid>
      <w:tr w:rsidTr="00CC6F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9.4)</w:t>
            </w:r>
          </w:p>
        </w:tc>
      </w:tr>
      <w:tr w:rsidTr="00CC6F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This unit shall be assessed by methods given in Volume 1, Part 3 ‘</w:t>
            </w:r>
            <w:r w:rsidRPr="002E57BA">
              <w:t>Assessment Guidelines’.</w:t>
            </w:r>
          </w:p>
          <w:p w:rsidR="00000000" w:rsidRPr="002E57BA" w:rsidP="002E57BA">
            <w:pPr>
              <w:pStyle w:val="BodyText"/>
            </w:pPr>
            <w:r w:rsidRPr="002E57BA">
              <w:t xml:space="preserve">Note: </w:t>
            </w:r>
          </w:p>
          <w:p w:rsidR="00000000" w:rsidRPr="002E57BA" w:rsidP="002E57BA">
            <w:pPr>
              <w:pStyle w:val="BodyText"/>
            </w:pPr>
            <w:r w:rsidRPr="002E57BA">
              <w:t>Competent performance with inherent safe working practices is expected in the industry to which this unit applies. This requires that the specified essential knowledge and associated skills are assessed in a structured enviro</w:t>
            </w:r>
            <w:r w:rsidRPr="002E57BA">
              <w:t>nment which is primarily intended for learning/assessment and incorporates all necessary equipment and facilities for learners to develop and demonstrate the essential knowledge and skills described in this unit.</w:t>
            </w:r>
          </w:p>
        </w:tc>
      </w:tr>
    </w:tbl>
    <w:p w:rsidR="00000000" w:rsidRPr="002E57BA" w:rsidP="002E57BA">
      <w:pPr>
        <w:pStyle w:val="BodyText"/>
      </w:pPr>
    </w:p>
    <w:tbl>
      <w:tblPr>
        <w:tblW w:w="0" w:type="auto"/>
        <w:tblLayout w:type="fixed"/>
        <w:tblCellMar>
          <w:left w:w="62" w:type="dxa"/>
          <w:right w:w="62" w:type="dxa"/>
        </w:tblCellMar>
        <w:tblLook w:val="0000"/>
      </w:tblPr>
      <w:tblGrid>
        <w:gridCol w:w="1890"/>
        <w:gridCol w:w="6570"/>
      </w:tblGrid>
      <w:tr w:rsidTr="00CC6F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Concurrent assessment and relationship wi</w:t>
            </w:r>
            <w:r w:rsidRPr="002E57BA">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9.5)</w:t>
            </w:r>
          </w:p>
        </w:tc>
      </w:tr>
      <w:tr w:rsidTr="00CC6F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There are no concurrent assessment recommendations for this unit.</w:t>
            </w:r>
          </w:p>
          <w:p w:rsidR="00000000" w:rsidRPr="002E57BA" w:rsidP="002E57BA">
            <w:pPr>
              <w:pStyle w:val="BodyText"/>
            </w:pPr>
            <w:r w:rsidRPr="002E57BA">
              <w:t>The critical aspects of occupational health and safety covered in unit UEENEEE101A and other discipline specific occupational health and safety units shall be incorpora</w:t>
            </w:r>
            <w:r w:rsidRPr="002E57BA">
              <w:t>ted in relation to this unit.</w:t>
            </w:r>
          </w:p>
        </w:tc>
      </w:tr>
    </w:tbl>
    <w:p w:rsidR="00CC6F28" w:rsidP="002E57BA">
      <w:pPr>
        <w:pStyle w:val="BodyText"/>
      </w:pPr>
    </w:p>
    <w:p w:rsidR="00CC6F28" w:rsidP="002E57BA">
      <w:pPr>
        <w:pStyle w:val="BodyText"/>
      </w:pPr>
    </w:p>
    <w:p w:rsidR="00000000" w:rsidRPr="002E57BA" w:rsidP="002E57BA">
      <w:pPr>
        <w:pStyle w:val="Heading1"/>
      </w:pPr>
      <w:bookmarkStart w:id="11" w:name="O_587095"/>
      <w:bookmarkEnd w:id="11"/>
      <w:r w:rsidRPr="002E57BA">
        <w:t>Range Statement</w:t>
      </w:r>
    </w:p>
    <w:tbl>
      <w:tblPr>
        <w:tblW w:w="0" w:type="auto"/>
        <w:tblLayout w:type="fixed"/>
        <w:tblCellMar>
          <w:left w:w="62" w:type="dxa"/>
          <w:right w:w="62" w:type="dxa"/>
        </w:tblCellMar>
        <w:tblLook w:val="0000"/>
      </w:tblPr>
      <w:tblGrid>
        <w:gridCol w:w="8460"/>
      </w:tblGrid>
      <w:tr w:rsidTr="00CC6F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RANGE STATEMENT</w:t>
            </w:r>
          </w:p>
        </w:tc>
      </w:tr>
      <w:tr w:rsidTr="00CC6F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10)</w:t>
            </w:r>
            <w:r w:rsidRPr="002E57BA">
              <w:t xml:space="preserve"> This relates to the unit as a whole providing the range of contexts and conditions to which the </w:t>
            </w:r>
            <w:r w:rsidRPr="002E57BA">
              <w:t>performance criteria apply. It allows for different work environments and situations that will affect performance.</w:t>
            </w:r>
          </w:p>
          <w:p w:rsidR="00000000" w:rsidRPr="002E57BA" w:rsidP="002E57BA">
            <w:pPr>
              <w:pStyle w:val="BodyText"/>
            </w:pPr>
            <w:r w:rsidRPr="002E57BA">
              <w:t>This unit shall be demonstrated in relation to carrying out repairs of at least four predictable faults in two different video replay/recordi</w:t>
            </w:r>
            <w:r w:rsidRPr="002E57BA">
              <w:t>ng apparatus</w:t>
            </w:r>
          </w:p>
          <w:p w:rsidR="00000000" w:rsidRPr="002E57BA" w:rsidP="002E57BA">
            <w:pPr>
              <w:pStyle w:val="BodyText"/>
            </w:pPr>
            <w:r w:rsidRPr="002E57BA">
              <w:t>Note.</w:t>
            </w:r>
          </w:p>
          <w:p w:rsidR="00000000" w:rsidRPr="002E57BA" w:rsidP="002E57BA">
            <w:pPr>
              <w:pStyle w:val="BodyText"/>
            </w:pPr>
            <w:r w:rsidRPr="002E57BA">
              <w:t>Examples of audio/video recording and replay components are audiocassette player/recorders, compact disk players, videocassette player/recorder, digital versatile disk and super audio compact players.</w:t>
            </w:r>
          </w:p>
          <w:p w:rsidR="00000000" w:rsidRPr="002E57BA" w:rsidP="002E57BA">
            <w:pPr>
              <w:pStyle w:val="BodyText"/>
            </w:pPr>
            <w:r w:rsidRPr="002E57BA">
              <w:t>Generic terms used throughout this V</w:t>
            </w:r>
            <w:r w:rsidRPr="002E57BA">
              <w:t>ocational Standard shall be regarded as part of the Range Statement in which competency is demonstrated. The definition of these and other terms that apply are given in Volume 2, Part 2.1.</w:t>
            </w:r>
          </w:p>
        </w:tc>
      </w:tr>
    </w:tbl>
    <w:p w:rsidR="00000000" w:rsidRPr="002E57BA" w:rsidP="002E57BA">
      <w:pPr>
        <w:pStyle w:val="BodyText"/>
      </w:pPr>
    </w:p>
    <w:p w:rsidR="00000000" w:rsidRPr="002E57BA" w:rsidP="002E57BA">
      <w:pPr>
        <w:pStyle w:val="AllowPageBreak"/>
      </w:pPr>
    </w:p>
    <w:p w:rsidR="00000000" w:rsidRPr="002E57BA" w:rsidP="002E57BA">
      <w:pPr>
        <w:pStyle w:val="Heading1"/>
      </w:pPr>
      <w:bookmarkStart w:id="12" w:name="O_587094"/>
      <w:bookmarkEnd w:id="12"/>
      <w:r w:rsidRPr="002E57BA">
        <w:t>Unit Sector(s)</w:t>
      </w:r>
    </w:p>
    <w:p w:rsidR="00000000" w:rsidRPr="002E57BA" w:rsidP="002E57BA">
      <w:pPr>
        <w:pStyle w:val="BodyText"/>
      </w:pPr>
      <w:r w:rsidRPr="002E57BA">
        <w:t>Not applicable.</w:t>
      </w:r>
    </w:p>
    <w:p w:rsidR="00000000" w:rsidRPr="002E57BA" w:rsidP="002E57BA">
      <w:pPr>
        <w:pStyle w:val="AllowPageBreak"/>
      </w:pPr>
    </w:p>
    <w:p w:rsidR="00000000" w:rsidRPr="002E57BA" w:rsidP="002E57BA">
      <w:pPr>
        <w:pStyle w:val="Heading1"/>
      </w:pPr>
      <w:bookmarkStart w:id="13" w:name="O_587093"/>
      <w:bookmarkEnd w:id="13"/>
      <w:r w:rsidRPr="002E57BA">
        <w:t>Competency Field</w:t>
      </w:r>
    </w:p>
    <w:tbl>
      <w:tblPr>
        <w:tblW w:w="0" w:type="auto"/>
        <w:tblLayout w:type="fixed"/>
        <w:tblCellMar>
          <w:left w:w="62" w:type="dxa"/>
          <w:right w:w="62" w:type="dxa"/>
        </w:tblCellMar>
        <w:tblLook w:val="0000"/>
      </w:tblPr>
      <w:tblGrid>
        <w:gridCol w:w="2700"/>
        <w:gridCol w:w="5760"/>
      </w:tblGrid>
      <w:tr w:rsidTr="00CC6F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E57BA">
            <w:pPr>
              <w:pStyle w:val="BodyText"/>
              <w:rPr>
                <w:lang w:val="en-NZ"/>
              </w:rPr>
            </w:pPr>
            <w:r w:rsidRPr="002E57BA">
              <w:rPr>
                <w:rStyle w:val="SpecialBold"/>
              </w:rPr>
              <w:t xml:space="preserve">11) </w:t>
            </w:r>
          </w:p>
        </w:tc>
      </w:tr>
      <w:tr w:rsidTr="00CC6F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57BA" w:rsidP="002E57BA">
            <w:pPr>
              <w:pStyle w:val="BodyText"/>
            </w:pPr>
            <w:r w:rsidRPr="002E57BA">
              <w:t>Electronics</w:t>
            </w:r>
          </w:p>
        </w:tc>
      </w:tr>
    </w:tbl>
    <w:p w:rsidR="00000000" w:rsidRPr="002E57BA" w:rsidP="002E57BA">
      <w:pPr>
        <w:pStyle w:val="BodyText"/>
      </w:pPr>
    </w:p>
    <w:p w:rsidR="00000000" w:rsidRPr="002E57BA" w:rsidP="002E57BA"/>
    <w:sectPr w:rsidSect="002E5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BA" w:rsidRPr="00CC6F28" w:rsidP="00CC6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F28" w:rsidP="002E5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6F28" w:rsidP="002E57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C6F28" w:rsidP="002E5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BA" w:rsidRPr="00CC6F28" w:rsidP="00CC6F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F28" w:rsidRPr="002D2AF8" w:rsidP="002E57BA">
    <w:pPr>
      <w:pStyle w:val="Header"/>
      <w:framePr w:wrap="around"/>
    </w:pPr>
    <w:r>
      <w:fldChar w:fldCharType="begin"/>
    </w:r>
    <w:r>
      <w:instrText xml:space="preserve"> TITLE   \* MERGEFORMAT </w:instrText>
    </w:r>
    <w:r>
      <w:fldChar w:fldCharType="separate"/>
    </w:r>
    <w:r>
      <w:t>UEENEEH117A Carry out repairs of predictable faults in video  and audio replay/recording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C6F28" w:rsidP="002E5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442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27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4F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7BA"/>
    <w:pPr>
      <w:spacing w:before="360" w:after="60"/>
      <w:outlineLvl w:val="0"/>
    </w:pPr>
    <w:rPr>
      <w:sz w:val="32"/>
    </w:rPr>
  </w:style>
  <w:style w:type="paragraph" w:styleId="Heading2">
    <w:name w:val="heading 2"/>
    <w:basedOn w:val="HeadingBase"/>
    <w:next w:val="BodyText"/>
    <w:link w:val="Heading2Char"/>
    <w:qFormat/>
    <w:rsid w:val="002E57BA"/>
    <w:pPr>
      <w:keepLines/>
      <w:spacing w:before="240" w:after="120"/>
      <w:outlineLvl w:val="1"/>
    </w:pPr>
    <w:rPr>
      <w:sz w:val="28"/>
      <w:szCs w:val="40"/>
    </w:rPr>
  </w:style>
  <w:style w:type="paragraph" w:styleId="Heading3">
    <w:name w:val="heading 3"/>
    <w:basedOn w:val="HeadingBase"/>
    <w:next w:val="BodyText"/>
    <w:link w:val="Heading3Char"/>
    <w:qFormat/>
    <w:rsid w:val="002E57BA"/>
    <w:pPr>
      <w:spacing w:before="180" w:after="120"/>
      <w:outlineLvl w:val="2"/>
    </w:pPr>
    <w:rPr>
      <w:spacing w:val="-10"/>
      <w:kern w:val="32"/>
    </w:rPr>
  </w:style>
  <w:style w:type="paragraph" w:styleId="Heading4">
    <w:name w:val="heading 4"/>
    <w:basedOn w:val="HeadingBase"/>
    <w:next w:val="BodyText"/>
    <w:link w:val="Heading4Char"/>
    <w:qFormat/>
    <w:rsid w:val="002E57BA"/>
    <w:pPr>
      <w:spacing w:before="160" w:after="120"/>
      <w:outlineLvl w:val="3"/>
    </w:pPr>
    <w:rPr>
      <w:sz w:val="22"/>
    </w:rPr>
  </w:style>
  <w:style w:type="paragraph" w:styleId="Heading5">
    <w:name w:val="heading 5"/>
    <w:basedOn w:val="HeadingBase"/>
    <w:next w:val="Normal"/>
    <w:link w:val="Heading5Char"/>
    <w:qFormat/>
    <w:rsid w:val="002E57BA"/>
    <w:pPr>
      <w:spacing w:before="80"/>
      <w:outlineLvl w:val="4"/>
    </w:pPr>
    <w:rPr>
      <w:color w:val="918585"/>
      <w:sz w:val="20"/>
    </w:rPr>
  </w:style>
  <w:style w:type="paragraph" w:styleId="Heading6">
    <w:name w:val="heading 6"/>
    <w:basedOn w:val="HeadingBase"/>
    <w:next w:val="Normal"/>
    <w:link w:val="Heading6Char"/>
    <w:qFormat/>
    <w:rsid w:val="002E57BA"/>
    <w:pPr>
      <w:spacing w:before="60"/>
      <w:outlineLvl w:val="5"/>
    </w:pPr>
    <w:rPr>
      <w:color w:val="918585"/>
      <w:sz w:val="20"/>
    </w:rPr>
  </w:style>
  <w:style w:type="paragraph" w:styleId="Heading7">
    <w:name w:val="heading 7"/>
    <w:basedOn w:val="Normal"/>
    <w:next w:val="Normal"/>
    <w:link w:val="Heading7Char"/>
    <w:qFormat/>
    <w:rsid w:val="002E57BA"/>
    <w:pPr>
      <w:ind w:left="720"/>
      <w:outlineLvl w:val="6"/>
    </w:pPr>
    <w:rPr>
      <w:i/>
    </w:rPr>
  </w:style>
  <w:style w:type="paragraph" w:styleId="Heading8">
    <w:name w:val="heading 8"/>
    <w:basedOn w:val="Normal"/>
    <w:next w:val="Normal"/>
    <w:link w:val="Heading8Char"/>
    <w:qFormat/>
    <w:rsid w:val="002E57BA"/>
    <w:pPr>
      <w:ind w:left="720"/>
      <w:outlineLvl w:val="7"/>
    </w:pPr>
    <w:rPr>
      <w:i/>
    </w:rPr>
  </w:style>
  <w:style w:type="paragraph" w:styleId="Heading9">
    <w:name w:val="heading 9"/>
    <w:basedOn w:val="Normal"/>
    <w:next w:val="Normal"/>
    <w:link w:val="Heading9Char"/>
    <w:qFormat/>
    <w:rsid w:val="002E57BA"/>
    <w:pPr>
      <w:ind w:left="720"/>
      <w:outlineLvl w:val="8"/>
    </w:pPr>
    <w:rPr>
      <w:i/>
    </w:rPr>
  </w:style>
  <w:style w:type="character" w:default="1" w:styleId="DefaultParagraphFont">
    <w:name w:val="Default Paragraph Font"/>
    <w:uiPriority w:val="1"/>
    <w:unhideWhenUsed/>
    <w:rsid w:val="002E5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7BA"/>
  </w:style>
  <w:style w:type="character" w:customStyle="1" w:styleId="Heading1Char">
    <w:name w:val="Heading 1 Char"/>
    <w:basedOn w:val="DefaultParagraphFont"/>
    <w:link w:val="Heading1"/>
    <w:rsid w:val="002E57BA"/>
    <w:rPr>
      <w:rFonts w:ascii="Times New Roman" w:eastAsia="Times New Roman" w:hAnsi="Times New Roman" w:cs="Times New Roman"/>
      <w:b/>
      <w:sz w:val="32"/>
      <w:szCs w:val="20"/>
      <w:lang w:eastAsia="en-US"/>
    </w:rPr>
  </w:style>
  <w:style w:type="paragraph" w:styleId="BodyText">
    <w:name w:val="Body Text"/>
    <w:basedOn w:val="Normal"/>
    <w:link w:val="BodyTextChar"/>
    <w:rsid w:val="002E57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7BA"/>
    <w:rPr>
      <w:rFonts w:ascii="Times New Roman" w:eastAsia="Times New Roman" w:hAnsi="Times New Roman" w:cs="Times New Roman"/>
      <w:sz w:val="24"/>
      <w:lang w:eastAsia="en-US"/>
    </w:rPr>
  </w:style>
  <w:style w:type="paragraph" w:styleId="ListBullet">
    <w:name w:val="List Bullet"/>
    <w:basedOn w:val="List"/>
    <w:rsid w:val="002E57BA"/>
    <w:pPr>
      <w:numPr>
        <w:numId w:val="13"/>
      </w:numPr>
      <w:tabs>
        <w:tab w:val="clear" w:pos="340"/>
      </w:tabs>
      <w:spacing w:before="40" w:after="40"/>
    </w:pPr>
  </w:style>
  <w:style w:type="character" w:customStyle="1" w:styleId="SpecialBold">
    <w:name w:val="Special Bold"/>
    <w:basedOn w:val="DefaultParagraphFont"/>
    <w:rsid w:val="002E57BA"/>
    <w:rPr>
      <w:b/>
      <w:spacing w:val="0"/>
    </w:rPr>
  </w:style>
  <w:style w:type="paragraph" w:styleId="ListBullet2">
    <w:name w:val="List Bullet 2"/>
    <w:basedOn w:val="List2"/>
    <w:rsid w:val="002E57BA"/>
    <w:pPr>
      <w:numPr>
        <w:numId w:val="14"/>
      </w:numPr>
      <w:tabs>
        <w:tab w:val="clear" w:pos="680"/>
      </w:tabs>
    </w:pPr>
  </w:style>
  <w:style w:type="paragraph" w:customStyle="1" w:styleId="SuperHeading">
    <w:name w:val="SuperHeading"/>
    <w:basedOn w:val="Normal"/>
    <w:rsid w:val="002E57BA"/>
    <w:pPr>
      <w:spacing w:before="240" w:after="120"/>
      <w:outlineLvl w:val="0"/>
    </w:pPr>
    <w:rPr>
      <w:rFonts w:ascii="Times New Roman" w:hAnsi="Times New Roman"/>
      <w:b/>
      <w:sz w:val="32"/>
    </w:rPr>
  </w:style>
  <w:style w:type="paragraph" w:customStyle="1" w:styleId="AllowPageBreak">
    <w:name w:val="AllowPageBreak"/>
    <w:rsid w:val="002E5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7BA"/>
    <w:rPr>
      <w:rFonts w:ascii="Courier New" w:eastAsia="Times New Roman" w:hAnsi="Courier New" w:cs="Times New Roman"/>
      <w:i/>
      <w:szCs w:val="20"/>
      <w:lang w:eastAsia="en-US"/>
    </w:rPr>
  </w:style>
  <w:style w:type="paragraph" w:customStyle="1" w:styleId="HeadingBase">
    <w:name w:val="Heading Base"/>
    <w:rsid w:val="002E5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7BA"/>
    <w:pPr>
      <w:tabs>
        <w:tab w:val="right" w:leader="dot" w:pos="9072"/>
      </w:tabs>
      <w:ind w:left="567"/>
    </w:pPr>
    <w:rPr>
      <w:szCs w:val="22"/>
    </w:rPr>
  </w:style>
  <w:style w:type="paragraph" w:customStyle="1" w:styleId="TOCBase">
    <w:name w:val="TOC Base"/>
    <w:rsid w:val="002E5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7BA"/>
    <w:pPr>
      <w:tabs>
        <w:tab w:val="right" w:leader="dot" w:pos="9072"/>
      </w:tabs>
      <w:spacing w:before="40" w:after="40"/>
      <w:ind w:left="284"/>
    </w:pPr>
    <w:rPr>
      <w:rFonts w:ascii="Times New Roman" w:hAnsi="Times New Roman"/>
    </w:rPr>
  </w:style>
  <w:style w:type="paragraph" w:styleId="TOC1">
    <w:name w:val="toc 1"/>
    <w:basedOn w:val="TOCBase"/>
    <w:next w:val="Normal"/>
    <w:rsid w:val="002E5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7BA"/>
    <w:rPr>
      <w:rFonts w:ascii="Times New Roman" w:eastAsia="Times New Roman" w:hAnsi="Times New Roman" w:cs="Times New Roman"/>
      <w:sz w:val="16"/>
      <w:lang w:eastAsia="en-US"/>
    </w:rPr>
  </w:style>
  <w:style w:type="paragraph" w:styleId="Title">
    <w:name w:val="Title"/>
    <w:basedOn w:val="HeadingBase"/>
    <w:link w:val="TitleChar"/>
    <w:qFormat/>
    <w:rsid w:val="002E57BA"/>
    <w:pPr>
      <w:spacing w:before="5040"/>
      <w:jc w:val="center"/>
    </w:pPr>
    <w:rPr>
      <w:sz w:val="48"/>
      <w:szCs w:val="72"/>
      <w:lang w:val="en-US"/>
    </w:rPr>
  </w:style>
  <w:style w:type="character" w:customStyle="1" w:styleId="TitleChar">
    <w:name w:val="Title Char"/>
    <w:basedOn w:val="DefaultParagraphFont"/>
    <w:link w:val="Title"/>
    <w:rsid w:val="002E5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7BA"/>
    <w:pPr>
      <w:tabs>
        <w:tab w:val="left" w:pos="3600"/>
        <w:tab w:val="left" w:pos="3958"/>
      </w:tabs>
    </w:pPr>
  </w:style>
  <w:style w:type="paragraph" w:styleId="List">
    <w:name w:val="List"/>
    <w:basedOn w:val="BodyText"/>
    <w:next w:val="BodyText"/>
    <w:rsid w:val="002E57BA"/>
    <w:pPr>
      <w:tabs>
        <w:tab w:val="left" w:pos="340"/>
      </w:tabs>
      <w:spacing w:before="60" w:after="60"/>
      <w:ind w:left="340" w:hanging="340"/>
    </w:pPr>
  </w:style>
  <w:style w:type="paragraph" w:customStyle="1" w:styleId="Note">
    <w:name w:val="Note"/>
    <w:basedOn w:val="BodyText"/>
    <w:rsid w:val="002E5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7BA"/>
    <w:pPr>
      <w:framePr w:wrap="auto" w:hAnchor="text" w:y="6049"/>
    </w:pPr>
    <w:rPr>
      <w:color w:val="000000"/>
      <w:sz w:val="40"/>
    </w:rPr>
  </w:style>
  <w:style w:type="paragraph" w:customStyle="1" w:styleId="TOCTitle">
    <w:name w:val="TOCTitle"/>
    <w:basedOn w:val="Heading1"/>
    <w:rsid w:val="002E57BA"/>
    <w:pPr>
      <w:spacing w:after="240"/>
      <w:jc w:val="center"/>
      <w:outlineLvl w:val="9"/>
    </w:pPr>
    <w:rPr>
      <w:caps/>
    </w:rPr>
  </w:style>
  <w:style w:type="paragraph" w:customStyle="1" w:styleId="Version">
    <w:name w:val="Version"/>
    <w:rsid w:val="002E5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7BA"/>
    <w:pPr>
      <w:keepNext w:val="0"/>
      <w:tabs>
        <w:tab w:val="right" w:pos="4176"/>
      </w:tabs>
      <w:ind w:left="198" w:hanging="198"/>
    </w:pPr>
    <w:rPr>
      <w:rFonts w:ascii="Garamond" w:hAnsi="Garamond"/>
    </w:rPr>
  </w:style>
  <w:style w:type="paragraph" w:styleId="IndexHeading">
    <w:name w:val="index heading"/>
    <w:basedOn w:val="Normal"/>
    <w:next w:val="Index1"/>
    <w:semiHidden/>
    <w:rsid w:val="002E57BA"/>
    <w:pPr>
      <w:spacing w:before="120" w:after="120"/>
    </w:pPr>
    <w:rPr>
      <w:rFonts w:ascii="Arial" w:hAnsi="Arial"/>
      <w:b/>
      <w:color w:val="918585"/>
      <w:sz w:val="24"/>
    </w:rPr>
  </w:style>
  <w:style w:type="paragraph" w:styleId="Header">
    <w:name w:val="header"/>
    <w:basedOn w:val="Normal"/>
    <w:link w:val="HeaderChar"/>
    <w:rsid w:val="002E5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7BA"/>
    <w:rPr>
      <w:rFonts w:ascii="Times New Roman" w:eastAsia="Times New Roman" w:hAnsi="Times New Roman" w:cs="Times New Roman"/>
      <w:sz w:val="16"/>
      <w:szCs w:val="20"/>
      <w:lang w:val="en-GB" w:eastAsia="en-US"/>
    </w:rPr>
  </w:style>
  <w:style w:type="paragraph" w:customStyle="1" w:styleId="Chapter">
    <w:name w:val="Chapter"/>
    <w:basedOn w:val="Normal"/>
    <w:rsid w:val="002E57BA"/>
    <w:pPr>
      <w:spacing w:before="240"/>
    </w:pPr>
    <w:rPr>
      <w:rFonts w:ascii="Times New Roman" w:hAnsi="Times New Roman"/>
      <w:smallCaps/>
      <w:spacing w:val="80"/>
      <w:sz w:val="28"/>
    </w:rPr>
  </w:style>
  <w:style w:type="paragraph" w:customStyle="1" w:styleId="InChapter">
    <w:name w:val="InChapter"/>
    <w:basedOn w:val="Heading3"/>
    <w:rsid w:val="002E57BA"/>
    <w:pPr>
      <w:spacing w:after="240"/>
      <w:outlineLvl w:val="9"/>
    </w:pPr>
    <w:rPr>
      <w:noProof/>
    </w:rPr>
  </w:style>
  <w:style w:type="paragraph" w:styleId="Index2">
    <w:name w:val="index 2"/>
    <w:basedOn w:val="Normal"/>
    <w:next w:val="Normal"/>
    <w:semiHidden/>
    <w:rsid w:val="002E57BA"/>
    <w:pPr>
      <w:tabs>
        <w:tab w:val="right" w:pos="4176"/>
      </w:tabs>
      <w:ind w:left="568" w:hanging="284"/>
    </w:pPr>
    <w:rPr>
      <w:rFonts w:ascii="Garamond" w:hAnsi="Garamond"/>
    </w:rPr>
  </w:style>
  <w:style w:type="paragraph" w:customStyle="1" w:styleId="Byline">
    <w:name w:val="Byline"/>
    <w:rsid w:val="002E5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7BA"/>
    <w:pPr>
      <w:tabs>
        <w:tab w:val="clear" w:pos="3600"/>
        <w:tab w:val="clear" w:pos="3958"/>
      </w:tabs>
      <w:jc w:val="right"/>
    </w:pPr>
  </w:style>
  <w:style w:type="character" w:styleId="Emphasis">
    <w:name w:val="Emphasis"/>
    <w:basedOn w:val="DefaultParagraphFont"/>
    <w:qFormat/>
    <w:rsid w:val="002E57BA"/>
    <w:rPr>
      <w:i/>
    </w:rPr>
  </w:style>
  <w:style w:type="paragraph" w:styleId="Caption">
    <w:name w:val="caption"/>
    <w:basedOn w:val="BodyText"/>
    <w:next w:val="Normal"/>
    <w:qFormat/>
    <w:rsid w:val="002E57BA"/>
    <w:pPr>
      <w:framePr w:w="2268" w:hSpace="181" w:vSpace="181" w:wrap="around" w:vAnchor="text" w:hAnchor="page" w:x="1135" w:y="285" w:anchorLock="1"/>
    </w:pPr>
    <w:rPr>
      <w:i/>
    </w:rPr>
  </w:style>
  <w:style w:type="paragraph" w:customStyle="1" w:styleId="MiniTOCTitle">
    <w:name w:val="MiniTOCTitle"/>
    <w:basedOn w:val="Heading4"/>
    <w:rsid w:val="002E57BA"/>
    <w:pPr>
      <w:spacing w:before="240"/>
      <w:outlineLvl w:val="9"/>
    </w:pPr>
    <w:rPr>
      <w:noProof/>
      <w:sz w:val="24"/>
    </w:rPr>
  </w:style>
  <w:style w:type="paragraph" w:customStyle="1" w:styleId="MiniTOCItem">
    <w:name w:val="MiniTOCItem"/>
    <w:basedOn w:val="ListBullet"/>
    <w:rsid w:val="002E57BA"/>
    <w:pPr>
      <w:numPr>
        <w:numId w:val="0"/>
      </w:numPr>
      <w:tabs>
        <w:tab w:val="right" w:leader="dot" w:pos="6521"/>
      </w:tabs>
      <w:spacing w:before="0" w:after="0"/>
    </w:pPr>
  </w:style>
  <w:style w:type="paragraph" w:customStyle="1" w:styleId="TOFTitle">
    <w:name w:val="TOFTitle"/>
    <w:basedOn w:val="TOCTitle"/>
    <w:rsid w:val="002E57BA"/>
  </w:style>
  <w:style w:type="paragraph" w:styleId="TableofFigures">
    <w:name w:val="table of figures"/>
    <w:basedOn w:val="Normal"/>
    <w:next w:val="Normal"/>
    <w:semiHidden/>
    <w:rsid w:val="002E57BA"/>
    <w:pPr>
      <w:tabs>
        <w:tab w:val="right" w:leader="dot" w:pos="9072"/>
      </w:tabs>
      <w:ind w:left="970" w:hanging="403"/>
    </w:pPr>
    <w:rPr>
      <w:rFonts w:ascii="Times New Roman" w:hAnsi="Times New Roman"/>
      <w:b/>
    </w:rPr>
  </w:style>
  <w:style w:type="paragraph" w:styleId="ListNumber">
    <w:name w:val="List Number"/>
    <w:basedOn w:val="List"/>
    <w:rsid w:val="002E57BA"/>
    <w:pPr>
      <w:numPr>
        <w:numId w:val="11"/>
      </w:numPr>
    </w:pPr>
  </w:style>
  <w:style w:type="character" w:customStyle="1" w:styleId="WingdingSymbols">
    <w:name w:val="Wingding Symbols"/>
    <w:rsid w:val="002E57BA"/>
    <w:rPr>
      <w:rFonts w:ascii="Wingdings" w:hAnsi="Wingdings"/>
    </w:rPr>
  </w:style>
  <w:style w:type="paragraph" w:customStyle="1" w:styleId="TableHeading">
    <w:name w:val="Table Heading"/>
    <w:basedOn w:val="HeadingBase"/>
    <w:rsid w:val="002E57BA"/>
    <w:pPr>
      <w:keepLines/>
      <w:pBdr>
        <w:bottom w:val="single" w:sz="6" w:space="1" w:color="918585"/>
      </w:pBdr>
      <w:spacing w:before="240"/>
    </w:pPr>
  </w:style>
  <w:style w:type="character" w:customStyle="1" w:styleId="HotSpot">
    <w:name w:val="HotSpot"/>
    <w:rsid w:val="002E57BA"/>
    <w:rPr>
      <w:color w:val="0033CC"/>
      <w:u w:val="none"/>
    </w:rPr>
  </w:style>
  <w:style w:type="paragraph" w:customStyle="1" w:styleId="BodyTextRight">
    <w:name w:val="Body Text Right"/>
    <w:basedOn w:val="BodyText"/>
    <w:rsid w:val="002E57BA"/>
    <w:pPr>
      <w:spacing w:before="0" w:after="0"/>
      <w:jc w:val="right"/>
    </w:pPr>
  </w:style>
  <w:style w:type="paragraph" w:styleId="Index3">
    <w:name w:val="index 3"/>
    <w:basedOn w:val="ListNumber2"/>
    <w:next w:val="Normal"/>
    <w:semiHidden/>
    <w:rsid w:val="002E57BA"/>
    <w:pPr>
      <w:numPr>
        <w:numId w:val="0"/>
      </w:numPr>
      <w:tabs>
        <w:tab w:val="right" w:leader="dot" w:pos="4176"/>
      </w:tabs>
    </w:pPr>
  </w:style>
  <w:style w:type="paragraph" w:styleId="ListNumber2">
    <w:name w:val="List Number 2"/>
    <w:basedOn w:val="List2"/>
    <w:rsid w:val="002E57BA"/>
    <w:pPr>
      <w:numPr>
        <w:numId w:val="10"/>
      </w:numPr>
      <w:tabs>
        <w:tab w:val="clear" w:pos="1060"/>
      </w:tabs>
    </w:pPr>
  </w:style>
  <w:style w:type="paragraph" w:customStyle="1" w:styleId="MarginNote">
    <w:name w:val="Margin Note"/>
    <w:basedOn w:val="BodyText"/>
    <w:rsid w:val="002E5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7BA"/>
    <w:rPr>
      <w:sz w:val="32"/>
    </w:rPr>
  </w:style>
  <w:style w:type="paragraph" w:customStyle="1" w:styleId="HeadingProcedure">
    <w:name w:val="Heading Procedure"/>
    <w:basedOn w:val="HeadingBase"/>
    <w:next w:val="Normal"/>
    <w:rsid w:val="002E57BA"/>
    <w:pPr>
      <w:tabs>
        <w:tab w:val="left" w:pos="0"/>
      </w:tabs>
      <w:spacing w:before="120" w:after="60"/>
    </w:pPr>
    <w:rPr>
      <w:i/>
      <w:color w:val="918585"/>
      <w:sz w:val="22"/>
    </w:rPr>
  </w:style>
  <w:style w:type="paragraph" w:customStyle="1" w:styleId="TableBodyText">
    <w:name w:val="Table Body Text"/>
    <w:basedOn w:val="BodyText"/>
    <w:rsid w:val="002E57BA"/>
    <w:pPr>
      <w:spacing w:before="60" w:after="60"/>
    </w:pPr>
  </w:style>
  <w:style w:type="paragraph" w:styleId="ListContinue">
    <w:name w:val="List Continue"/>
    <w:basedOn w:val="List"/>
    <w:rsid w:val="002E57BA"/>
    <w:pPr>
      <w:ind w:firstLine="0"/>
    </w:pPr>
  </w:style>
  <w:style w:type="paragraph" w:customStyle="1" w:styleId="ListNote">
    <w:name w:val="List Note"/>
    <w:basedOn w:val="List"/>
    <w:rsid w:val="002E57BA"/>
    <w:pPr>
      <w:pBdr>
        <w:top w:val="single" w:sz="6" w:space="2" w:color="918585"/>
        <w:bottom w:val="single" w:sz="6" w:space="2" w:color="918585"/>
      </w:pBdr>
      <w:tabs>
        <w:tab w:val="left" w:pos="1021"/>
      </w:tabs>
      <w:ind w:firstLine="0"/>
    </w:pPr>
  </w:style>
  <w:style w:type="paragraph" w:customStyle="1" w:styleId="Warning">
    <w:name w:val="Warning"/>
    <w:basedOn w:val="BodyText"/>
    <w:rsid w:val="002E57BA"/>
    <w:pPr>
      <w:shd w:val="clear" w:color="auto" w:fill="D9D9D9"/>
      <w:tabs>
        <w:tab w:val="left" w:pos="992"/>
      </w:tabs>
      <w:ind w:left="119" w:right="119"/>
    </w:pPr>
    <w:rPr>
      <w:sz w:val="20"/>
    </w:rPr>
  </w:style>
  <w:style w:type="paragraph" w:customStyle="1" w:styleId="MarginIcons">
    <w:name w:val="Margin Icons"/>
    <w:basedOn w:val="BodyText"/>
    <w:rsid w:val="002E5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7BA"/>
    <w:rPr>
      <w:rFonts w:ascii="Courier New" w:hAnsi="Courier New"/>
    </w:rPr>
  </w:style>
  <w:style w:type="paragraph" w:customStyle="1" w:styleId="NoteBullet">
    <w:name w:val="Note Bullet"/>
    <w:basedOn w:val="Note"/>
    <w:rsid w:val="002E57BA"/>
    <w:pPr>
      <w:tabs>
        <w:tab w:val="clear" w:pos="680"/>
      </w:tabs>
      <w:spacing w:before="60" w:after="60"/>
    </w:pPr>
  </w:style>
  <w:style w:type="paragraph" w:customStyle="1" w:styleId="SubHeading2">
    <w:name w:val="SubHeading2"/>
    <w:basedOn w:val="HeadingBase"/>
    <w:rsid w:val="002E57BA"/>
    <w:pPr>
      <w:spacing w:before="240" w:after="60"/>
    </w:pPr>
    <w:rPr>
      <w:sz w:val="20"/>
    </w:rPr>
  </w:style>
  <w:style w:type="paragraph" w:customStyle="1" w:styleId="SubHeading1">
    <w:name w:val="SubHeading1"/>
    <w:basedOn w:val="HeadingBase"/>
    <w:rsid w:val="002E57BA"/>
    <w:pPr>
      <w:spacing w:before="240" w:after="60"/>
    </w:pPr>
    <w:rPr>
      <w:color w:val="918585"/>
      <w:sz w:val="22"/>
    </w:rPr>
  </w:style>
  <w:style w:type="paragraph" w:customStyle="1" w:styleId="SideHeading">
    <w:name w:val="Side Heading"/>
    <w:basedOn w:val="HeadingBase"/>
    <w:rsid w:val="002E5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7BA"/>
    <w:pPr>
      <w:numPr>
        <w:numId w:val="12"/>
      </w:numPr>
    </w:pPr>
  </w:style>
  <w:style w:type="paragraph" w:styleId="PlainText">
    <w:name w:val="Plain Text"/>
    <w:basedOn w:val="Normal"/>
    <w:link w:val="PlainTextChar"/>
    <w:rsid w:val="002E57BA"/>
    <w:rPr>
      <w:sz w:val="20"/>
    </w:rPr>
  </w:style>
  <w:style w:type="character" w:customStyle="1" w:styleId="PlainTextChar">
    <w:name w:val="Plain Text Char"/>
    <w:basedOn w:val="DefaultParagraphFont"/>
    <w:link w:val="PlainText"/>
    <w:rsid w:val="002E57BA"/>
    <w:rPr>
      <w:rFonts w:ascii="Courier New" w:eastAsia="Times New Roman" w:hAnsi="Courier New" w:cs="Times New Roman"/>
      <w:sz w:val="20"/>
      <w:szCs w:val="20"/>
      <w:lang w:eastAsia="en-US"/>
    </w:rPr>
  </w:style>
  <w:style w:type="character" w:customStyle="1" w:styleId="MenuOption">
    <w:name w:val="Menu Option"/>
    <w:basedOn w:val="DefaultParagraphFont"/>
    <w:rsid w:val="002E57BA"/>
    <w:rPr>
      <w:b/>
      <w:smallCaps/>
    </w:rPr>
  </w:style>
  <w:style w:type="paragraph" w:customStyle="1" w:styleId="TableListNumber">
    <w:name w:val="Table List Number"/>
    <w:basedOn w:val="ListNumber"/>
    <w:rsid w:val="002E57BA"/>
    <w:pPr>
      <w:numPr>
        <w:numId w:val="0"/>
      </w:numPr>
    </w:pPr>
  </w:style>
  <w:style w:type="paragraph" w:styleId="TOC4">
    <w:name w:val="toc 4"/>
    <w:basedOn w:val="TOCBase"/>
    <w:next w:val="Normal"/>
    <w:semiHidden/>
    <w:rsid w:val="002E57BA"/>
    <w:pPr>
      <w:tabs>
        <w:tab w:val="right" w:leader="dot" w:pos="9071"/>
      </w:tabs>
      <w:ind w:left="1701"/>
    </w:pPr>
  </w:style>
  <w:style w:type="paragraph" w:customStyle="1" w:styleId="ListAlpha">
    <w:name w:val="List Alpha"/>
    <w:basedOn w:val="List"/>
    <w:rsid w:val="002E57BA"/>
    <w:pPr>
      <w:numPr>
        <w:numId w:val="9"/>
      </w:numPr>
    </w:pPr>
  </w:style>
  <w:style w:type="paragraph" w:customStyle="1" w:styleId="ListAlpha2">
    <w:name w:val="List Alpha 2"/>
    <w:basedOn w:val="List2"/>
    <w:rsid w:val="002E57BA"/>
    <w:pPr>
      <w:numPr>
        <w:numId w:val="8"/>
      </w:numPr>
    </w:pPr>
  </w:style>
  <w:style w:type="paragraph" w:styleId="List2">
    <w:name w:val="List 2"/>
    <w:basedOn w:val="BodyText"/>
    <w:rsid w:val="002E57BA"/>
    <w:pPr>
      <w:tabs>
        <w:tab w:val="left" w:pos="680"/>
      </w:tabs>
      <w:spacing w:before="60" w:after="60"/>
      <w:ind w:left="680" w:hanging="340"/>
    </w:pPr>
  </w:style>
  <w:style w:type="paragraph" w:styleId="List3">
    <w:name w:val="List 3"/>
    <w:basedOn w:val="BodyText"/>
    <w:rsid w:val="002E57BA"/>
    <w:pPr>
      <w:tabs>
        <w:tab w:val="left" w:pos="1021"/>
      </w:tabs>
      <w:spacing w:before="60" w:after="60"/>
      <w:ind w:left="1020" w:hanging="340"/>
    </w:pPr>
  </w:style>
  <w:style w:type="paragraph" w:styleId="List4">
    <w:name w:val="List 4"/>
    <w:basedOn w:val="BodyText"/>
    <w:rsid w:val="002E57BA"/>
    <w:pPr>
      <w:tabs>
        <w:tab w:val="left" w:pos="1361"/>
      </w:tabs>
      <w:spacing w:before="60" w:after="60"/>
      <w:ind w:left="1361" w:hanging="340"/>
    </w:pPr>
  </w:style>
  <w:style w:type="paragraph" w:styleId="List5">
    <w:name w:val="List 5"/>
    <w:basedOn w:val="BodyText"/>
    <w:rsid w:val="002E57BA"/>
    <w:pPr>
      <w:tabs>
        <w:tab w:val="left" w:pos="1701"/>
      </w:tabs>
      <w:spacing w:before="60" w:after="60"/>
      <w:ind w:left="1701" w:hanging="340"/>
    </w:pPr>
  </w:style>
  <w:style w:type="paragraph" w:styleId="ListBullet3">
    <w:name w:val="List Bullet 3"/>
    <w:basedOn w:val="List3"/>
    <w:rsid w:val="002E57BA"/>
    <w:pPr>
      <w:numPr>
        <w:numId w:val="15"/>
      </w:numPr>
      <w:tabs>
        <w:tab w:val="clear" w:pos="1021"/>
      </w:tabs>
      <w:ind w:left="1037" w:hanging="357"/>
    </w:pPr>
  </w:style>
  <w:style w:type="paragraph" w:styleId="ListBullet4">
    <w:name w:val="List Bullet 4"/>
    <w:basedOn w:val="List4"/>
    <w:rsid w:val="002E57BA"/>
    <w:pPr>
      <w:numPr>
        <w:numId w:val="3"/>
      </w:numPr>
    </w:pPr>
  </w:style>
  <w:style w:type="paragraph" w:styleId="ListBullet5">
    <w:name w:val="List Bullet 5"/>
    <w:basedOn w:val="List5"/>
    <w:rsid w:val="002E57BA"/>
    <w:pPr>
      <w:numPr>
        <w:numId w:val="4"/>
      </w:numPr>
    </w:pPr>
  </w:style>
  <w:style w:type="paragraph" w:styleId="ListContinue2">
    <w:name w:val="List Continue 2"/>
    <w:basedOn w:val="List2"/>
    <w:rsid w:val="002E57BA"/>
    <w:pPr>
      <w:ind w:firstLine="0"/>
    </w:pPr>
  </w:style>
  <w:style w:type="paragraph" w:styleId="ListContinue3">
    <w:name w:val="List Continue 3"/>
    <w:basedOn w:val="List3"/>
    <w:rsid w:val="002E57BA"/>
    <w:pPr>
      <w:ind w:left="1021" w:firstLine="0"/>
    </w:pPr>
  </w:style>
  <w:style w:type="paragraph" w:styleId="ListContinue4">
    <w:name w:val="List Continue 4"/>
    <w:basedOn w:val="List4"/>
    <w:rsid w:val="002E57BA"/>
    <w:pPr>
      <w:ind w:firstLine="0"/>
    </w:pPr>
  </w:style>
  <w:style w:type="paragraph" w:styleId="ListContinue5">
    <w:name w:val="List Continue 5"/>
    <w:basedOn w:val="List5"/>
    <w:rsid w:val="002E57BA"/>
    <w:pPr>
      <w:ind w:firstLine="0"/>
    </w:pPr>
  </w:style>
  <w:style w:type="paragraph" w:styleId="ListNumber3">
    <w:name w:val="List Number 3"/>
    <w:basedOn w:val="List3"/>
    <w:rsid w:val="002E57BA"/>
    <w:pPr>
      <w:numPr>
        <w:numId w:val="5"/>
      </w:numPr>
    </w:pPr>
  </w:style>
  <w:style w:type="paragraph" w:styleId="ListNumber4">
    <w:name w:val="List Number 4"/>
    <w:basedOn w:val="List4"/>
    <w:rsid w:val="002E57BA"/>
    <w:pPr>
      <w:numPr>
        <w:numId w:val="6"/>
      </w:numPr>
    </w:pPr>
  </w:style>
  <w:style w:type="paragraph" w:styleId="ListNumber5">
    <w:name w:val="List Number 5"/>
    <w:basedOn w:val="List5"/>
    <w:rsid w:val="002E57BA"/>
    <w:pPr>
      <w:numPr>
        <w:numId w:val="7"/>
      </w:numPr>
    </w:pPr>
  </w:style>
  <w:style w:type="paragraph" w:styleId="BlockText">
    <w:name w:val="Block Text"/>
    <w:basedOn w:val="Normal"/>
    <w:rsid w:val="002E57BA"/>
    <w:pPr>
      <w:spacing w:after="120"/>
      <w:ind w:left="1440" w:right="1440"/>
    </w:pPr>
  </w:style>
  <w:style w:type="character" w:customStyle="1" w:styleId="Subscript">
    <w:name w:val="Subscript"/>
    <w:basedOn w:val="DefaultParagraphFont"/>
    <w:rsid w:val="002E57BA"/>
    <w:rPr>
      <w:sz w:val="16"/>
      <w:vertAlign w:val="subscript"/>
    </w:rPr>
  </w:style>
  <w:style w:type="character" w:customStyle="1" w:styleId="Superscript">
    <w:name w:val="Superscript"/>
    <w:basedOn w:val="DefaultParagraphFont"/>
    <w:rsid w:val="002E57BA"/>
    <w:rPr>
      <w:sz w:val="16"/>
      <w:vertAlign w:val="superscript"/>
    </w:rPr>
  </w:style>
  <w:style w:type="character" w:customStyle="1" w:styleId="Symbols">
    <w:name w:val="Symbols"/>
    <w:basedOn w:val="DefaultParagraphFont"/>
    <w:rsid w:val="002E57BA"/>
    <w:rPr>
      <w:rFonts w:ascii="Symbol" w:hAnsi="Symbol"/>
    </w:rPr>
  </w:style>
  <w:style w:type="character" w:customStyle="1" w:styleId="MenuOptions">
    <w:name w:val="Menu Options"/>
    <w:basedOn w:val="DefaultParagraphFont"/>
    <w:rsid w:val="002E57BA"/>
    <w:rPr>
      <w:rFonts w:ascii="Arial Narrow" w:hAnsi="Arial Narrow"/>
      <w:smallCaps/>
    </w:rPr>
  </w:style>
  <w:style w:type="character" w:customStyle="1" w:styleId="Buttons">
    <w:name w:val="Buttons"/>
    <w:basedOn w:val="DefaultParagraphFont"/>
    <w:rsid w:val="002E57BA"/>
    <w:rPr>
      <w:b/>
    </w:rPr>
  </w:style>
  <w:style w:type="character" w:customStyle="1" w:styleId="Underlined">
    <w:name w:val="Underlined"/>
    <w:basedOn w:val="DefaultParagraphFont"/>
    <w:rsid w:val="002E57BA"/>
    <w:rPr>
      <w:u w:val="single"/>
    </w:rPr>
  </w:style>
  <w:style w:type="paragraph" w:customStyle="1" w:styleId="TableBodyTextRight">
    <w:name w:val="Table Body Text Right"/>
    <w:basedOn w:val="TableBodyText"/>
    <w:rsid w:val="002E57BA"/>
    <w:pPr>
      <w:widowControl w:val="0"/>
      <w:autoSpaceDE w:val="0"/>
      <w:autoSpaceDN w:val="0"/>
      <w:adjustRightInd w:val="0"/>
      <w:jc w:val="right"/>
    </w:pPr>
    <w:rPr>
      <w:rFonts w:cs="Arial"/>
      <w:szCs w:val="18"/>
    </w:rPr>
  </w:style>
  <w:style w:type="paragraph" w:customStyle="1" w:styleId="CopyrightText">
    <w:name w:val="Copyright Text"/>
    <w:basedOn w:val="BodyText"/>
    <w:rsid w:val="002E57BA"/>
    <w:rPr>
      <w:sz w:val="18"/>
    </w:rPr>
  </w:style>
  <w:style w:type="paragraph" w:customStyle="1" w:styleId="BodySmallRight">
    <w:name w:val="Body Small Right"/>
    <w:basedOn w:val="BodyTextRight"/>
    <w:rsid w:val="002E57BA"/>
    <w:rPr>
      <w:sz w:val="18"/>
      <w:szCs w:val="18"/>
    </w:rPr>
  </w:style>
  <w:style w:type="paragraph" w:customStyle="1" w:styleId="MarginEdition">
    <w:name w:val="Margin Edition"/>
    <w:basedOn w:val="MarginNote"/>
    <w:rsid w:val="002E57BA"/>
    <w:pPr>
      <w:spacing w:before="0" w:after="0"/>
    </w:pPr>
    <w:rPr>
      <w:rFonts w:ascii="Times New Roman" w:hAnsi="Times New Roman"/>
      <w:color w:val="999999"/>
    </w:rPr>
  </w:style>
  <w:style w:type="paragraph" w:customStyle="1" w:styleId="Spacer">
    <w:name w:val="Spacer"/>
    <w:basedOn w:val="Normal"/>
    <w:rsid w:val="002E57BA"/>
    <w:rPr>
      <w:sz w:val="2"/>
      <w:szCs w:val="2"/>
    </w:rPr>
  </w:style>
  <w:style w:type="character" w:customStyle="1" w:styleId="Small">
    <w:name w:val="Small"/>
    <w:basedOn w:val="DefaultParagraphFont"/>
    <w:rsid w:val="002E57BA"/>
    <w:rPr>
      <w:sz w:val="16"/>
    </w:rPr>
  </w:style>
  <w:style w:type="paragraph" w:customStyle="1" w:styleId="WideTable">
    <w:name w:val="Wide Table"/>
    <w:basedOn w:val="Normal"/>
    <w:rsid w:val="002E57BA"/>
    <w:pPr>
      <w:ind w:left="-1418"/>
    </w:pPr>
    <w:rPr>
      <w:sz w:val="2"/>
      <w:szCs w:val="2"/>
    </w:rPr>
  </w:style>
  <w:style w:type="character" w:styleId="PageNumber">
    <w:name w:val="page number"/>
    <w:basedOn w:val="DefaultParagraphFont"/>
    <w:rsid w:val="002E57BA"/>
  </w:style>
  <w:style w:type="paragraph" w:styleId="Quote">
    <w:name w:val="Quote"/>
    <w:basedOn w:val="Heading1"/>
    <w:link w:val="QuoteChar"/>
    <w:qFormat/>
    <w:rsid w:val="002E57BA"/>
    <w:rPr>
      <w:b w:val="0"/>
      <w:sz w:val="72"/>
      <w:szCs w:val="72"/>
      <w:lang w:val="en-NZ"/>
    </w:rPr>
  </w:style>
  <w:style w:type="character" w:customStyle="1" w:styleId="QuoteChar">
    <w:name w:val="Quote Char"/>
    <w:basedOn w:val="DefaultParagraphFont"/>
    <w:link w:val="Quote"/>
    <w:rsid w:val="002E5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7BA"/>
    <w:pPr>
      <w:pageBreakBefore/>
    </w:pPr>
  </w:style>
  <w:style w:type="paragraph" w:customStyle="1" w:styleId="Border">
    <w:name w:val="Border"/>
    <w:basedOn w:val="Normal"/>
    <w:qFormat/>
    <w:rsid w:val="002E5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7BA"/>
    <w:rPr>
      <w:b/>
      <w:bCs/>
      <w:i/>
      <w:iCs/>
      <w:color w:val="auto"/>
    </w:rPr>
  </w:style>
  <w:style w:type="paragraph" w:styleId="IntenseQuote">
    <w:name w:val="Intense Quote"/>
    <w:basedOn w:val="Normal"/>
    <w:next w:val="Normal"/>
    <w:link w:val="IntenseQuoteChar"/>
    <w:uiPriority w:val="30"/>
    <w:qFormat/>
    <w:rsid w:val="002E5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7BA"/>
    <w:rPr>
      <w:smallCaps/>
      <w:color w:val="auto"/>
      <w:u w:val="single"/>
    </w:rPr>
  </w:style>
  <w:style w:type="character" w:styleId="IntenseReference">
    <w:name w:val="Intense Reference"/>
    <w:basedOn w:val="DefaultParagraphFont"/>
    <w:uiPriority w:val="32"/>
    <w:qFormat/>
    <w:rsid w:val="002E57BA"/>
    <w:rPr>
      <w:b/>
      <w:bCs/>
      <w:smallCaps/>
      <w:color w:val="auto"/>
      <w:spacing w:val="5"/>
      <w:u w:val="single"/>
    </w:rPr>
  </w:style>
  <w:style w:type="paragraph" w:customStyle="1" w:styleId="2ColumnHeading">
    <w:name w:val="2Column Heading"/>
    <w:basedOn w:val="BodyText"/>
    <w:qFormat/>
    <w:rsid w:val="002E57BA"/>
    <w:pPr>
      <w:spacing w:after="60"/>
      <w:ind w:left="-2268"/>
    </w:pPr>
    <w:rPr>
      <w:b/>
    </w:rPr>
  </w:style>
  <w:style w:type="paragraph" w:customStyle="1" w:styleId="Heading1TOC">
    <w:name w:val="Heading1 TOC"/>
    <w:basedOn w:val="Normal"/>
    <w:qFormat/>
    <w:rsid w:val="002E57BA"/>
    <w:pPr>
      <w:spacing w:before="240" w:after="120"/>
    </w:pPr>
    <w:rPr>
      <w:rFonts w:ascii="Times New Roman" w:hAnsi="Times New Roman"/>
      <w:b/>
      <w:sz w:val="32"/>
    </w:rPr>
  </w:style>
  <w:style w:type="paragraph" w:customStyle="1" w:styleId="Heading2TOC">
    <w:name w:val="Heading2 TOC"/>
    <w:basedOn w:val="Normal"/>
    <w:qFormat/>
    <w:rsid w:val="002E57BA"/>
    <w:pPr>
      <w:spacing w:before="240" w:after="60"/>
    </w:pPr>
    <w:rPr>
      <w:rFonts w:ascii="Times New Roman" w:hAnsi="Times New Roman"/>
      <w:b/>
      <w:sz w:val="28"/>
    </w:rPr>
  </w:style>
  <w:style w:type="character" w:customStyle="1" w:styleId="Underline">
    <w:name w:val="Underline"/>
    <w:basedOn w:val="DefaultParagraphFont"/>
    <w:qFormat/>
    <w:rsid w:val="002E57BA"/>
    <w:rPr>
      <w:u w:val="single"/>
    </w:rPr>
  </w:style>
  <w:style w:type="character" w:customStyle="1" w:styleId="BoldandItalics">
    <w:name w:val="Bold and Italics"/>
    <w:qFormat/>
    <w:rsid w:val="002E57BA"/>
    <w:rPr>
      <w:b/>
      <w:i/>
      <w:u w:val="none"/>
    </w:rPr>
  </w:style>
  <w:style w:type="paragraph" w:styleId="BalloonText">
    <w:name w:val="Balloon Text"/>
    <w:basedOn w:val="Normal"/>
    <w:link w:val="BalloonTextChar"/>
    <w:rsid w:val="002E57BA"/>
    <w:rPr>
      <w:rFonts w:ascii="Tahoma" w:hAnsi="Tahoma" w:cs="Tahoma"/>
      <w:sz w:val="16"/>
      <w:szCs w:val="16"/>
    </w:rPr>
  </w:style>
  <w:style w:type="character" w:customStyle="1" w:styleId="BalloonTextChar">
    <w:name w:val="Balloon Text Char"/>
    <w:basedOn w:val="DefaultParagraphFont"/>
    <w:link w:val="BalloonText"/>
    <w:rsid w:val="002E5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7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7BA"/>
    <w:rPr>
      <w:b/>
      <w:color w:val="660033"/>
      <w:spacing w:val="0"/>
    </w:rPr>
  </w:style>
  <w:style w:type="paragraph" w:customStyle="1" w:styleId="Nameditemlist">
    <w:name w:val="Named item list"/>
    <w:basedOn w:val="BodyText"/>
    <w:qFormat/>
    <w:rsid w:val="002E57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2458</Words>
  <Characters>14976</Characters>
  <Application>Microsoft Office Word</Application>
  <DocSecurity>0</DocSecurity>
  <Lines>572</Lines>
  <Paragraphs>260</Paragraphs>
  <ScaleCrop>false</ScaleCrop>
  <Company>Author-it Software Corporation Ltd.</Company>
  <LinksUpToDate>false</LinksUpToDate>
  <CharactersWithSpaces>17284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UEENEEH117A Carry out repairs of predictable faults in video  and audio replay/recording apparatus</dc:title>
  <dc:subject>Approved</dc:subject>
  <dc:creator>E-OZ Training Standards</dc:creator>
  <cp:keywords>Release: 2</cp:keywords>
  <dc:description>Review Date: 12 April 2008</dc:description>
  <cp:lastModifiedBy>TPCMS</cp:lastModifiedBy>
  <cp:revision>3</cp:revision>
  <dcterms:created xsi:type="dcterms:W3CDTF">2013-10-25T06:09:00Z</dcterms:created>
  <dcterms:modified xsi:type="dcterms:W3CDTF">2013-10-25T06:09:00Z</dcterms:modified>
</cp:coreProperties>
</file>