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F83" w:rsidP="00C65F83">
      <w:pPr>
        <w:pStyle w:val="Title"/>
      </w:pPr>
      <w:bookmarkStart w:id="0" w:name="_GoBack"/>
      <w:bookmarkEnd w:id="0"/>
      <w:r>
        <w:fldChar w:fldCharType="begin"/>
      </w:r>
      <w:r>
        <w:instrText xml:space="preserve"> TITLE   \* MERGEFORMAT </w:instrText>
      </w:r>
      <w:r>
        <w:fldChar w:fldCharType="separate"/>
      </w:r>
      <w:r>
        <w:t>UEENEEH115A Develop software solutions for microcontroller based systems</w:t>
      </w:r>
      <w:r>
        <w:fldChar w:fldCharType="end"/>
      </w:r>
    </w:p>
    <w:p w:rsidR="00C65F83" w:rsidP="00C65F83">
      <w:pPr>
        <w:pStyle w:val="Version"/>
        <w:sectPr w:rsidSect="006819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932" w:rsidP="00681932">
      <w:pPr>
        <w:pStyle w:val="SuperHeading"/>
      </w:pPr>
      <w:r w:rsidRPr="00681932">
        <w:t>UEENEEH115A Develop software solutions for microcontroller based systems</w:t>
      </w:r>
    </w:p>
    <w:p w:rsidR="00000000" w:rsidRPr="00681932" w:rsidP="00681932">
      <w:pPr>
        <w:pStyle w:val="Heading1"/>
      </w:pPr>
      <w:bookmarkStart w:id="1" w:name="O_421906"/>
      <w:bookmarkEnd w:id="1"/>
      <w:r w:rsidRPr="00681932">
        <w:t>Modification History</w:t>
      </w:r>
    </w:p>
    <w:p w:rsidR="00000000" w:rsidRPr="00681932" w:rsidP="00681932">
      <w:pPr>
        <w:pStyle w:val="BodyText"/>
      </w:pPr>
      <w:r w:rsidRPr="00681932">
        <w:t>Not applicable.</w:t>
      </w:r>
    </w:p>
    <w:p w:rsidR="00000000" w:rsidRPr="00681932" w:rsidP="00681932">
      <w:pPr>
        <w:pStyle w:val="AllowPageBreak"/>
      </w:pPr>
    </w:p>
    <w:p w:rsidR="00000000" w:rsidRPr="00681932" w:rsidP="00681932">
      <w:pPr>
        <w:pStyle w:val="Heading1"/>
      </w:pPr>
      <w:bookmarkStart w:id="2" w:name="O_421904"/>
      <w:bookmarkEnd w:id="2"/>
      <w:r w:rsidRPr="00681932">
        <w:t>Unit Descriptor</w:t>
      </w:r>
    </w:p>
    <w:tbl>
      <w:tblPr>
        <w:tblW w:w="0" w:type="auto"/>
        <w:tblLayout w:type="fixed"/>
        <w:tblCellMar>
          <w:left w:w="62" w:type="dxa"/>
          <w:right w:w="62" w:type="dxa"/>
        </w:tblCellMar>
        <w:tblLook w:val="0000"/>
      </w:tblPr>
      <w:tblGrid>
        <w:gridCol w:w="2700"/>
        <w:gridCol w:w="5760"/>
      </w:tblGrid>
      <w:tr w:rsidTr="00C65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Unit De</w:t>
            </w:r>
            <w:r w:rsidRPr="00681932">
              <w:rPr>
                <w:rStyle w:val="SpecialBold"/>
              </w:rPr>
              <w:t>scriptor</w:t>
            </w:r>
          </w:p>
        </w:tc>
        <w:tc>
          <w:tcPr>
            <w:tcW w:w="57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1)</w:t>
            </w:r>
            <w:r w:rsidRPr="00681932">
              <w:t xml:space="preserve"> </w:t>
            </w:r>
            <w:r w:rsidRPr="00681932">
              <w:rPr>
                <w:rStyle w:val="SpecialBold"/>
              </w:rPr>
              <w:t>Scope:</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193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1.1) Descriptor</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 xml:space="preserve">This unit covers developing, implementing and testing programming solutions in microcontroller based systems. It encompasses following development </w:t>
            </w:r>
            <w:r w:rsidRPr="00681932">
              <w:t>brief, using appropriate development software, writing code, applying problem solving procedures, testing and modifying of programs.</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3" w:name="O_421893"/>
      <w:bookmarkEnd w:id="3"/>
      <w:r w:rsidRPr="00681932">
        <w:t>Application of the Unit</w:t>
      </w:r>
    </w:p>
    <w:tbl>
      <w:tblPr>
        <w:tblW w:w="0" w:type="auto"/>
        <w:tblLayout w:type="fixed"/>
        <w:tblCellMar>
          <w:left w:w="62" w:type="dxa"/>
          <w:right w:w="62" w:type="dxa"/>
        </w:tblCellMar>
        <w:tblLook w:val="0000"/>
      </w:tblPr>
      <w:tblGrid>
        <w:gridCol w:w="2672"/>
        <w:gridCol w:w="5699"/>
      </w:tblGrid>
      <w:tr w:rsidTr="00C65F8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2)</w:t>
            </w:r>
          </w:p>
        </w:tc>
      </w:tr>
      <w:tr w:rsidTr="00C65F8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This unit is intended for competency development entry-level employment based programs incorporated in approved contracts of training or approved training programs. It may also used to augment formally acquired competencies.</w:t>
            </w:r>
          </w:p>
          <w:p w:rsidR="00000000" w:rsidRPr="00681932" w:rsidP="00681932">
            <w:pPr>
              <w:pStyle w:val="BodyText"/>
            </w:pPr>
            <w:r w:rsidRPr="00681932">
              <w:t>This unit is intended for compe</w:t>
            </w:r>
            <w:r w:rsidRPr="00681932">
              <w:t>tency development entry-level employment based programs incorporated in approved contracts of training or approved training programs. It is intended to apply to any formal recognition for this standard at the aligned AQF 3 level or higher.</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4" w:name="O_421900"/>
      <w:bookmarkEnd w:id="4"/>
      <w:r w:rsidRPr="00681932">
        <w:t>Licensing/Regulatory Information</w:t>
      </w:r>
    </w:p>
    <w:tbl>
      <w:tblPr>
        <w:tblW w:w="0" w:type="auto"/>
        <w:tblLayout w:type="fixed"/>
        <w:tblCellMar>
          <w:left w:w="62" w:type="dxa"/>
          <w:right w:w="62" w:type="dxa"/>
        </w:tblCellMar>
        <w:tblLook w:val="0000"/>
      </w:tblPr>
      <w:tblGrid>
        <w:gridCol w:w="2700"/>
        <w:gridCol w:w="5760"/>
      </w:tblGrid>
      <w:tr w:rsidTr="00C65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 xml:space="preserve">3) </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 xml:space="preserve">The skills and knowledge described in this unit do not </w:t>
            </w:r>
            <w:r w:rsidRPr="00681932">
              <w:t>require a license to practice in the workplace provided equipment is not connected to installation wiring at voltage above 50 V a.c. or 120</w:t>
            </w:r>
            <w:r w:rsidRPr="00681932">
              <w:t xml:space="preserve"> V d.c. However other conditions may apply in some States/Territories subject to regulations related to electrical work. </w:t>
            </w:r>
          </w:p>
          <w:p w:rsidR="00000000" w:rsidRPr="00681932" w:rsidP="00681932">
            <w:pPr>
              <w:pStyle w:val="BodyText"/>
            </w:pPr>
            <w:r w:rsidRPr="00681932">
              <w:t>Practice in the workplace and during training is also subject to regulations directly related to occupational health and safety and wh</w:t>
            </w:r>
            <w:r w:rsidRPr="00681932">
              <w:t>ere applicable contracts of training such as apprenticeships.</w:t>
            </w:r>
          </w:p>
          <w:p w:rsidR="00000000" w:rsidRPr="00681932" w:rsidP="00681932">
            <w:pPr>
              <w:pStyle w:val="BodyText"/>
            </w:pPr>
            <w:r w:rsidRPr="00681932">
              <w:t xml:space="preserve">Note: </w:t>
            </w:r>
          </w:p>
          <w:p w:rsidR="00000000" w:rsidRPr="00681932" w:rsidP="00681932">
            <w:pPr>
              <w:pStyle w:val="BodyText"/>
            </w:pPr>
            <w:r w:rsidRPr="00681932">
              <w:t>1. Compliance with permits may be required in various jurisdictions and typically relates to the operation of plant, machinery and equipment such as elevating work platforms, powder opera</w:t>
            </w:r>
            <w:r w:rsidRPr="00681932">
              <w:t>ted fixing tools, power operated tools, vehicles, road signage and traffic control, lifting equipment and the like. Permits may also be required for some work environments such as confined spaces, working aloft, near live electrical apparatus and site reha</w:t>
            </w:r>
            <w:r w:rsidRPr="00681932">
              <w:t>bilitation.</w:t>
            </w:r>
          </w:p>
          <w:p w:rsidR="00000000" w:rsidRPr="00681932" w:rsidP="00681932">
            <w:pPr>
              <w:pStyle w:val="BodyText"/>
            </w:pPr>
            <w:r w:rsidRPr="00681932">
              <w:t>2. Compliance may be required in various jurisdictions relating to currency in First Aid, confined space, lifting and risk safety measures.</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5" w:name="O_421901"/>
      <w:bookmarkEnd w:id="5"/>
      <w:r w:rsidRPr="00681932">
        <w:t>Pre-Requisites</w:t>
      </w:r>
    </w:p>
    <w:tbl>
      <w:tblPr>
        <w:tblW w:w="0" w:type="auto"/>
        <w:tblLayout w:type="fixed"/>
        <w:tblCellMar>
          <w:left w:w="62" w:type="dxa"/>
          <w:right w:w="62" w:type="dxa"/>
        </w:tblCellMar>
        <w:tblLook w:val="0000"/>
      </w:tblPr>
      <w:tblGrid>
        <w:gridCol w:w="2700"/>
        <w:gridCol w:w="1440"/>
        <w:gridCol w:w="4320"/>
      </w:tblGrid>
      <w:tr w:rsidTr="00C65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 xml:space="preserve">4) </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4.1)</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Granting competency in this unit shall be made only after competency in the following unit(s) has/have been confirmed.</w:t>
            </w:r>
          </w:p>
        </w:tc>
      </w:tr>
      <w:tr w:rsidTr="00C65F8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UEENEEE101A</w:t>
            </w:r>
          </w:p>
        </w:tc>
        <w:tc>
          <w:tcPr>
            <w:tcW w:w="432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 xml:space="preserve">Apply Occupational Health and Safety regulations, codes and practices in the workplace </w:t>
            </w:r>
          </w:p>
        </w:tc>
      </w:tr>
    </w:tbl>
    <w:p w:rsidR="00000000" w:rsidRPr="00681932" w:rsidP="0068193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65F8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4.2</w:t>
            </w:r>
            <w:r w:rsidRPr="00681932">
              <w:rPr>
                <w:rStyle w:val="SpecialBold"/>
              </w:rPr>
              <w:t xml:space="preserve">) </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 xml:space="preserve">Participants are best equipped to achieve competency in </w:t>
            </w:r>
            <w:r w:rsidRPr="00681932">
              <w:t>this unit if they have reading, writing and numeracy skills indicated by the following scales. Description of each scale is given in Volume 2, Part 3 ‘Literacy and Numeracy’</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Reading</w:t>
            </w:r>
          </w:p>
        </w:tc>
        <w:tc>
          <w:tcPr>
            <w:tcW w:w="81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5</w:t>
            </w:r>
          </w:p>
        </w:tc>
        <w:tc>
          <w:tcPr>
            <w:tcW w:w="99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Writing</w:t>
            </w:r>
          </w:p>
        </w:tc>
        <w:tc>
          <w:tcPr>
            <w:tcW w:w="90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5</w:t>
            </w:r>
          </w:p>
        </w:tc>
        <w:tc>
          <w:tcPr>
            <w:tcW w:w="12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Numeracy</w:t>
            </w:r>
          </w:p>
        </w:tc>
        <w:tc>
          <w:tcPr>
            <w:tcW w:w="72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5</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6" w:name="O_421897"/>
      <w:bookmarkEnd w:id="6"/>
      <w:r w:rsidRPr="00681932">
        <w:t>Employability Skills Information</w:t>
      </w:r>
    </w:p>
    <w:tbl>
      <w:tblPr>
        <w:tblW w:w="0" w:type="auto"/>
        <w:tblLayout w:type="fixed"/>
        <w:tblCellMar>
          <w:left w:w="62" w:type="dxa"/>
          <w:right w:w="62" w:type="dxa"/>
        </w:tblCellMar>
        <w:tblLook w:val="0000"/>
      </w:tblPr>
      <w:tblGrid>
        <w:gridCol w:w="2700"/>
        <w:gridCol w:w="5760"/>
      </w:tblGrid>
      <w:tr w:rsidTr="00C65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 xml:space="preserve">5) </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This unit contains Employability Skills</w:t>
            </w:r>
          </w:p>
          <w:p w:rsidR="00000000" w:rsidRPr="00681932" w:rsidP="00681932">
            <w:pPr>
              <w:pStyle w:val="BodyText"/>
            </w:pPr>
            <w:r w:rsidRPr="0068193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81932">
              <w:t>requirements.</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7" w:name="O_421896"/>
      <w:bookmarkEnd w:id="7"/>
      <w:r w:rsidRPr="00681932">
        <w:t>Elements and Performance Criteria Pre-Content</w:t>
      </w:r>
    </w:p>
    <w:tbl>
      <w:tblPr>
        <w:tblW w:w="0" w:type="auto"/>
        <w:tblLayout w:type="fixed"/>
        <w:tblCellMar>
          <w:left w:w="62" w:type="dxa"/>
          <w:right w:w="62" w:type="dxa"/>
        </w:tblCellMar>
        <w:tblLook w:val="0000"/>
      </w:tblPr>
      <w:tblGrid>
        <w:gridCol w:w="2700"/>
        <w:gridCol w:w="5760"/>
      </w:tblGrid>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6)</w:t>
            </w:r>
            <w:r w:rsidRPr="0068193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Performance Criteria describe the required performance needed to demonstrate achievement of the element. Assessment of performance is to be consistent with the Evidence Guide.</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8" w:name="O_421895"/>
      <w:bookmarkEnd w:id="8"/>
      <w:r w:rsidRPr="00681932">
        <w:t>Elements and Performance Criteria</w:t>
      </w:r>
    </w:p>
    <w:tbl>
      <w:tblPr>
        <w:tblW w:w="0" w:type="auto"/>
        <w:tblLayout w:type="fixed"/>
        <w:tblCellMar>
          <w:left w:w="62" w:type="dxa"/>
          <w:right w:w="62" w:type="dxa"/>
        </w:tblCellMar>
        <w:tblLook w:val="0000"/>
      </w:tblPr>
      <w:tblGrid>
        <w:gridCol w:w="420"/>
        <w:gridCol w:w="2100"/>
        <w:gridCol w:w="180"/>
        <w:gridCol w:w="660"/>
        <w:gridCol w:w="4536"/>
        <w:gridCol w:w="564"/>
      </w:tblGrid>
      <w:tr w:rsidTr="00C65F83">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PERFORMANCE CRITE</w:t>
            </w:r>
            <w:r w:rsidRPr="00681932">
              <w:rPr>
                <w:rStyle w:val="SpecialBold"/>
              </w:rPr>
              <w:t>RIA</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1</w:t>
            </w:r>
          </w:p>
        </w:tc>
        <w:tc>
          <w:tcPr>
            <w:tcW w:w="2100" w:type="dxa"/>
            <w:vMerge w:val="restart"/>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Prepare to develop code.</w:t>
            </w: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1.1</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 xml:space="preserve">OHS processes and procedures for a given work area are obtained and understood. </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1.2</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Established OHS risk control measures and procedures in preparation for the work are followed.</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1.3</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The extent of code development work is determined from job performance specifications and in consultations with relevant persons.</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1.4</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Activities are planned to meet scheduled timelines in consultation with others involved on the work.</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1.5</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Appropriate development kit and software are selected based on specified requirements and performance standard.</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1.6</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Strategies are implemented to ensure programming is carried out efficiently.</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2</w:t>
            </w:r>
          </w:p>
        </w:tc>
        <w:tc>
          <w:tcPr>
            <w:tcW w:w="210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Develop code.</w:t>
            </w: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2.1</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OHS risk control measures and procedu</w:t>
            </w:r>
            <w:r w:rsidRPr="00681932">
              <w:t>res for carrying out the work are followed.</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2.2</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Correct syntax is applied when developing code.</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2.3</w:t>
            </w:r>
          </w:p>
        </w:tc>
        <w:tc>
          <w:tcPr>
            <w:tcW w:w="4536"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Key features of the programming language used are applied to develop and test solutions.</w:t>
            </w:r>
          </w:p>
          <w:p w:rsidR="00000000" w:rsidP="00681932">
            <w:pPr>
              <w:pStyle w:val="BodyText"/>
              <w:rPr>
                <w:lang w:val="en-NZ"/>
              </w:rPr>
            </w:pPr>
            <w:r w:rsidRPr="00681932">
              <w:t xml:space="preserve">Note: </w:t>
            </w:r>
            <w:r w:rsidRPr="00681932">
              <w:br/>
            </w:r>
            <w:r w:rsidRPr="00681932">
              <w:t>Key features may include use of registers, addressing modes, assembler instructions, subroutines and flags.</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2.4</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Approaches to issues/problems are analysed to provide most effective solutions.</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2.5</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Quality of work is monitored against personal performance agreement and/or established organizational or professional standards.</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3</w:t>
            </w:r>
          </w:p>
        </w:tc>
        <w:tc>
          <w:tcPr>
            <w:tcW w:w="2100" w:type="dxa"/>
            <w:vMerge w:val="restart"/>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Test and document the development of code.</w:t>
            </w: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3.1</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 xml:space="preserve">Testing procedures are developed to analyse code. </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3.2</w:t>
            </w:r>
          </w:p>
        </w:tc>
        <w:tc>
          <w:tcPr>
            <w:tcW w:w="4536"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Problems and bugs in code are rectified to ensure specifications are met.</w:t>
            </w:r>
          </w:p>
        </w:tc>
      </w:tr>
      <w:tr w:rsidTr="00C65F83">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3.3</w:t>
            </w:r>
          </w:p>
        </w:tc>
        <w:tc>
          <w:tcPr>
            <w:tcW w:w="4536"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Intermediate and final work reports are written in accordance with professional standards and presented to appropriate person or persons.</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9" w:name="O_421903"/>
      <w:bookmarkEnd w:id="9"/>
      <w:r w:rsidRPr="00681932">
        <w:t>Required Skills a</w:t>
      </w:r>
      <w:r w:rsidRPr="00681932">
        <w:t>nd Knowledge</w:t>
      </w:r>
    </w:p>
    <w:tbl>
      <w:tblPr>
        <w:tblW w:w="0" w:type="auto"/>
        <w:tblLayout w:type="fixed"/>
        <w:tblCellMar>
          <w:left w:w="62" w:type="dxa"/>
          <w:right w:w="62" w:type="dxa"/>
        </w:tblCellMar>
        <w:tblLook w:val="0000"/>
      </w:tblPr>
      <w:tblGrid>
        <w:gridCol w:w="8460"/>
      </w:tblGrid>
      <w:tr w:rsidTr="00C65F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REQUIRED SKILLS AND KNOWLEDGE</w:t>
            </w:r>
          </w:p>
        </w:tc>
      </w:tr>
      <w:tr w:rsidTr="00C65F8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8)</w:t>
            </w:r>
            <w:r w:rsidRPr="00681932">
              <w:t xml:space="preserve"> This describes the essential skills and knowledge and their level, required for this unit.</w:t>
            </w:r>
          </w:p>
          <w:p w:rsidR="00000000" w:rsidRPr="00681932" w:rsidP="00681932">
            <w:pPr>
              <w:pStyle w:val="BodyText"/>
            </w:pPr>
            <w:r w:rsidRPr="00681932">
              <w:t xml:space="preserve">Evidence shall show that knowledge has been acquired of safe working practices and developing software for microcontroller based systems. </w:t>
            </w:r>
          </w:p>
          <w:p w:rsidR="00000000" w:rsidRPr="00681932" w:rsidP="00681932">
            <w:pPr>
              <w:pStyle w:val="BodyText"/>
            </w:pPr>
            <w:r w:rsidRPr="00681932">
              <w:t>All knowledge and skills detailed in this unit should be contextualised to current industry practices and technologie</w:t>
            </w:r>
            <w:r w:rsidRPr="00681932">
              <w:t>s.</w:t>
            </w:r>
          </w:p>
          <w:p w:rsidR="00000000" w:rsidRPr="00681932" w:rsidP="00681932">
            <w:pPr>
              <w:pStyle w:val="BodyText"/>
            </w:pPr>
            <w:r w:rsidRPr="00681932">
              <w:rPr>
                <w:rStyle w:val="SpecialBold"/>
              </w:rPr>
              <w:t>KS01-EH115A</w:t>
            </w:r>
            <w:r w:rsidRPr="00681932">
              <w:rPr>
                <w:rStyle w:val="SpecialBold"/>
              </w:rPr>
              <w:tab/>
              <w:t xml:space="preserve">              Software programming fundamentals  </w:t>
            </w:r>
          </w:p>
          <w:p w:rsidR="00000000" w:rsidRPr="00681932" w:rsidP="00681932">
            <w:pPr>
              <w:pStyle w:val="BodyText"/>
            </w:pPr>
            <w:r w:rsidRPr="00681932">
              <w:t>Evidence shall show an understanding of software programming fundamentals, applying safe working practices and relevant Standards, Codes and Regulations to an extent indicated by the followin</w:t>
            </w:r>
            <w:r w:rsidRPr="00681932">
              <w:t>g aspects:</w:t>
            </w:r>
          </w:p>
          <w:p w:rsidR="00000000" w:rsidRPr="00681932" w:rsidP="00681932">
            <w:pPr>
              <w:pStyle w:val="BodyText"/>
            </w:pPr>
            <w:r w:rsidRPr="00681932">
              <w:t>T1.</w:t>
            </w:r>
            <w:r w:rsidRPr="00681932">
              <w:tab/>
              <w:t>Semiconductor memory</w:t>
            </w:r>
          </w:p>
          <w:p w:rsidR="00000000" w:rsidRPr="00681932" w:rsidP="00681932">
            <w:pPr>
              <w:pStyle w:val="ListBullet"/>
            </w:pPr>
            <w:r w:rsidRPr="00681932">
              <w:t>memory cell</w:t>
            </w:r>
          </w:p>
          <w:p w:rsidR="00000000" w:rsidRPr="00681932" w:rsidP="00681932">
            <w:pPr>
              <w:pStyle w:val="ListBullet"/>
            </w:pPr>
            <w:r w:rsidRPr="00681932">
              <w:t>antistatic precautions</w:t>
            </w:r>
          </w:p>
          <w:p w:rsidR="00000000" w:rsidRPr="00681932" w:rsidP="00681932">
            <w:pPr>
              <w:pStyle w:val="ListBullet"/>
            </w:pPr>
            <w:r w:rsidRPr="00681932">
              <w:t>memory organization</w:t>
            </w:r>
          </w:p>
          <w:p w:rsidR="00000000" w:rsidRPr="00681932" w:rsidP="00681932">
            <w:pPr>
              <w:pStyle w:val="ListBullet"/>
            </w:pPr>
            <w:r w:rsidRPr="00681932">
              <w:t>storage capacity and density</w:t>
            </w:r>
          </w:p>
          <w:p w:rsidR="00000000" w:rsidRPr="00681932" w:rsidP="00681932">
            <w:pPr>
              <w:pStyle w:val="BodyText"/>
            </w:pPr>
            <w:r w:rsidRPr="00681932">
              <w:t>T2.</w:t>
            </w:r>
            <w:r w:rsidRPr="00681932">
              <w:tab/>
              <w:t xml:space="preserve">Overview of Address decoding </w:t>
            </w:r>
          </w:p>
          <w:p w:rsidR="00000000" w:rsidRPr="00681932" w:rsidP="00681932">
            <w:pPr>
              <w:pStyle w:val="BodyText"/>
            </w:pPr>
            <w:r w:rsidRPr="00681932">
              <w:t>T3.</w:t>
            </w:r>
            <w:r w:rsidRPr="00681932">
              <w:tab/>
              <w:t>Microprocessor/ Microcontroller architecture</w:t>
            </w:r>
          </w:p>
          <w:p w:rsidR="00000000" w:rsidRPr="00681932" w:rsidP="00681932">
            <w:pPr>
              <w:pStyle w:val="ListBullet"/>
            </w:pPr>
            <w:r w:rsidRPr="00681932">
              <w:t>internal architecture of a microprocessor</w:t>
            </w:r>
          </w:p>
          <w:p w:rsidR="00000000" w:rsidRPr="00681932" w:rsidP="00681932">
            <w:pPr>
              <w:pStyle w:val="ListBullet"/>
            </w:pPr>
            <w:r w:rsidRPr="00681932">
              <w:t>single chip</w:t>
            </w:r>
            <w:r w:rsidRPr="00681932">
              <w:t xml:space="preserve"> microcontroller architecture</w:t>
            </w:r>
          </w:p>
          <w:p w:rsidR="00000000" w:rsidRPr="00681932" w:rsidP="00681932">
            <w:pPr>
              <w:pStyle w:val="ListBullet"/>
            </w:pPr>
            <w:r w:rsidRPr="00681932">
              <w:t>programming model of microprocessor/ microcontroller</w:t>
            </w:r>
          </w:p>
          <w:p w:rsidR="00000000" w:rsidRPr="00681932" w:rsidP="00681932">
            <w:pPr>
              <w:pStyle w:val="BodyText"/>
            </w:pPr>
            <w:r w:rsidRPr="00681932">
              <w:t>T4.</w:t>
            </w:r>
            <w:r w:rsidRPr="00681932">
              <w:tab/>
              <w:t>Programming</w:t>
            </w:r>
          </w:p>
          <w:p w:rsidR="00000000" w:rsidRPr="00681932" w:rsidP="00681932">
            <w:pPr>
              <w:pStyle w:val="ListBullet"/>
            </w:pPr>
            <w:r w:rsidRPr="00681932">
              <w:t>programming concepts</w:t>
            </w:r>
          </w:p>
          <w:p w:rsidR="00000000" w:rsidRPr="00681932" w:rsidP="00681932">
            <w:pPr>
              <w:pStyle w:val="ListBullet"/>
            </w:pPr>
            <w:r w:rsidRPr="00681932">
              <w:t>instruction set</w:t>
            </w:r>
          </w:p>
          <w:p w:rsidR="00000000" w:rsidRPr="00681932" w:rsidP="00681932">
            <w:pPr>
              <w:pStyle w:val="ListBullet"/>
            </w:pPr>
            <w:r w:rsidRPr="00681932">
              <w:t>machine code and assembly language high level and low level language</w:t>
            </w:r>
          </w:p>
          <w:p w:rsidR="00000000" w:rsidRPr="00681932" w:rsidP="00681932">
            <w:pPr>
              <w:pStyle w:val="BodyText"/>
            </w:pPr>
            <w:r w:rsidRPr="00681932">
              <w:t>T5.</w:t>
            </w:r>
            <w:r w:rsidRPr="00681932">
              <w:tab/>
              <w:t>Addressing modes</w:t>
            </w:r>
          </w:p>
          <w:p w:rsidR="00000000" w:rsidRPr="00681932" w:rsidP="00681932">
            <w:pPr>
              <w:pStyle w:val="ListBullet"/>
            </w:pPr>
            <w:r w:rsidRPr="00681932">
              <w:t>types of addressing modes</w:t>
            </w:r>
          </w:p>
          <w:p w:rsidR="00000000" w:rsidRPr="00681932" w:rsidP="00681932">
            <w:pPr>
              <w:pStyle w:val="ListBullet"/>
            </w:pPr>
            <w:r w:rsidRPr="00681932">
              <w:t>applications for each addressing mode</w:t>
            </w:r>
          </w:p>
          <w:p w:rsidR="00000000" w:rsidRPr="00681932" w:rsidP="00681932">
            <w:pPr>
              <w:pStyle w:val="ListBullet"/>
            </w:pPr>
            <w:r w:rsidRPr="00681932">
              <w:t>programming using different addressing modes</w:t>
            </w:r>
          </w:p>
          <w:p w:rsidR="00000000" w:rsidRPr="00681932" w:rsidP="00681932">
            <w:pPr>
              <w:pStyle w:val="BodyText"/>
            </w:pPr>
            <w:r w:rsidRPr="00681932">
              <w:t>T6.</w:t>
            </w:r>
            <w:r w:rsidRPr="00681932">
              <w:tab/>
              <w:t>Arithmetic and logic instructions</w:t>
            </w:r>
          </w:p>
          <w:p w:rsidR="00000000" w:rsidRPr="00681932" w:rsidP="00681932">
            <w:pPr>
              <w:pStyle w:val="ListBullet"/>
            </w:pPr>
            <w:r w:rsidRPr="00681932">
              <w:t>types of arithmetic and logic instructions.</w:t>
            </w:r>
          </w:p>
          <w:p w:rsidR="00000000" w:rsidRPr="00681932" w:rsidP="00681932">
            <w:pPr>
              <w:pStyle w:val="ListBullet"/>
            </w:pPr>
            <w:r w:rsidRPr="00681932">
              <w:t>applications for each type of arithmetic and logic instruction.</w:t>
            </w:r>
          </w:p>
          <w:p w:rsidR="00000000" w:rsidRPr="00681932" w:rsidP="00681932">
            <w:pPr>
              <w:pStyle w:val="ListBullet"/>
            </w:pPr>
            <w:r w:rsidRPr="00681932">
              <w:t>programming using arithmeti</w:t>
            </w:r>
            <w:r w:rsidRPr="00681932">
              <w:t>c and logic instructions.</w:t>
            </w:r>
          </w:p>
          <w:p w:rsidR="00000000" w:rsidRPr="00681932" w:rsidP="00681932">
            <w:pPr>
              <w:pStyle w:val="BodyText"/>
            </w:pPr>
            <w:r w:rsidRPr="00681932">
              <w:t>T7.</w:t>
            </w:r>
            <w:r w:rsidRPr="00681932">
              <w:tab/>
              <w:t>Branch instructions and flowcharts</w:t>
            </w:r>
          </w:p>
          <w:p w:rsidR="00000000" w:rsidRPr="00681932" w:rsidP="00681932">
            <w:pPr>
              <w:pStyle w:val="ListBullet"/>
            </w:pPr>
            <w:r w:rsidRPr="00681932">
              <w:t>types of branching instructions</w:t>
            </w:r>
          </w:p>
          <w:p w:rsidR="00000000" w:rsidRPr="00681932" w:rsidP="00681932">
            <w:pPr>
              <w:pStyle w:val="ListBullet"/>
            </w:pPr>
            <w:r w:rsidRPr="00681932">
              <w:t>applications for each type of branching instruction.</w:t>
            </w:r>
          </w:p>
          <w:p w:rsidR="00000000" w:rsidRPr="00681932" w:rsidP="00681932">
            <w:pPr>
              <w:pStyle w:val="ListBullet"/>
            </w:pPr>
            <w:r w:rsidRPr="00681932">
              <w:t>programming using branching instructions.</w:t>
            </w:r>
          </w:p>
          <w:p w:rsidR="00000000" w:rsidRPr="00681932" w:rsidP="00681932">
            <w:pPr>
              <w:pStyle w:val="BodyText"/>
            </w:pPr>
            <w:r w:rsidRPr="00681932">
              <w:t>T8.</w:t>
            </w:r>
            <w:r w:rsidRPr="00681932">
              <w:tab/>
              <w:t>Subroutines</w:t>
            </w:r>
          </w:p>
          <w:p w:rsidR="00000000" w:rsidRPr="00681932" w:rsidP="00681932">
            <w:pPr>
              <w:pStyle w:val="ListBullet"/>
            </w:pPr>
            <w:r w:rsidRPr="00681932">
              <w:t>purpose and applications</w:t>
            </w:r>
          </w:p>
          <w:p w:rsidR="00000000" w:rsidRPr="00681932" w:rsidP="00681932">
            <w:pPr>
              <w:pStyle w:val="ListBullet"/>
            </w:pPr>
            <w:r w:rsidRPr="00681932">
              <w:t>stack memory</w:t>
            </w:r>
          </w:p>
          <w:p w:rsidR="00000000" w:rsidRPr="00681932" w:rsidP="00681932">
            <w:pPr>
              <w:pStyle w:val="BodyText"/>
            </w:pPr>
            <w:r w:rsidRPr="00681932">
              <w:t>T9.</w:t>
            </w:r>
            <w:r w:rsidRPr="00681932">
              <w:tab/>
              <w:t>Timing</w:t>
            </w:r>
            <w:r w:rsidRPr="00681932">
              <w:t xml:space="preserve"> loops</w:t>
            </w:r>
          </w:p>
          <w:p w:rsidR="00000000" w:rsidRPr="00681932" w:rsidP="00681932">
            <w:pPr>
              <w:pStyle w:val="ListBullet"/>
            </w:pPr>
            <w:r w:rsidRPr="00681932">
              <w:t xml:space="preserve">concept  </w:t>
            </w:r>
          </w:p>
          <w:p w:rsidR="00000000" w:rsidRPr="00681932" w:rsidP="00681932">
            <w:pPr>
              <w:pStyle w:val="ListBullet"/>
            </w:pPr>
            <w:r w:rsidRPr="00681932">
              <w:t>timing calculations</w:t>
            </w:r>
          </w:p>
          <w:p w:rsidR="00000000" w:rsidRPr="00681932" w:rsidP="00681932">
            <w:pPr>
              <w:pStyle w:val="ListBullet"/>
            </w:pPr>
            <w:r w:rsidRPr="00681932">
              <w:t>nested timing loops</w:t>
            </w:r>
          </w:p>
          <w:p w:rsidR="00000000" w:rsidRPr="00681932" w:rsidP="00681932">
            <w:pPr>
              <w:pStyle w:val="ListBullet"/>
            </w:pPr>
            <w:r w:rsidRPr="00681932">
              <w:t>programming using timing loops</w:t>
            </w:r>
          </w:p>
          <w:p w:rsidR="00000000" w:rsidRPr="00681932" w:rsidP="00681932">
            <w:pPr>
              <w:pStyle w:val="BodyText"/>
            </w:pPr>
            <w:r w:rsidRPr="00681932">
              <w:t>T10.</w:t>
            </w:r>
            <w:r w:rsidRPr="00681932">
              <w:tab/>
              <w:t>Input/Output ports</w:t>
            </w:r>
          </w:p>
          <w:p w:rsidR="00000000" w:rsidRPr="00681932" w:rsidP="00681932">
            <w:pPr>
              <w:pStyle w:val="ListBullet"/>
            </w:pPr>
            <w:r w:rsidRPr="00681932">
              <w:t>input/output port devices and interfacing</w:t>
            </w:r>
          </w:p>
          <w:p w:rsidR="00000000" w:rsidRPr="00681932" w:rsidP="00681932">
            <w:pPr>
              <w:pStyle w:val="ListBullet"/>
            </w:pPr>
            <w:r w:rsidRPr="00681932">
              <w:t>programmable input/ output port ICs</w:t>
            </w:r>
          </w:p>
          <w:p w:rsidR="00000000" w:rsidRPr="00681932" w:rsidP="00681932">
            <w:pPr>
              <w:pStyle w:val="BodyText"/>
            </w:pPr>
            <w:r w:rsidRPr="00681932">
              <w:t>T11.</w:t>
            </w:r>
            <w:r w:rsidRPr="00681932">
              <w:tab/>
              <w:t>Implementing a program for a specific task</w:t>
            </w:r>
          </w:p>
          <w:p w:rsidR="00000000" w:rsidRPr="00681932" w:rsidP="00681932">
            <w:pPr>
              <w:pStyle w:val="ListBullet"/>
            </w:pPr>
            <w:r w:rsidRPr="00681932">
              <w:t>purpose of program</w:t>
            </w:r>
          </w:p>
          <w:p w:rsidR="00000000" w:rsidRPr="00681932" w:rsidP="00681932">
            <w:pPr>
              <w:pStyle w:val="ListBullet"/>
            </w:pPr>
            <w:r w:rsidRPr="00681932">
              <w:t>writing the program</w:t>
            </w:r>
          </w:p>
          <w:p w:rsidR="00000000" w:rsidRPr="00681932" w:rsidP="00681932">
            <w:pPr>
              <w:pStyle w:val="ListBullet"/>
            </w:pPr>
            <w:r w:rsidRPr="00681932">
              <w:t>debugging and implementing the program</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10" w:name="O_421898"/>
      <w:bookmarkEnd w:id="10"/>
      <w:r w:rsidRPr="00681932">
        <w:t>Evidence Guide</w:t>
      </w:r>
    </w:p>
    <w:tbl>
      <w:tblPr>
        <w:tblW w:w="0" w:type="auto"/>
        <w:tblLayout w:type="fixed"/>
        <w:tblCellMar>
          <w:left w:w="62" w:type="dxa"/>
          <w:right w:w="62" w:type="dxa"/>
        </w:tblCellMar>
        <w:tblLook w:val="0000"/>
      </w:tblPr>
      <w:tblGrid>
        <w:gridCol w:w="8460"/>
      </w:tblGrid>
      <w:tr w:rsidTr="00C65F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EVIDENCE GUIDE</w:t>
            </w:r>
          </w:p>
        </w:tc>
      </w:tr>
      <w:tr w:rsidTr="00C65F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9)</w:t>
            </w:r>
            <w:r w:rsidRPr="00681932">
              <w:t xml:space="preserve"> The evidence guide provides advice on assessment and must be read in conjunction with the Performance </w:t>
            </w:r>
            <w:r w:rsidRPr="00681932">
              <w:t>Criteria, Required Skills and Knowledge, the Range Statement and the Assessment Guidelines for this Training Package. .</w:t>
            </w:r>
          </w:p>
          <w:p w:rsidR="00000000" w:rsidRPr="00681932" w:rsidP="00681932">
            <w:pPr>
              <w:pStyle w:val="BodyText"/>
            </w:pPr>
            <w:r w:rsidRPr="00681932">
              <w:t>The Evidence Guide forms an integral part of this unit. It must be used in conjunction with all parts of the unit and performed in accor</w:t>
            </w:r>
            <w:r w:rsidRPr="00681932">
              <w:t>dance with the Assessment Guidelines of this Training Package.</w:t>
            </w:r>
          </w:p>
        </w:tc>
      </w:tr>
    </w:tbl>
    <w:p w:rsidR="00000000" w:rsidRPr="00681932" w:rsidP="00681932">
      <w:pPr>
        <w:pStyle w:val="BodyText"/>
      </w:pPr>
    </w:p>
    <w:tbl>
      <w:tblPr>
        <w:tblW w:w="0" w:type="auto"/>
        <w:tblLayout w:type="fixed"/>
        <w:tblCellMar>
          <w:left w:w="62" w:type="dxa"/>
          <w:right w:w="62" w:type="dxa"/>
        </w:tblCellMar>
        <w:tblLook w:val="0000"/>
      </w:tblPr>
      <w:tblGrid>
        <w:gridCol w:w="1890"/>
        <w:gridCol w:w="6570"/>
      </w:tblGrid>
      <w:tr w:rsidTr="00C65F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9.1)</w:t>
            </w:r>
          </w:p>
        </w:tc>
      </w:tr>
      <w:tr w:rsidTr="00C65F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 xml:space="preserve">Longitudinal competency development approaches to assessment, such as Profiling, require data to be reliably gathered in a form that can be </w:t>
            </w:r>
            <w:r w:rsidRPr="00681932">
              <w:t>consistently interpreted over time. This approach is best utilised in Apprenticeship programs and reduces assessment intervention. It is the Industry-preferred model for apprenticeships. However, where summative (or final) assessment is used it must includ</w:t>
            </w:r>
            <w:r w:rsidRPr="00681932">
              <w:t>e the application of the competency in the normal work environment or, at a minimum, the application of the competency in a realistically simulated work environment. It is recognised that, in some circumstances, assessment in part or full can occur outside</w:t>
            </w:r>
            <w:r w:rsidRPr="00681932">
              <w:t xml:space="preserve"> the workplace. However, it must be in accord with industry and regulatory policy.</w:t>
            </w:r>
          </w:p>
          <w:p w:rsidR="00000000" w:rsidRPr="00681932" w:rsidP="00681932">
            <w:pPr>
              <w:pStyle w:val="BodyText"/>
            </w:pPr>
            <w:r w:rsidRPr="00681932">
              <w:t>Methods chosen for a particular assessment will be influenced by various factors. These include the extent of the assessment, the most effective locations for the assessment</w:t>
            </w:r>
            <w:r w:rsidRPr="00681932">
              <w:t xml:space="preserve"> activities to take place, access to physical resources, additional safety measures that may be required and the critical nature of the competencies being assessed.</w:t>
            </w:r>
          </w:p>
          <w:p w:rsidR="00000000" w:rsidRPr="00681932" w:rsidP="00681932">
            <w:pPr>
              <w:pStyle w:val="BodyText"/>
            </w:pPr>
            <w:r w:rsidRPr="00681932">
              <w:t>The critical safety nature of working with electricity, electrical equipment, gas or any ot</w:t>
            </w:r>
            <w:r w:rsidRPr="00681932">
              <w:t>her hazardous substance/material carries risk in deeming a person competent. Sources of evidence need to be ‘rich’ in nature to minimise error in judgment.</w:t>
            </w:r>
          </w:p>
          <w:p w:rsidR="00000000" w:rsidRPr="00681932" w:rsidP="00681932">
            <w:pPr>
              <w:pStyle w:val="BodyText"/>
            </w:pPr>
            <w:r w:rsidRPr="00681932">
              <w:t>Activities associated with normal everyday work influence decisions about how/how much the data gath</w:t>
            </w:r>
            <w:r w:rsidRPr="00681932">
              <w:t>ered will contribute to its ‘richness’. Some skills are more critical to safety and operational requirements while the same skills may be more or less frequently practised. These points are raised for the assessors to consider when choosing an assessment m</w:t>
            </w:r>
            <w:r w:rsidRPr="00681932">
              <w:t>ethod and developing assessment instruments. Sample assessment instruments are included for Assessors in the Assessment Guidelines of this Training Package.</w:t>
            </w:r>
          </w:p>
        </w:tc>
      </w:tr>
    </w:tbl>
    <w:p w:rsidR="00000000" w:rsidRPr="00681932" w:rsidP="00681932">
      <w:pPr>
        <w:pStyle w:val="BodyText"/>
      </w:pPr>
    </w:p>
    <w:tbl>
      <w:tblPr>
        <w:tblW w:w="9930" w:type="dxa"/>
        <w:tblLayout w:type="fixed"/>
        <w:tblCellMar>
          <w:left w:w="62" w:type="dxa"/>
          <w:right w:w="62" w:type="dxa"/>
        </w:tblCellMar>
        <w:tblLook w:val="0000"/>
      </w:tblPr>
      <w:tblGrid>
        <w:gridCol w:w="1872"/>
        <w:gridCol w:w="18"/>
        <w:gridCol w:w="6150"/>
        <w:gridCol w:w="420"/>
        <w:gridCol w:w="1470"/>
      </w:tblGrid>
      <w:tr w:rsidTr="00C65F83">
        <w:tblPrEx>
          <w:tblW w:w="9930" w:type="dxa"/>
          <w:tblLayout w:type="fixed"/>
          <w:tblCellMar>
            <w:left w:w="62" w:type="dxa"/>
            <w:right w:w="62" w:type="dxa"/>
          </w:tblCellMar>
          <w:tblLook w:val="0000"/>
        </w:tblPrEx>
        <w:trPr>
          <w:gridAfter w:val="1"/>
          <w:wAfter w:w="1470" w:type="dxa"/>
        </w:trPr>
        <w:tc>
          <w:tcPr>
            <w:tcW w:w="1890" w:type="dxa"/>
            <w:gridSpan w:val="2"/>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9.2)</w:t>
            </w:r>
          </w:p>
        </w:tc>
      </w:tr>
      <w:tr w:rsidTr="00C65F83">
        <w:tblPrEx>
          <w:tblW w:w="9930" w:type="dxa"/>
          <w:tblLayout w:type="fixed"/>
          <w:tblCellMar>
            <w:left w:w="62" w:type="dxa"/>
            <w:right w:w="62" w:type="dxa"/>
          </w:tblCellMar>
          <w:tblLook w:val="0000"/>
        </w:tblPrEx>
        <w:trPr>
          <w:gridAfter w:val="1"/>
          <w:wAfter w:w="1470"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Before the critical aspects of evidence are considered all prerequisites shall be met.</w:t>
            </w:r>
          </w:p>
          <w:p w:rsidR="00000000" w:rsidRPr="00681932" w:rsidP="00681932">
            <w:pPr>
              <w:pStyle w:val="BodyText"/>
            </w:pPr>
            <w:r w:rsidRPr="00681932">
              <w:t xml:space="preserve">Evidence for competence in this unit shall be considered holistically.  Each Element and associated performance criteria shall be demonstrated on at least two occasions </w:t>
            </w:r>
            <w:r w:rsidRPr="00681932">
              <w:t>in accordance with the ‘Assessment Guidelines – UEE11’.  Evidence shall also comprise:</w:t>
            </w:r>
          </w:p>
          <w:p w:rsidR="00000000" w:rsidRPr="00681932" w:rsidP="00681932">
            <w:pPr>
              <w:pStyle w:val="ListBullet"/>
            </w:pPr>
            <w:r w:rsidRPr="00681932">
              <w:t>A representative body of work performance demonstrated within the timeframes typically expected of the discipline, work function and industrial environment. In particula</w:t>
            </w:r>
            <w:r w:rsidRPr="00681932">
              <w:t>r this shall incorporate evidence that shows a candidate is able to:</w:t>
            </w:r>
          </w:p>
          <w:p w:rsidR="00000000" w:rsidRPr="00681932" w:rsidP="00681932">
            <w:pPr>
              <w:pStyle w:val="ListBullet2"/>
            </w:pPr>
            <w:r w:rsidRPr="00681932">
              <w:t>Implement Occupational Health and Safety workplace procedures and practices, including the use of risk control measures as specified in the performance criteria and range statement</w:t>
            </w:r>
          </w:p>
          <w:p w:rsidR="00000000" w:rsidRPr="00681932" w:rsidP="00681932">
            <w:pPr>
              <w:pStyle w:val="ListBullet2"/>
            </w:pPr>
            <w:r w:rsidRPr="00681932">
              <w:t>Apply</w:t>
            </w:r>
            <w:r w:rsidRPr="00681932">
              <w:t xml:space="preserve"> sustainable energy principles and practices as specified in the performance criteria and range statement</w:t>
            </w:r>
          </w:p>
          <w:p w:rsidR="00000000" w:rsidRPr="00681932" w:rsidP="00681932">
            <w:pPr>
              <w:pStyle w:val="ListBullet2"/>
            </w:pPr>
            <w:r w:rsidRPr="00681932">
              <w:t>Demonstrate an understanding of the essential knowledge and associated skills as described in this unit.  It may be required by some jurisdictions tha</w:t>
            </w:r>
            <w:r w:rsidRPr="00681932">
              <w:t>t RTOs provide a percentile graded result for the purpose of regulatory or licensing requirements.</w:t>
            </w:r>
          </w:p>
          <w:p w:rsidR="00000000" w:rsidRPr="00681932" w:rsidP="00681932">
            <w:pPr>
              <w:pStyle w:val="ListBullet2"/>
            </w:pPr>
            <w:r w:rsidRPr="00681932">
              <w:t>Demonstrate an appropriate level of skills enabling employment</w:t>
            </w:r>
          </w:p>
          <w:p w:rsidR="00000000" w:rsidRPr="00681932" w:rsidP="00681932">
            <w:pPr>
              <w:pStyle w:val="ListBullet2"/>
            </w:pPr>
            <w:r w:rsidRPr="00681932">
              <w:t xml:space="preserve">Conduct work observing the relevant Anti Discrimination legislation, regulations, polices and </w:t>
            </w:r>
            <w:r w:rsidRPr="00681932">
              <w:t>workplace procedures</w:t>
            </w:r>
          </w:p>
          <w:p w:rsidR="00000000" w:rsidRPr="00681932" w:rsidP="00681932">
            <w:pPr>
              <w:pStyle w:val="ListBullet"/>
            </w:pPr>
            <w:r w:rsidRPr="00681932">
              <w:t>Demonstrated consistent performance across a representative range of contexts from the prescribed items below:</w:t>
            </w:r>
          </w:p>
          <w:p w:rsidR="00000000" w:rsidP="00681932">
            <w:pPr>
              <w:pStyle w:val="ListBullet2"/>
              <w:rPr>
                <w:lang w:val="en-NZ"/>
              </w:rPr>
            </w:pPr>
            <w:r w:rsidRPr="00681932">
              <w:t>Develop software solutions in microcontroller based systems as described in 8) and including:</w:t>
            </w:r>
          </w:p>
        </w:tc>
      </w:tr>
      <w:tr w:rsidTr="00C65F83">
        <w:tblPrEx>
          <w:tblW w:w="9930" w:type="dxa"/>
          <w:tblLayout w:type="fixed"/>
          <w:tblCellMar>
            <w:left w:w="62" w:type="dxa"/>
            <w:right w:w="62" w:type="dxa"/>
          </w:tblCellMar>
          <w:tblLook w:val="0000"/>
        </w:tblPrEx>
        <w:trPr>
          <w:gridAfter w:val="2"/>
          <w:wAfter w:w="1890" w:type="dxa"/>
        </w:trPr>
        <w:tc>
          <w:tcPr>
            <w:tcW w:w="1872"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A</w:t>
            </w:r>
          </w:p>
        </w:tc>
        <w:tc>
          <w:tcPr>
            <w:tcW w:w="6168"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Using methodical problem solving methods.</w:t>
            </w:r>
          </w:p>
        </w:tc>
      </w:tr>
      <w:tr w:rsidTr="00C65F83">
        <w:tblPrEx>
          <w:tblW w:w="9930" w:type="dxa"/>
          <w:tblLayout w:type="fixed"/>
          <w:tblCellMar>
            <w:left w:w="62" w:type="dxa"/>
            <w:right w:w="62" w:type="dxa"/>
          </w:tblCellMar>
          <w:tblLook w:val="0000"/>
        </w:tblPrEx>
        <w:trPr>
          <w:gridAfter w:val="2"/>
          <w:wAfter w:w="1890" w:type="dxa"/>
        </w:trPr>
        <w:tc>
          <w:tcPr>
            <w:tcW w:w="1872"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B</w:t>
            </w:r>
          </w:p>
        </w:tc>
        <w:tc>
          <w:tcPr>
            <w:tcW w:w="6168"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Providing solution to micro software problems.</w:t>
            </w:r>
          </w:p>
        </w:tc>
      </w:tr>
      <w:tr w:rsidTr="00C65F83">
        <w:tblPrEx>
          <w:tblW w:w="9930" w:type="dxa"/>
          <w:tblLayout w:type="fixed"/>
          <w:tblCellMar>
            <w:left w:w="62" w:type="dxa"/>
            <w:right w:w="62" w:type="dxa"/>
          </w:tblCellMar>
          <w:tblLook w:val="0000"/>
        </w:tblPrEx>
        <w:trPr>
          <w:gridAfter w:val="2"/>
          <w:wAfter w:w="1890" w:type="dxa"/>
        </w:trPr>
        <w:tc>
          <w:tcPr>
            <w:tcW w:w="1872"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C</w:t>
            </w:r>
          </w:p>
        </w:tc>
        <w:tc>
          <w:tcPr>
            <w:tcW w:w="6168"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Providing written justification for the solutions to problems.</w:t>
            </w:r>
          </w:p>
        </w:tc>
      </w:tr>
      <w:tr w:rsidTr="00C65F83">
        <w:tblPrEx>
          <w:tblW w:w="9930" w:type="dxa"/>
          <w:tblLayout w:type="fixed"/>
          <w:tblCellMar>
            <w:left w:w="62" w:type="dxa"/>
            <w:right w:w="62" w:type="dxa"/>
          </w:tblCellMar>
          <w:tblLook w:val="0000"/>
        </w:tblPrEx>
        <w:trPr>
          <w:gridAfter w:val="2"/>
          <w:wAfter w:w="1890" w:type="dxa"/>
        </w:trPr>
        <w:tc>
          <w:tcPr>
            <w:tcW w:w="1872"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D</w:t>
            </w:r>
          </w:p>
        </w:tc>
        <w:tc>
          <w:tcPr>
            <w:tcW w:w="6168" w:type="dxa"/>
            <w:gridSpan w:val="2"/>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t>Dealing with unplanned events by drawing on essential knowledge and s</w:t>
            </w:r>
            <w:r w:rsidRPr="00681932">
              <w:t>kills to provide appropriate solutions incorporated in a holistic assessment with the above listed items.</w:t>
            </w:r>
          </w:p>
        </w:tc>
      </w:tr>
      <w:tr w:rsidTr="00C65F83">
        <w:tblPrEx>
          <w:tblW w:w="9930" w:type="dxa"/>
          <w:tblLayout w:type="fixed"/>
          <w:tblCellMar>
            <w:left w:w="62" w:type="dxa"/>
            <w:right w:w="62" w:type="dxa"/>
          </w:tblCellMar>
          <w:tblLook w:val="0000"/>
        </w:tblPrEx>
        <w:tc>
          <w:tcPr>
            <w:tcW w:w="9930" w:type="dxa"/>
            <w:gridSpan w:val="5"/>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 xml:space="preserve">Note: </w:t>
            </w:r>
            <w:r w:rsidRPr="00681932">
              <w:br/>
              <w:t>Successful completion of relevant vendor training may be used to contribute to evidence on which competency is deemed. In these cases the alig</w:t>
            </w:r>
            <w:r w:rsidRPr="00681932">
              <w:t>nment of outcomes of vendor training with performance criteria and critical aspects of evidence shall be clearly identified.</w:t>
            </w:r>
          </w:p>
        </w:tc>
      </w:tr>
    </w:tbl>
    <w:p w:rsidR="00000000" w:rsidRPr="00681932" w:rsidP="00681932">
      <w:pPr>
        <w:pStyle w:val="BodyText"/>
      </w:pPr>
    </w:p>
    <w:tbl>
      <w:tblPr>
        <w:tblW w:w="0" w:type="auto"/>
        <w:tblLayout w:type="fixed"/>
        <w:tblCellMar>
          <w:left w:w="62" w:type="dxa"/>
          <w:right w:w="62" w:type="dxa"/>
        </w:tblCellMar>
        <w:tblLook w:val="0000"/>
      </w:tblPr>
      <w:tblGrid>
        <w:gridCol w:w="1890"/>
        <w:gridCol w:w="6570"/>
      </w:tblGrid>
      <w:tr w:rsidTr="00C65F8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9.3)</w:t>
            </w:r>
          </w:p>
        </w:tc>
      </w:tr>
      <w:tr w:rsidTr="00C65F8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This unit should be assessed as it relates to normal work practice using procedures, information and resources typical of a workplace. This should include:</w:t>
            </w:r>
          </w:p>
          <w:p w:rsidR="00000000" w:rsidRPr="00681932" w:rsidP="00681932">
            <w:pPr>
              <w:pStyle w:val="ListBullet"/>
            </w:pPr>
            <w:r w:rsidRPr="00681932">
              <w:t>OHS policy and work procedures and instructions.</w:t>
            </w:r>
          </w:p>
          <w:p w:rsidR="00000000" w:rsidRPr="00681932" w:rsidP="00681932">
            <w:pPr>
              <w:pStyle w:val="ListBullet"/>
            </w:pPr>
            <w:r w:rsidRPr="00681932">
              <w:t>Suitable work environment, facilities, equipment an</w:t>
            </w:r>
            <w:r w:rsidRPr="00681932">
              <w:t>d materials to undertake actual work as prescribed by this unit.</w:t>
            </w:r>
          </w:p>
          <w:p w:rsidR="00000000" w:rsidRPr="00681932" w:rsidP="00681932">
            <w:pPr>
              <w:pStyle w:val="BodyText"/>
            </w:pPr>
            <w:r w:rsidRPr="00681932">
              <w:t>These should be part of the formal learning/assessment environment.</w:t>
            </w:r>
          </w:p>
          <w:p w:rsidR="00000000" w:rsidRPr="00681932" w:rsidP="00681932">
            <w:pPr>
              <w:pStyle w:val="BodyText"/>
            </w:pPr>
            <w:r w:rsidRPr="00681932">
              <w:t>Note:</w:t>
            </w:r>
          </w:p>
          <w:p w:rsidR="00000000" w:rsidRPr="00681932" w:rsidP="00681932">
            <w:pPr>
              <w:pStyle w:val="BodyText"/>
            </w:pPr>
            <w:r w:rsidRPr="00681932">
              <w:t>Where simulation is considered a suitable strategy for assessment, conditions must be authentic and as far as possibl</w:t>
            </w:r>
            <w:r w:rsidRPr="00681932">
              <w:t>e reproduce and replicate the workplace and be consistent with the approved industry simulation policy.</w:t>
            </w:r>
          </w:p>
          <w:p w:rsidR="00000000" w:rsidRPr="00681932" w:rsidP="00681932">
            <w:pPr>
              <w:pStyle w:val="BodyText"/>
            </w:pPr>
            <w:r w:rsidRPr="00681932">
              <w:t>The resources used for assessment should reflect current industry practices in relation to developing software solutions in microcontroller based system</w:t>
            </w:r>
            <w:r w:rsidRPr="00681932">
              <w:t>s.</w:t>
            </w:r>
          </w:p>
        </w:tc>
      </w:tr>
    </w:tbl>
    <w:p w:rsidR="00000000" w:rsidRPr="00681932" w:rsidP="00681932">
      <w:pPr>
        <w:pStyle w:val="BodyText"/>
      </w:pPr>
    </w:p>
    <w:tbl>
      <w:tblPr>
        <w:tblW w:w="0" w:type="auto"/>
        <w:tblLayout w:type="fixed"/>
        <w:tblCellMar>
          <w:left w:w="62" w:type="dxa"/>
          <w:right w:w="62" w:type="dxa"/>
        </w:tblCellMar>
        <w:tblLook w:val="0000"/>
      </w:tblPr>
      <w:tblGrid>
        <w:gridCol w:w="1890"/>
        <w:gridCol w:w="6570"/>
      </w:tblGrid>
      <w:tr w:rsidTr="00C65F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9.4)</w:t>
            </w:r>
          </w:p>
        </w:tc>
      </w:tr>
      <w:tr w:rsidTr="00C65F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This unit shall be assessed by methods given in Volume 1, Part 3 ‘Assessment Guidelines’.</w:t>
            </w:r>
          </w:p>
          <w:p w:rsidR="00000000" w:rsidRPr="00681932" w:rsidP="00681932">
            <w:pPr>
              <w:pStyle w:val="BodyText"/>
            </w:pPr>
            <w:r w:rsidRPr="00681932">
              <w:t xml:space="preserve">Note: </w:t>
            </w:r>
          </w:p>
          <w:p w:rsidR="00000000" w:rsidRPr="00681932" w:rsidP="00681932">
            <w:pPr>
              <w:pStyle w:val="BodyText"/>
            </w:pPr>
            <w:r w:rsidRPr="00681932">
              <w:t>Competent performance with inherent safe working practices is expected in the industry to which this unit applies. This requires that the specified essential knowledge and associated skills are assessed in a structured environment which is primarily intend</w:t>
            </w:r>
            <w:r w:rsidRPr="00681932">
              <w:t>ed for learning/assessment and incorporates all necessary equipment and facilities for learners to develop and demonstrate the essential knowledge and skills described in this unit.</w:t>
            </w:r>
          </w:p>
        </w:tc>
      </w:tr>
    </w:tbl>
    <w:p w:rsidR="00000000" w:rsidRPr="00681932" w:rsidP="00681932">
      <w:pPr>
        <w:pStyle w:val="BodyText"/>
      </w:pPr>
    </w:p>
    <w:tbl>
      <w:tblPr>
        <w:tblW w:w="0" w:type="auto"/>
        <w:tblLayout w:type="fixed"/>
        <w:tblCellMar>
          <w:left w:w="62" w:type="dxa"/>
          <w:right w:w="62" w:type="dxa"/>
        </w:tblCellMar>
        <w:tblLook w:val="0000"/>
      </w:tblPr>
      <w:tblGrid>
        <w:gridCol w:w="1890"/>
        <w:gridCol w:w="6570"/>
      </w:tblGrid>
      <w:tr w:rsidTr="00C65F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9.5)</w:t>
            </w:r>
          </w:p>
        </w:tc>
      </w:tr>
      <w:tr w:rsidTr="00C65F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For optim</w:t>
            </w:r>
            <w:r w:rsidRPr="00681932">
              <w:t>isation of training and assessment effort, competency development in this unit may be arranged concurrently with unit:</w:t>
            </w:r>
          </w:p>
          <w:p w:rsidR="00000000" w:rsidRPr="00681932" w:rsidP="00681932">
            <w:pPr>
              <w:pStyle w:val="BodyText"/>
            </w:pPr>
            <w:r w:rsidRPr="00681932">
              <w:t xml:space="preserve">The critical aspects of occupational health and safety covered in unit UEENEEE101A and other discipline specific occupational health and </w:t>
            </w:r>
            <w:r w:rsidRPr="00681932">
              <w:t>safety units shall be incorporated in relation to this unit.</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11" w:name="O_421902"/>
      <w:bookmarkEnd w:id="11"/>
      <w:r w:rsidRPr="00681932">
        <w:t>Range Statement</w:t>
      </w:r>
    </w:p>
    <w:tbl>
      <w:tblPr>
        <w:tblW w:w="0" w:type="auto"/>
        <w:tblLayout w:type="fixed"/>
        <w:tblCellMar>
          <w:left w:w="62" w:type="dxa"/>
          <w:right w:w="62" w:type="dxa"/>
        </w:tblCellMar>
        <w:tblLook w:val="0000"/>
      </w:tblPr>
      <w:tblGrid>
        <w:gridCol w:w="8460"/>
      </w:tblGrid>
      <w:tr w:rsidTr="00C65F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RANGE STATEMENT</w:t>
            </w:r>
          </w:p>
        </w:tc>
      </w:tr>
      <w:tr w:rsidTr="00C65F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10)</w:t>
            </w:r>
            <w:r w:rsidRPr="00681932">
              <w:t xml:space="preserve"> This relates to the unit as a whole providing the range of contexts and conditions to which </w:t>
            </w:r>
            <w:r w:rsidRPr="00681932">
              <w:t>the performance criteria apply. It allows for different work environments and situations that will affect performance.</w:t>
            </w:r>
          </w:p>
          <w:p w:rsidR="00000000" w:rsidRPr="00681932" w:rsidP="00681932">
            <w:pPr>
              <w:pStyle w:val="BodyText"/>
            </w:pPr>
            <w:r w:rsidRPr="00681932">
              <w:t>This unit shall be demonstrated by developing software solutions in any microcontrollers/microprocessors using the following techniques:</w:t>
            </w:r>
          </w:p>
          <w:p w:rsidR="00000000" w:rsidRPr="00681932" w:rsidP="00681932">
            <w:pPr>
              <w:pStyle w:val="ListBullet3"/>
            </w:pPr>
            <w:r w:rsidRPr="00681932">
              <w:t>Modifying an existing micro program to comply with specified operating parameters</w:t>
            </w:r>
          </w:p>
          <w:p w:rsidR="00000000" w:rsidRPr="00681932" w:rsidP="00681932">
            <w:pPr>
              <w:pStyle w:val="ListBullet3"/>
            </w:pPr>
            <w:r w:rsidRPr="00681932">
              <w:t>Developing micro software to comply with a specified function and operating parameters</w:t>
            </w:r>
          </w:p>
          <w:p w:rsidR="00000000" w:rsidRPr="00681932" w:rsidP="00681932">
            <w:pPr>
              <w:pStyle w:val="ListBullet3"/>
            </w:pPr>
            <w:r w:rsidRPr="00681932">
              <w:t>Debugging software</w:t>
            </w:r>
          </w:p>
          <w:p w:rsidR="00000000" w:rsidRPr="00681932" w:rsidP="00681932">
            <w:pPr>
              <w:pStyle w:val="BodyText"/>
            </w:pPr>
            <w:r w:rsidRPr="00681932">
              <w:t>Generic terms used throughout this Vocational Standard shall be reg</w:t>
            </w:r>
            <w:r w:rsidRPr="00681932">
              <w:t>arded as part of the Range Statement in which competency is demonstrated. The definition of these and other terms that apply are given in Volume 2, Part 2.1.</w:t>
            </w:r>
          </w:p>
        </w:tc>
      </w:tr>
    </w:tbl>
    <w:p w:rsidR="00000000" w:rsidRPr="00681932" w:rsidP="00681932">
      <w:pPr>
        <w:pStyle w:val="BodyText"/>
      </w:pPr>
    </w:p>
    <w:p w:rsidR="00000000" w:rsidRPr="00681932" w:rsidP="00681932">
      <w:pPr>
        <w:pStyle w:val="AllowPageBreak"/>
      </w:pPr>
    </w:p>
    <w:p w:rsidR="00000000" w:rsidRPr="00681932" w:rsidP="00681932">
      <w:pPr>
        <w:pStyle w:val="Heading1"/>
      </w:pPr>
      <w:bookmarkStart w:id="12" w:name="O_421905"/>
      <w:bookmarkEnd w:id="12"/>
      <w:r w:rsidRPr="00681932">
        <w:t>Unit Sector(s)</w:t>
      </w:r>
    </w:p>
    <w:p w:rsidR="00000000" w:rsidRPr="00681932" w:rsidP="00681932">
      <w:pPr>
        <w:pStyle w:val="BodyText"/>
      </w:pPr>
      <w:r w:rsidRPr="00681932">
        <w:t>Not applicable.</w:t>
      </w:r>
    </w:p>
    <w:p w:rsidR="00000000" w:rsidRPr="00681932" w:rsidP="00681932">
      <w:pPr>
        <w:pStyle w:val="AllowPageBreak"/>
      </w:pPr>
    </w:p>
    <w:p w:rsidR="00000000" w:rsidRPr="00681932" w:rsidP="00681932">
      <w:pPr>
        <w:pStyle w:val="Heading1"/>
      </w:pPr>
      <w:bookmarkStart w:id="13" w:name="O_421894"/>
      <w:bookmarkEnd w:id="13"/>
      <w:r w:rsidRPr="00681932">
        <w:t>Competency Field</w:t>
      </w:r>
    </w:p>
    <w:tbl>
      <w:tblPr>
        <w:tblW w:w="0" w:type="auto"/>
        <w:tblLayout w:type="fixed"/>
        <w:tblCellMar>
          <w:left w:w="62" w:type="dxa"/>
          <w:right w:w="62" w:type="dxa"/>
        </w:tblCellMar>
        <w:tblLook w:val="0000"/>
      </w:tblPr>
      <w:tblGrid>
        <w:gridCol w:w="2700"/>
        <w:gridCol w:w="5760"/>
      </w:tblGrid>
      <w:tr w:rsidTr="00C65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1932">
            <w:pPr>
              <w:pStyle w:val="BodyText"/>
              <w:rPr>
                <w:lang w:val="en-NZ"/>
              </w:rPr>
            </w:pPr>
            <w:r w:rsidRPr="00681932">
              <w:rPr>
                <w:rStyle w:val="SpecialBold"/>
              </w:rPr>
              <w:t xml:space="preserve">11) </w:t>
            </w:r>
          </w:p>
        </w:tc>
      </w:tr>
      <w:tr w:rsidTr="00C65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932" w:rsidP="00681932">
            <w:pPr>
              <w:pStyle w:val="BodyText"/>
            </w:pPr>
            <w:r w:rsidRPr="00681932">
              <w:t>Electronics</w:t>
            </w:r>
          </w:p>
        </w:tc>
      </w:tr>
    </w:tbl>
    <w:p w:rsidR="00000000" w:rsidRPr="00681932" w:rsidP="00681932">
      <w:pPr>
        <w:pStyle w:val="BodyText"/>
      </w:pPr>
    </w:p>
    <w:p w:rsidR="00000000" w:rsidRPr="00681932" w:rsidP="00681932"/>
    <w:sectPr w:rsidSect="006819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F83" w:rsidP="00C65F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83" w:rsidP="006819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65F83" w:rsidP="006819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65F83" w:rsidP="006819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32" w:rsidRPr="00C65F83" w:rsidP="00C65F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83" w:rsidRPr="002D2AF8" w:rsidP="00681932">
    <w:pPr>
      <w:pStyle w:val="Header"/>
      <w:framePr w:wrap="around"/>
    </w:pPr>
    <w:r>
      <w:fldChar w:fldCharType="begin"/>
    </w:r>
    <w:r>
      <w:instrText xml:space="preserve"> TITLE   \* MERGEFORMAT </w:instrText>
    </w:r>
    <w:r>
      <w:fldChar w:fldCharType="separate"/>
    </w:r>
    <w:r>
      <w:t>UEENEEH115A Develop software solutions for microcontroller based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65F83" w:rsidP="006819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C6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E3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4D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9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932"/>
    <w:pPr>
      <w:spacing w:before="360" w:after="60"/>
      <w:outlineLvl w:val="0"/>
    </w:pPr>
    <w:rPr>
      <w:sz w:val="32"/>
    </w:rPr>
  </w:style>
  <w:style w:type="paragraph" w:styleId="Heading2">
    <w:name w:val="heading 2"/>
    <w:basedOn w:val="HeadingBase"/>
    <w:next w:val="BodyText"/>
    <w:link w:val="Heading2Char"/>
    <w:qFormat/>
    <w:rsid w:val="00681932"/>
    <w:pPr>
      <w:keepLines/>
      <w:spacing w:before="240" w:after="120"/>
      <w:outlineLvl w:val="1"/>
    </w:pPr>
    <w:rPr>
      <w:sz w:val="28"/>
      <w:szCs w:val="40"/>
    </w:rPr>
  </w:style>
  <w:style w:type="paragraph" w:styleId="Heading3">
    <w:name w:val="heading 3"/>
    <w:basedOn w:val="HeadingBase"/>
    <w:next w:val="BodyText"/>
    <w:link w:val="Heading3Char"/>
    <w:qFormat/>
    <w:rsid w:val="00681932"/>
    <w:pPr>
      <w:spacing w:before="180" w:after="120"/>
      <w:outlineLvl w:val="2"/>
    </w:pPr>
    <w:rPr>
      <w:spacing w:val="-10"/>
      <w:kern w:val="32"/>
    </w:rPr>
  </w:style>
  <w:style w:type="paragraph" w:styleId="Heading4">
    <w:name w:val="heading 4"/>
    <w:basedOn w:val="HeadingBase"/>
    <w:next w:val="BodyText"/>
    <w:link w:val="Heading4Char"/>
    <w:qFormat/>
    <w:rsid w:val="00681932"/>
    <w:pPr>
      <w:spacing w:before="160" w:after="120"/>
      <w:outlineLvl w:val="3"/>
    </w:pPr>
    <w:rPr>
      <w:sz w:val="22"/>
    </w:rPr>
  </w:style>
  <w:style w:type="paragraph" w:styleId="Heading5">
    <w:name w:val="heading 5"/>
    <w:basedOn w:val="HeadingBase"/>
    <w:next w:val="Normal"/>
    <w:link w:val="Heading5Char"/>
    <w:qFormat/>
    <w:rsid w:val="00681932"/>
    <w:pPr>
      <w:spacing w:before="80"/>
      <w:outlineLvl w:val="4"/>
    </w:pPr>
    <w:rPr>
      <w:color w:val="918585"/>
      <w:sz w:val="20"/>
    </w:rPr>
  </w:style>
  <w:style w:type="paragraph" w:styleId="Heading6">
    <w:name w:val="heading 6"/>
    <w:basedOn w:val="HeadingBase"/>
    <w:next w:val="Normal"/>
    <w:link w:val="Heading6Char"/>
    <w:qFormat/>
    <w:rsid w:val="00681932"/>
    <w:pPr>
      <w:spacing w:before="60"/>
      <w:outlineLvl w:val="5"/>
    </w:pPr>
    <w:rPr>
      <w:color w:val="918585"/>
      <w:sz w:val="20"/>
    </w:rPr>
  </w:style>
  <w:style w:type="paragraph" w:styleId="Heading7">
    <w:name w:val="heading 7"/>
    <w:basedOn w:val="Normal"/>
    <w:next w:val="Normal"/>
    <w:link w:val="Heading7Char"/>
    <w:qFormat/>
    <w:rsid w:val="00681932"/>
    <w:pPr>
      <w:ind w:left="720"/>
      <w:outlineLvl w:val="6"/>
    </w:pPr>
    <w:rPr>
      <w:i/>
    </w:rPr>
  </w:style>
  <w:style w:type="paragraph" w:styleId="Heading8">
    <w:name w:val="heading 8"/>
    <w:basedOn w:val="Normal"/>
    <w:next w:val="Normal"/>
    <w:link w:val="Heading8Char"/>
    <w:qFormat/>
    <w:rsid w:val="00681932"/>
    <w:pPr>
      <w:ind w:left="720"/>
      <w:outlineLvl w:val="7"/>
    </w:pPr>
    <w:rPr>
      <w:i/>
    </w:rPr>
  </w:style>
  <w:style w:type="paragraph" w:styleId="Heading9">
    <w:name w:val="heading 9"/>
    <w:basedOn w:val="Normal"/>
    <w:next w:val="Normal"/>
    <w:link w:val="Heading9Char"/>
    <w:qFormat/>
    <w:rsid w:val="00681932"/>
    <w:pPr>
      <w:ind w:left="720"/>
      <w:outlineLvl w:val="8"/>
    </w:pPr>
    <w:rPr>
      <w:i/>
    </w:rPr>
  </w:style>
  <w:style w:type="character" w:default="1" w:styleId="DefaultParagraphFont">
    <w:name w:val="Default Paragraph Font"/>
    <w:uiPriority w:val="1"/>
    <w:unhideWhenUsed/>
    <w:rsid w:val="00681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932"/>
  </w:style>
  <w:style w:type="character" w:customStyle="1" w:styleId="Heading1Char">
    <w:name w:val="Heading 1 Char"/>
    <w:basedOn w:val="DefaultParagraphFont"/>
    <w:link w:val="Heading1"/>
    <w:rsid w:val="00681932"/>
    <w:rPr>
      <w:rFonts w:ascii="Times New Roman" w:eastAsia="Times New Roman" w:hAnsi="Times New Roman" w:cs="Times New Roman"/>
      <w:b/>
      <w:sz w:val="32"/>
      <w:szCs w:val="20"/>
      <w:lang w:eastAsia="en-US"/>
    </w:rPr>
  </w:style>
  <w:style w:type="paragraph" w:styleId="BodyText">
    <w:name w:val="Body Text"/>
    <w:basedOn w:val="Normal"/>
    <w:link w:val="BodyTextChar"/>
    <w:rsid w:val="006819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932"/>
    <w:rPr>
      <w:rFonts w:ascii="Times New Roman" w:eastAsia="Times New Roman" w:hAnsi="Times New Roman" w:cs="Times New Roman"/>
      <w:sz w:val="24"/>
      <w:lang w:eastAsia="en-US"/>
    </w:rPr>
  </w:style>
  <w:style w:type="paragraph" w:styleId="Footer">
    <w:name w:val="footer"/>
    <w:basedOn w:val="Normal"/>
    <w:link w:val="FooterChar"/>
    <w:rsid w:val="00681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932"/>
    <w:rPr>
      <w:rFonts w:ascii="Times New Roman" w:eastAsia="Times New Roman" w:hAnsi="Times New Roman" w:cs="Times New Roman"/>
      <w:sz w:val="16"/>
      <w:lang w:eastAsia="en-US"/>
    </w:rPr>
  </w:style>
  <w:style w:type="paragraph" w:styleId="ListBullet">
    <w:name w:val="List Bullet"/>
    <w:basedOn w:val="List"/>
    <w:rsid w:val="00681932"/>
    <w:pPr>
      <w:numPr>
        <w:numId w:val="14"/>
      </w:numPr>
      <w:tabs>
        <w:tab w:val="clear" w:pos="340"/>
      </w:tabs>
      <w:spacing w:before="40" w:after="40"/>
    </w:pPr>
  </w:style>
  <w:style w:type="character" w:customStyle="1" w:styleId="SpecialBold">
    <w:name w:val="Special Bold"/>
    <w:basedOn w:val="DefaultParagraphFont"/>
    <w:rsid w:val="00681932"/>
    <w:rPr>
      <w:b/>
      <w:spacing w:val="0"/>
    </w:rPr>
  </w:style>
  <w:style w:type="paragraph" w:styleId="ListBullet2">
    <w:name w:val="List Bullet 2"/>
    <w:basedOn w:val="List2"/>
    <w:rsid w:val="00681932"/>
    <w:pPr>
      <w:numPr>
        <w:numId w:val="15"/>
      </w:numPr>
      <w:tabs>
        <w:tab w:val="clear" w:pos="680"/>
      </w:tabs>
    </w:pPr>
  </w:style>
  <w:style w:type="paragraph" w:customStyle="1" w:styleId="SuperHeading">
    <w:name w:val="SuperHeading"/>
    <w:basedOn w:val="Normal"/>
    <w:rsid w:val="00681932"/>
    <w:pPr>
      <w:spacing w:before="240" w:after="120"/>
      <w:outlineLvl w:val="0"/>
    </w:pPr>
    <w:rPr>
      <w:rFonts w:ascii="Times New Roman" w:hAnsi="Times New Roman"/>
      <w:b/>
      <w:sz w:val="28"/>
    </w:rPr>
  </w:style>
  <w:style w:type="paragraph" w:customStyle="1" w:styleId="AllowPageBreak">
    <w:name w:val="AllowPageBreak"/>
    <w:rsid w:val="006819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1932"/>
    <w:pPr>
      <w:numPr>
        <w:numId w:val="3"/>
      </w:numPr>
      <w:tabs>
        <w:tab w:val="clear" w:pos="1021"/>
      </w:tabs>
      <w:ind w:left="1037" w:hanging="357"/>
    </w:pPr>
  </w:style>
  <w:style w:type="character" w:customStyle="1" w:styleId="Heading2Char">
    <w:name w:val="Heading 2 Char"/>
    <w:basedOn w:val="DefaultParagraphFont"/>
    <w:link w:val="Heading2"/>
    <w:rsid w:val="00681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9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9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932"/>
    <w:rPr>
      <w:rFonts w:ascii="Courier New" w:eastAsia="Times New Roman" w:hAnsi="Courier New" w:cs="Times New Roman"/>
      <w:i/>
      <w:szCs w:val="20"/>
      <w:lang w:eastAsia="en-US"/>
    </w:rPr>
  </w:style>
  <w:style w:type="paragraph" w:customStyle="1" w:styleId="HeadingBase">
    <w:name w:val="Heading Base"/>
    <w:rsid w:val="00681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932"/>
    <w:pPr>
      <w:tabs>
        <w:tab w:val="right" w:leader="dot" w:pos="9072"/>
      </w:tabs>
      <w:ind w:left="567"/>
    </w:pPr>
    <w:rPr>
      <w:szCs w:val="22"/>
    </w:rPr>
  </w:style>
  <w:style w:type="paragraph" w:customStyle="1" w:styleId="TOCBase">
    <w:name w:val="TOC Base"/>
    <w:rsid w:val="00681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932"/>
    <w:pPr>
      <w:tabs>
        <w:tab w:val="right" w:leader="dot" w:pos="9072"/>
      </w:tabs>
      <w:spacing w:before="40" w:after="40"/>
      <w:ind w:left="284"/>
    </w:pPr>
    <w:rPr>
      <w:rFonts w:ascii="Times New Roman" w:hAnsi="Times New Roman"/>
    </w:rPr>
  </w:style>
  <w:style w:type="paragraph" w:styleId="TOC1">
    <w:name w:val="toc 1"/>
    <w:basedOn w:val="TOCBase"/>
    <w:next w:val="Normal"/>
    <w:rsid w:val="006819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932"/>
    <w:pPr>
      <w:spacing w:before="5040"/>
      <w:jc w:val="center"/>
    </w:pPr>
    <w:rPr>
      <w:sz w:val="48"/>
      <w:szCs w:val="72"/>
      <w:lang w:val="en-US"/>
    </w:rPr>
  </w:style>
  <w:style w:type="character" w:customStyle="1" w:styleId="TitleChar">
    <w:name w:val="Title Char"/>
    <w:basedOn w:val="DefaultParagraphFont"/>
    <w:link w:val="Title"/>
    <w:rsid w:val="00681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932"/>
    <w:pPr>
      <w:tabs>
        <w:tab w:val="left" w:pos="3600"/>
        <w:tab w:val="left" w:pos="3958"/>
      </w:tabs>
    </w:pPr>
  </w:style>
  <w:style w:type="paragraph" w:styleId="List">
    <w:name w:val="List"/>
    <w:basedOn w:val="BodyText"/>
    <w:next w:val="BodyText"/>
    <w:rsid w:val="00681932"/>
    <w:pPr>
      <w:tabs>
        <w:tab w:val="left" w:pos="340"/>
      </w:tabs>
      <w:spacing w:before="60" w:after="60"/>
      <w:ind w:left="340" w:hanging="340"/>
    </w:pPr>
  </w:style>
  <w:style w:type="paragraph" w:customStyle="1" w:styleId="Note">
    <w:name w:val="Note"/>
    <w:basedOn w:val="BodyText"/>
    <w:rsid w:val="00681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932"/>
    <w:pPr>
      <w:framePr w:wrap="auto" w:hAnchor="text" w:y="6049"/>
    </w:pPr>
    <w:rPr>
      <w:color w:val="000000"/>
      <w:sz w:val="40"/>
    </w:rPr>
  </w:style>
  <w:style w:type="paragraph" w:customStyle="1" w:styleId="TOCTitle">
    <w:name w:val="TOCTitle"/>
    <w:basedOn w:val="Heading1"/>
    <w:rsid w:val="00681932"/>
    <w:pPr>
      <w:spacing w:after="240"/>
      <w:jc w:val="center"/>
      <w:outlineLvl w:val="9"/>
    </w:pPr>
    <w:rPr>
      <w:caps/>
    </w:rPr>
  </w:style>
  <w:style w:type="paragraph" w:customStyle="1" w:styleId="Version">
    <w:name w:val="Version"/>
    <w:rsid w:val="006819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932"/>
    <w:pPr>
      <w:keepNext w:val="0"/>
      <w:tabs>
        <w:tab w:val="right" w:pos="4176"/>
      </w:tabs>
      <w:ind w:left="198" w:hanging="198"/>
    </w:pPr>
    <w:rPr>
      <w:rFonts w:ascii="Garamond" w:hAnsi="Garamond"/>
    </w:rPr>
  </w:style>
  <w:style w:type="paragraph" w:styleId="IndexHeading">
    <w:name w:val="index heading"/>
    <w:basedOn w:val="Normal"/>
    <w:next w:val="Index1"/>
    <w:semiHidden/>
    <w:rsid w:val="00681932"/>
    <w:pPr>
      <w:spacing w:before="120" w:after="120"/>
    </w:pPr>
    <w:rPr>
      <w:rFonts w:ascii="Arial" w:hAnsi="Arial"/>
      <w:b/>
      <w:color w:val="918585"/>
      <w:sz w:val="24"/>
    </w:rPr>
  </w:style>
  <w:style w:type="paragraph" w:styleId="Header">
    <w:name w:val="header"/>
    <w:basedOn w:val="Normal"/>
    <w:link w:val="HeaderChar"/>
    <w:rsid w:val="00681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932"/>
    <w:rPr>
      <w:rFonts w:ascii="Times New Roman" w:eastAsia="Times New Roman" w:hAnsi="Times New Roman" w:cs="Times New Roman"/>
      <w:sz w:val="16"/>
      <w:szCs w:val="20"/>
      <w:lang w:val="en-GB" w:eastAsia="en-US"/>
    </w:rPr>
  </w:style>
  <w:style w:type="paragraph" w:customStyle="1" w:styleId="Chapter">
    <w:name w:val="Chapter"/>
    <w:basedOn w:val="Normal"/>
    <w:rsid w:val="00681932"/>
    <w:pPr>
      <w:spacing w:before="240"/>
    </w:pPr>
    <w:rPr>
      <w:rFonts w:ascii="Times New Roman" w:hAnsi="Times New Roman"/>
      <w:smallCaps/>
      <w:spacing w:val="80"/>
      <w:sz w:val="28"/>
    </w:rPr>
  </w:style>
  <w:style w:type="paragraph" w:customStyle="1" w:styleId="InChapter">
    <w:name w:val="InChapter"/>
    <w:basedOn w:val="Heading3"/>
    <w:rsid w:val="00681932"/>
    <w:pPr>
      <w:spacing w:after="240"/>
      <w:outlineLvl w:val="9"/>
    </w:pPr>
    <w:rPr>
      <w:noProof/>
    </w:rPr>
  </w:style>
  <w:style w:type="paragraph" w:styleId="Index2">
    <w:name w:val="index 2"/>
    <w:basedOn w:val="Normal"/>
    <w:next w:val="Normal"/>
    <w:semiHidden/>
    <w:rsid w:val="00681932"/>
    <w:pPr>
      <w:tabs>
        <w:tab w:val="right" w:pos="4176"/>
      </w:tabs>
      <w:ind w:left="568" w:hanging="284"/>
    </w:pPr>
    <w:rPr>
      <w:rFonts w:ascii="Garamond" w:hAnsi="Garamond"/>
    </w:rPr>
  </w:style>
  <w:style w:type="paragraph" w:customStyle="1" w:styleId="Byline">
    <w:name w:val="Byline"/>
    <w:rsid w:val="00681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932"/>
    <w:pPr>
      <w:tabs>
        <w:tab w:val="clear" w:pos="3600"/>
        <w:tab w:val="clear" w:pos="3958"/>
      </w:tabs>
      <w:jc w:val="right"/>
    </w:pPr>
  </w:style>
  <w:style w:type="character" w:styleId="Emphasis">
    <w:name w:val="Emphasis"/>
    <w:basedOn w:val="DefaultParagraphFont"/>
    <w:qFormat/>
    <w:rsid w:val="00681932"/>
    <w:rPr>
      <w:i/>
    </w:rPr>
  </w:style>
  <w:style w:type="paragraph" w:styleId="Caption">
    <w:name w:val="caption"/>
    <w:basedOn w:val="BodyText"/>
    <w:next w:val="Normal"/>
    <w:qFormat/>
    <w:rsid w:val="00681932"/>
    <w:pPr>
      <w:framePr w:w="2268" w:hSpace="181" w:vSpace="181" w:wrap="around" w:vAnchor="text" w:hAnchor="page" w:x="1135" w:y="285" w:anchorLock="1"/>
    </w:pPr>
    <w:rPr>
      <w:i/>
    </w:rPr>
  </w:style>
  <w:style w:type="paragraph" w:customStyle="1" w:styleId="MiniTOCTitle">
    <w:name w:val="MiniTOCTitle"/>
    <w:basedOn w:val="Heading4"/>
    <w:rsid w:val="00681932"/>
    <w:pPr>
      <w:spacing w:before="240"/>
      <w:outlineLvl w:val="9"/>
    </w:pPr>
    <w:rPr>
      <w:noProof/>
      <w:sz w:val="24"/>
    </w:rPr>
  </w:style>
  <w:style w:type="paragraph" w:customStyle="1" w:styleId="MiniTOCItem">
    <w:name w:val="MiniTOCItem"/>
    <w:basedOn w:val="ListBullet"/>
    <w:rsid w:val="00681932"/>
    <w:pPr>
      <w:numPr>
        <w:numId w:val="0"/>
      </w:numPr>
      <w:tabs>
        <w:tab w:val="right" w:leader="dot" w:pos="6521"/>
      </w:tabs>
      <w:spacing w:before="0" w:after="0"/>
    </w:pPr>
  </w:style>
  <w:style w:type="paragraph" w:customStyle="1" w:styleId="TOFTitle">
    <w:name w:val="TOFTitle"/>
    <w:basedOn w:val="TOCTitle"/>
    <w:rsid w:val="00681932"/>
  </w:style>
  <w:style w:type="paragraph" w:styleId="TableofFigures">
    <w:name w:val="table of figures"/>
    <w:basedOn w:val="Normal"/>
    <w:next w:val="Normal"/>
    <w:semiHidden/>
    <w:rsid w:val="00681932"/>
    <w:pPr>
      <w:tabs>
        <w:tab w:val="right" w:leader="dot" w:pos="9072"/>
      </w:tabs>
      <w:ind w:left="970" w:hanging="403"/>
    </w:pPr>
    <w:rPr>
      <w:rFonts w:ascii="Times New Roman" w:hAnsi="Times New Roman"/>
      <w:b/>
    </w:rPr>
  </w:style>
  <w:style w:type="paragraph" w:styleId="ListNumber">
    <w:name w:val="List Number"/>
    <w:basedOn w:val="List"/>
    <w:rsid w:val="00681932"/>
    <w:pPr>
      <w:numPr>
        <w:numId w:val="12"/>
      </w:numPr>
    </w:pPr>
  </w:style>
  <w:style w:type="character" w:customStyle="1" w:styleId="WingdingSymbols">
    <w:name w:val="Wingding Symbols"/>
    <w:rsid w:val="00681932"/>
    <w:rPr>
      <w:rFonts w:ascii="Wingdings" w:hAnsi="Wingdings"/>
    </w:rPr>
  </w:style>
  <w:style w:type="paragraph" w:customStyle="1" w:styleId="TableHeading">
    <w:name w:val="Table Heading"/>
    <w:basedOn w:val="HeadingBase"/>
    <w:rsid w:val="00681932"/>
    <w:pPr>
      <w:keepLines/>
      <w:pBdr>
        <w:bottom w:val="single" w:sz="6" w:space="1" w:color="918585"/>
      </w:pBdr>
      <w:spacing w:before="240"/>
    </w:pPr>
  </w:style>
  <w:style w:type="character" w:customStyle="1" w:styleId="HotSpot">
    <w:name w:val="HotSpot"/>
    <w:rsid w:val="00681932"/>
    <w:rPr>
      <w:color w:val="0033CC"/>
      <w:u w:val="none"/>
    </w:rPr>
  </w:style>
  <w:style w:type="paragraph" w:customStyle="1" w:styleId="BodyTextRight">
    <w:name w:val="Body Text Right"/>
    <w:basedOn w:val="BodyText"/>
    <w:rsid w:val="00681932"/>
    <w:pPr>
      <w:spacing w:before="0" w:after="0"/>
      <w:jc w:val="right"/>
    </w:pPr>
  </w:style>
  <w:style w:type="paragraph" w:styleId="Index3">
    <w:name w:val="index 3"/>
    <w:basedOn w:val="ListNumber2"/>
    <w:next w:val="Normal"/>
    <w:semiHidden/>
    <w:rsid w:val="00681932"/>
    <w:pPr>
      <w:numPr>
        <w:numId w:val="0"/>
      </w:numPr>
      <w:tabs>
        <w:tab w:val="right" w:leader="dot" w:pos="4176"/>
      </w:tabs>
    </w:pPr>
  </w:style>
  <w:style w:type="paragraph" w:styleId="ListNumber2">
    <w:name w:val="List Number 2"/>
    <w:basedOn w:val="List2"/>
    <w:rsid w:val="00681932"/>
    <w:pPr>
      <w:numPr>
        <w:numId w:val="11"/>
      </w:numPr>
      <w:tabs>
        <w:tab w:val="clear" w:pos="1060"/>
      </w:tabs>
    </w:pPr>
  </w:style>
  <w:style w:type="paragraph" w:customStyle="1" w:styleId="MarginNote">
    <w:name w:val="Margin Note"/>
    <w:basedOn w:val="BodyText"/>
    <w:rsid w:val="00681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9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932"/>
    <w:rPr>
      <w:sz w:val="32"/>
    </w:rPr>
  </w:style>
  <w:style w:type="paragraph" w:customStyle="1" w:styleId="HeadingProcedure">
    <w:name w:val="Heading Procedure"/>
    <w:basedOn w:val="HeadingBase"/>
    <w:next w:val="Normal"/>
    <w:rsid w:val="00681932"/>
    <w:pPr>
      <w:tabs>
        <w:tab w:val="left" w:pos="0"/>
      </w:tabs>
      <w:spacing w:before="120" w:after="60"/>
    </w:pPr>
    <w:rPr>
      <w:i/>
      <w:color w:val="918585"/>
      <w:sz w:val="22"/>
    </w:rPr>
  </w:style>
  <w:style w:type="paragraph" w:customStyle="1" w:styleId="TableBodyText">
    <w:name w:val="Table Body Text"/>
    <w:basedOn w:val="BodyText"/>
    <w:rsid w:val="00681932"/>
    <w:pPr>
      <w:spacing w:before="60" w:after="60"/>
    </w:pPr>
  </w:style>
  <w:style w:type="paragraph" w:styleId="ListContinue">
    <w:name w:val="List Continue"/>
    <w:basedOn w:val="List"/>
    <w:rsid w:val="00681932"/>
    <w:pPr>
      <w:ind w:firstLine="0"/>
    </w:pPr>
  </w:style>
  <w:style w:type="paragraph" w:customStyle="1" w:styleId="ListNote">
    <w:name w:val="List Note"/>
    <w:basedOn w:val="List"/>
    <w:rsid w:val="00681932"/>
    <w:pPr>
      <w:pBdr>
        <w:top w:val="single" w:sz="6" w:space="2" w:color="918585"/>
        <w:bottom w:val="single" w:sz="6" w:space="2" w:color="918585"/>
      </w:pBdr>
      <w:tabs>
        <w:tab w:val="left" w:pos="1021"/>
      </w:tabs>
      <w:ind w:firstLine="0"/>
    </w:pPr>
  </w:style>
  <w:style w:type="paragraph" w:customStyle="1" w:styleId="Warning">
    <w:name w:val="Warning"/>
    <w:basedOn w:val="BodyText"/>
    <w:rsid w:val="00681932"/>
    <w:pPr>
      <w:shd w:val="clear" w:color="auto" w:fill="D9D9D9"/>
      <w:tabs>
        <w:tab w:val="left" w:pos="992"/>
      </w:tabs>
      <w:ind w:left="119" w:right="119"/>
    </w:pPr>
    <w:rPr>
      <w:sz w:val="20"/>
    </w:rPr>
  </w:style>
  <w:style w:type="paragraph" w:customStyle="1" w:styleId="MarginIcons">
    <w:name w:val="Margin Icons"/>
    <w:basedOn w:val="BodyText"/>
    <w:rsid w:val="00681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932"/>
    <w:rPr>
      <w:rFonts w:ascii="Courier New" w:hAnsi="Courier New"/>
    </w:rPr>
  </w:style>
  <w:style w:type="paragraph" w:customStyle="1" w:styleId="NoteBullet">
    <w:name w:val="Note Bullet"/>
    <w:basedOn w:val="Note"/>
    <w:rsid w:val="00681932"/>
    <w:pPr>
      <w:tabs>
        <w:tab w:val="clear" w:pos="680"/>
      </w:tabs>
      <w:spacing w:before="60" w:after="60"/>
    </w:pPr>
  </w:style>
  <w:style w:type="paragraph" w:customStyle="1" w:styleId="SubHeading2">
    <w:name w:val="SubHeading2"/>
    <w:basedOn w:val="HeadingBase"/>
    <w:rsid w:val="00681932"/>
    <w:pPr>
      <w:spacing w:before="240" w:after="60"/>
    </w:pPr>
    <w:rPr>
      <w:sz w:val="20"/>
    </w:rPr>
  </w:style>
  <w:style w:type="paragraph" w:customStyle="1" w:styleId="SubHeading1">
    <w:name w:val="SubHeading1"/>
    <w:basedOn w:val="HeadingBase"/>
    <w:rsid w:val="00681932"/>
    <w:pPr>
      <w:spacing w:before="240" w:after="60"/>
    </w:pPr>
    <w:rPr>
      <w:color w:val="918585"/>
      <w:sz w:val="22"/>
    </w:rPr>
  </w:style>
  <w:style w:type="paragraph" w:customStyle="1" w:styleId="SideHeading">
    <w:name w:val="Side Heading"/>
    <w:basedOn w:val="HeadingBase"/>
    <w:rsid w:val="00681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932"/>
    <w:pPr>
      <w:numPr>
        <w:numId w:val="13"/>
      </w:numPr>
    </w:pPr>
  </w:style>
  <w:style w:type="paragraph" w:styleId="PlainText">
    <w:name w:val="Plain Text"/>
    <w:basedOn w:val="Normal"/>
    <w:link w:val="PlainTextChar"/>
    <w:rsid w:val="00681932"/>
    <w:rPr>
      <w:sz w:val="20"/>
    </w:rPr>
  </w:style>
  <w:style w:type="character" w:customStyle="1" w:styleId="PlainTextChar">
    <w:name w:val="Plain Text Char"/>
    <w:basedOn w:val="DefaultParagraphFont"/>
    <w:link w:val="PlainText"/>
    <w:rsid w:val="00681932"/>
    <w:rPr>
      <w:rFonts w:ascii="Courier New" w:eastAsia="Times New Roman" w:hAnsi="Courier New" w:cs="Times New Roman"/>
      <w:sz w:val="20"/>
      <w:szCs w:val="20"/>
      <w:lang w:eastAsia="en-US"/>
    </w:rPr>
  </w:style>
  <w:style w:type="character" w:customStyle="1" w:styleId="MenuOption">
    <w:name w:val="Menu Option"/>
    <w:basedOn w:val="DefaultParagraphFont"/>
    <w:rsid w:val="00681932"/>
    <w:rPr>
      <w:b/>
      <w:smallCaps/>
    </w:rPr>
  </w:style>
  <w:style w:type="paragraph" w:customStyle="1" w:styleId="TableListNumber">
    <w:name w:val="Table List Number"/>
    <w:basedOn w:val="ListNumber"/>
    <w:rsid w:val="00681932"/>
    <w:pPr>
      <w:numPr>
        <w:numId w:val="0"/>
      </w:numPr>
    </w:pPr>
  </w:style>
  <w:style w:type="paragraph" w:styleId="TOC4">
    <w:name w:val="toc 4"/>
    <w:basedOn w:val="TOCBase"/>
    <w:next w:val="Normal"/>
    <w:semiHidden/>
    <w:rsid w:val="00681932"/>
    <w:pPr>
      <w:tabs>
        <w:tab w:val="right" w:leader="dot" w:pos="9071"/>
      </w:tabs>
      <w:ind w:left="1701"/>
    </w:pPr>
  </w:style>
  <w:style w:type="paragraph" w:customStyle="1" w:styleId="ListAlpha">
    <w:name w:val="List Alpha"/>
    <w:basedOn w:val="List"/>
    <w:rsid w:val="00681932"/>
    <w:pPr>
      <w:numPr>
        <w:numId w:val="10"/>
      </w:numPr>
    </w:pPr>
  </w:style>
  <w:style w:type="paragraph" w:customStyle="1" w:styleId="ListAlpha2">
    <w:name w:val="List Alpha 2"/>
    <w:basedOn w:val="List2"/>
    <w:rsid w:val="00681932"/>
    <w:pPr>
      <w:numPr>
        <w:numId w:val="9"/>
      </w:numPr>
    </w:pPr>
  </w:style>
  <w:style w:type="paragraph" w:styleId="List2">
    <w:name w:val="List 2"/>
    <w:basedOn w:val="BodyText"/>
    <w:rsid w:val="00681932"/>
    <w:pPr>
      <w:tabs>
        <w:tab w:val="left" w:pos="680"/>
      </w:tabs>
      <w:spacing w:before="60" w:after="60"/>
      <w:ind w:left="680" w:hanging="340"/>
    </w:pPr>
  </w:style>
  <w:style w:type="paragraph" w:styleId="List3">
    <w:name w:val="List 3"/>
    <w:basedOn w:val="BodyText"/>
    <w:rsid w:val="00681932"/>
    <w:pPr>
      <w:tabs>
        <w:tab w:val="left" w:pos="1021"/>
      </w:tabs>
      <w:spacing w:before="60" w:after="60"/>
      <w:ind w:left="1020" w:hanging="340"/>
    </w:pPr>
  </w:style>
  <w:style w:type="paragraph" w:styleId="List4">
    <w:name w:val="List 4"/>
    <w:basedOn w:val="BodyText"/>
    <w:rsid w:val="00681932"/>
    <w:pPr>
      <w:tabs>
        <w:tab w:val="left" w:pos="1361"/>
      </w:tabs>
      <w:spacing w:before="60" w:after="60"/>
      <w:ind w:left="1361" w:hanging="340"/>
    </w:pPr>
  </w:style>
  <w:style w:type="paragraph" w:styleId="List5">
    <w:name w:val="List 5"/>
    <w:basedOn w:val="BodyText"/>
    <w:rsid w:val="00681932"/>
    <w:pPr>
      <w:tabs>
        <w:tab w:val="left" w:pos="1701"/>
      </w:tabs>
      <w:spacing w:before="60" w:after="60"/>
      <w:ind w:left="1701" w:hanging="340"/>
    </w:pPr>
  </w:style>
  <w:style w:type="paragraph" w:styleId="ListBullet4">
    <w:name w:val="List Bullet 4"/>
    <w:basedOn w:val="List4"/>
    <w:rsid w:val="00681932"/>
    <w:pPr>
      <w:numPr>
        <w:numId w:val="4"/>
      </w:numPr>
    </w:pPr>
  </w:style>
  <w:style w:type="paragraph" w:styleId="ListBullet5">
    <w:name w:val="List Bullet 5"/>
    <w:basedOn w:val="List5"/>
    <w:rsid w:val="00681932"/>
    <w:pPr>
      <w:numPr>
        <w:numId w:val="5"/>
      </w:numPr>
    </w:pPr>
  </w:style>
  <w:style w:type="paragraph" w:styleId="ListContinue2">
    <w:name w:val="List Continue 2"/>
    <w:basedOn w:val="List2"/>
    <w:rsid w:val="00681932"/>
    <w:pPr>
      <w:ind w:firstLine="0"/>
    </w:pPr>
  </w:style>
  <w:style w:type="paragraph" w:styleId="ListContinue3">
    <w:name w:val="List Continue 3"/>
    <w:basedOn w:val="List3"/>
    <w:rsid w:val="00681932"/>
    <w:pPr>
      <w:ind w:left="1021" w:firstLine="0"/>
    </w:pPr>
  </w:style>
  <w:style w:type="paragraph" w:styleId="ListContinue4">
    <w:name w:val="List Continue 4"/>
    <w:basedOn w:val="List4"/>
    <w:rsid w:val="00681932"/>
    <w:pPr>
      <w:ind w:firstLine="0"/>
    </w:pPr>
  </w:style>
  <w:style w:type="paragraph" w:styleId="ListContinue5">
    <w:name w:val="List Continue 5"/>
    <w:basedOn w:val="List5"/>
    <w:rsid w:val="00681932"/>
    <w:pPr>
      <w:ind w:firstLine="0"/>
    </w:pPr>
  </w:style>
  <w:style w:type="paragraph" w:styleId="ListNumber3">
    <w:name w:val="List Number 3"/>
    <w:basedOn w:val="List3"/>
    <w:rsid w:val="00681932"/>
    <w:pPr>
      <w:numPr>
        <w:numId w:val="6"/>
      </w:numPr>
    </w:pPr>
  </w:style>
  <w:style w:type="paragraph" w:styleId="ListNumber4">
    <w:name w:val="List Number 4"/>
    <w:basedOn w:val="List4"/>
    <w:rsid w:val="00681932"/>
    <w:pPr>
      <w:numPr>
        <w:numId w:val="7"/>
      </w:numPr>
    </w:pPr>
  </w:style>
  <w:style w:type="paragraph" w:styleId="ListNumber5">
    <w:name w:val="List Number 5"/>
    <w:basedOn w:val="List5"/>
    <w:rsid w:val="00681932"/>
    <w:pPr>
      <w:numPr>
        <w:numId w:val="8"/>
      </w:numPr>
    </w:pPr>
  </w:style>
  <w:style w:type="paragraph" w:styleId="BlockText">
    <w:name w:val="Block Text"/>
    <w:basedOn w:val="Normal"/>
    <w:rsid w:val="00681932"/>
    <w:pPr>
      <w:spacing w:after="120"/>
      <w:ind w:left="1440" w:right="1440"/>
    </w:pPr>
  </w:style>
  <w:style w:type="character" w:customStyle="1" w:styleId="Subscript">
    <w:name w:val="Subscript"/>
    <w:basedOn w:val="DefaultParagraphFont"/>
    <w:rsid w:val="00681932"/>
    <w:rPr>
      <w:sz w:val="16"/>
      <w:vertAlign w:val="subscript"/>
    </w:rPr>
  </w:style>
  <w:style w:type="character" w:customStyle="1" w:styleId="Superscript">
    <w:name w:val="Superscript"/>
    <w:basedOn w:val="DefaultParagraphFont"/>
    <w:rsid w:val="00681932"/>
    <w:rPr>
      <w:sz w:val="16"/>
      <w:vertAlign w:val="superscript"/>
    </w:rPr>
  </w:style>
  <w:style w:type="character" w:customStyle="1" w:styleId="Symbols">
    <w:name w:val="Symbols"/>
    <w:basedOn w:val="DefaultParagraphFont"/>
    <w:rsid w:val="00681932"/>
    <w:rPr>
      <w:rFonts w:ascii="Symbol" w:hAnsi="Symbol"/>
    </w:rPr>
  </w:style>
  <w:style w:type="character" w:customStyle="1" w:styleId="MenuOptions">
    <w:name w:val="Menu Options"/>
    <w:basedOn w:val="DefaultParagraphFont"/>
    <w:rsid w:val="00681932"/>
    <w:rPr>
      <w:rFonts w:ascii="Arial Narrow" w:hAnsi="Arial Narrow"/>
      <w:smallCaps/>
    </w:rPr>
  </w:style>
  <w:style w:type="character" w:customStyle="1" w:styleId="Buttons">
    <w:name w:val="Buttons"/>
    <w:basedOn w:val="DefaultParagraphFont"/>
    <w:rsid w:val="00681932"/>
    <w:rPr>
      <w:b/>
    </w:rPr>
  </w:style>
  <w:style w:type="character" w:customStyle="1" w:styleId="Underlined">
    <w:name w:val="Underlined"/>
    <w:basedOn w:val="DefaultParagraphFont"/>
    <w:rsid w:val="00681932"/>
    <w:rPr>
      <w:u w:val="single"/>
    </w:rPr>
  </w:style>
  <w:style w:type="paragraph" w:customStyle="1" w:styleId="TableBodyTextRight">
    <w:name w:val="Table Body Text Right"/>
    <w:basedOn w:val="TableBodyText"/>
    <w:rsid w:val="00681932"/>
    <w:pPr>
      <w:widowControl w:val="0"/>
      <w:autoSpaceDE w:val="0"/>
      <w:autoSpaceDN w:val="0"/>
      <w:adjustRightInd w:val="0"/>
      <w:jc w:val="right"/>
    </w:pPr>
    <w:rPr>
      <w:rFonts w:cs="Arial"/>
      <w:szCs w:val="18"/>
    </w:rPr>
  </w:style>
  <w:style w:type="paragraph" w:customStyle="1" w:styleId="CopyrightText">
    <w:name w:val="Copyright Text"/>
    <w:basedOn w:val="BodyText"/>
    <w:rsid w:val="00681932"/>
    <w:rPr>
      <w:sz w:val="18"/>
    </w:rPr>
  </w:style>
  <w:style w:type="paragraph" w:customStyle="1" w:styleId="BodySmallRight">
    <w:name w:val="Body Small Right"/>
    <w:basedOn w:val="BodyTextRight"/>
    <w:rsid w:val="00681932"/>
    <w:rPr>
      <w:sz w:val="18"/>
      <w:szCs w:val="18"/>
    </w:rPr>
  </w:style>
  <w:style w:type="paragraph" w:customStyle="1" w:styleId="MarginEdition">
    <w:name w:val="Margin Edition"/>
    <w:basedOn w:val="MarginNote"/>
    <w:rsid w:val="00681932"/>
    <w:pPr>
      <w:spacing w:before="0" w:after="0"/>
    </w:pPr>
    <w:rPr>
      <w:rFonts w:ascii="Times New Roman" w:hAnsi="Times New Roman"/>
      <w:color w:val="999999"/>
    </w:rPr>
  </w:style>
  <w:style w:type="paragraph" w:customStyle="1" w:styleId="Spacer">
    <w:name w:val="Spacer"/>
    <w:basedOn w:val="Normal"/>
    <w:rsid w:val="00681932"/>
    <w:rPr>
      <w:sz w:val="2"/>
      <w:szCs w:val="2"/>
    </w:rPr>
  </w:style>
  <w:style w:type="character" w:customStyle="1" w:styleId="Small">
    <w:name w:val="Small"/>
    <w:basedOn w:val="DefaultParagraphFont"/>
    <w:rsid w:val="00681932"/>
    <w:rPr>
      <w:sz w:val="16"/>
    </w:rPr>
  </w:style>
  <w:style w:type="paragraph" w:customStyle="1" w:styleId="WideTable">
    <w:name w:val="Wide Table"/>
    <w:basedOn w:val="Normal"/>
    <w:rsid w:val="00681932"/>
    <w:pPr>
      <w:ind w:left="-1418"/>
    </w:pPr>
    <w:rPr>
      <w:sz w:val="2"/>
      <w:szCs w:val="2"/>
    </w:rPr>
  </w:style>
  <w:style w:type="character" w:styleId="PageNumber">
    <w:name w:val="page number"/>
    <w:basedOn w:val="DefaultParagraphFont"/>
    <w:rsid w:val="00681932"/>
  </w:style>
  <w:style w:type="paragraph" w:styleId="Quote">
    <w:name w:val="Quote"/>
    <w:basedOn w:val="Heading1"/>
    <w:link w:val="QuoteChar"/>
    <w:qFormat/>
    <w:rsid w:val="00681932"/>
    <w:rPr>
      <w:b w:val="0"/>
      <w:sz w:val="72"/>
      <w:szCs w:val="72"/>
      <w:lang w:val="en-NZ"/>
    </w:rPr>
  </w:style>
  <w:style w:type="character" w:customStyle="1" w:styleId="QuoteChar">
    <w:name w:val="Quote Char"/>
    <w:basedOn w:val="DefaultParagraphFont"/>
    <w:link w:val="Quote"/>
    <w:rsid w:val="00681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932"/>
    <w:pPr>
      <w:pageBreakBefore/>
    </w:pPr>
  </w:style>
  <w:style w:type="paragraph" w:customStyle="1" w:styleId="Border">
    <w:name w:val="Border"/>
    <w:basedOn w:val="Normal"/>
    <w:qFormat/>
    <w:rsid w:val="00681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932"/>
    <w:rPr>
      <w:b/>
      <w:bCs/>
      <w:i/>
      <w:iCs/>
      <w:color w:val="auto"/>
    </w:rPr>
  </w:style>
  <w:style w:type="paragraph" w:styleId="IntenseQuote">
    <w:name w:val="Intense Quote"/>
    <w:basedOn w:val="Normal"/>
    <w:next w:val="Normal"/>
    <w:link w:val="IntenseQuoteChar"/>
    <w:uiPriority w:val="30"/>
    <w:qFormat/>
    <w:rsid w:val="00681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9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932"/>
    <w:rPr>
      <w:smallCaps/>
      <w:color w:val="auto"/>
      <w:u w:val="single"/>
    </w:rPr>
  </w:style>
  <w:style w:type="character" w:styleId="IntenseReference">
    <w:name w:val="Intense Reference"/>
    <w:basedOn w:val="DefaultParagraphFont"/>
    <w:uiPriority w:val="32"/>
    <w:qFormat/>
    <w:rsid w:val="00681932"/>
    <w:rPr>
      <w:b/>
      <w:bCs/>
      <w:smallCaps/>
      <w:color w:val="auto"/>
      <w:spacing w:val="5"/>
      <w:u w:val="single"/>
    </w:rPr>
  </w:style>
  <w:style w:type="paragraph" w:customStyle="1" w:styleId="2ColumnHeading">
    <w:name w:val="2Column Heading"/>
    <w:basedOn w:val="BodyText"/>
    <w:qFormat/>
    <w:rsid w:val="00681932"/>
    <w:pPr>
      <w:spacing w:after="60"/>
      <w:ind w:left="-2268"/>
    </w:pPr>
    <w:rPr>
      <w:b/>
    </w:rPr>
  </w:style>
  <w:style w:type="paragraph" w:customStyle="1" w:styleId="Heading1TOC">
    <w:name w:val="Heading1 TOC"/>
    <w:basedOn w:val="Normal"/>
    <w:qFormat/>
    <w:rsid w:val="00681932"/>
    <w:pPr>
      <w:spacing w:before="240" w:after="120"/>
    </w:pPr>
    <w:rPr>
      <w:rFonts w:ascii="Times New Roman" w:hAnsi="Times New Roman"/>
      <w:b/>
      <w:sz w:val="32"/>
    </w:rPr>
  </w:style>
  <w:style w:type="paragraph" w:customStyle="1" w:styleId="Heading2TOC">
    <w:name w:val="Heading2 TOC"/>
    <w:basedOn w:val="Normal"/>
    <w:qFormat/>
    <w:rsid w:val="00681932"/>
    <w:pPr>
      <w:spacing w:before="240" w:after="60"/>
    </w:pPr>
    <w:rPr>
      <w:rFonts w:ascii="Times New Roman" w:hAnsi="Times New Roman"/>
      <w:b/>
      <w:sz w:val="28"/>
    </w:rPr>
  </w:style>
  <w:style w:type="character" w:customStyle="1" w:styleId="Underline">
    <w:name w:val="Underline"/>
    <w:basedOn w:val="DefaultParagraphFont"/>
    <w:qFormat/>
    <w:rsid w:val="00681932"/>
    <w:rPr>
      <w:u w:val="single"/>
    </w:rPr>
  </w:style>
  <w:style w:type="character" w:customStyle="1" w:styleId="BoldandItalics">
    <w:name w:val="Bold and Italics"/>
    <w:qFormat/>
    <w:rsid w:val="00681932"/>
    <w:rPr>
      <w:b/>
      <w:i/>
      <w:u w:val="none"/>
    </w:rPr>
  </w:style>
  <w:style w:type="paragraph" w:styleId="BalloonText">
    <w:name w:val="Balloon Text"/>
    <w:basedOn w:val="Normal"/>
    <w:link w:val="BalloonTextChar"/>
    <w:rsid w:val="00681932"/>
    <w:rPr>
      <w:rFonts w:ascii="Tahoma" w:hAnsi="Tahoma" w:cs="Tahoma"/>
      <w:sz w:val="16"/>
      <w:szCs w:val="16"/>
    </w:rPr>
  </w:style>
  <w:style w:type="character" w:customStyle="1" w:styleId="BalloonTextChar">
    <w:name w:val="Balloon Text Char"/>
    <w:basedOn w:val="DefaultParagraphFont"/>
    <w:link w:val="BalloonText"/>
    <w:rsid w:val="006819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9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9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932"/>
    <w:rPr>
      <w:b/>
      <w:color w:val="660033"/>
      <w:spacing w:val="0"/>
    </w:rPr>
  </w:style>
  <w:style w:type="paragraph" w:customStyle="1" w:styleId="Nameditemlist">
    <w:name w:val="Named item list"/>
    <w:basedOn w:val="BodyText"/>
    <w:qFormat/>
    <w:rsid w:val="006819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2010</Words>
  <Characters>12256</Characters>
  <Application>Microsoft Office Word</Application>
  <DocSecurity>0</DocSecurity>
  <Lines>448</Lines>
  <Paragraphs>197</Paragraphs>
  <ScaleCrop>false</ScaleCrop>
  <Company>Author-it Software Corporation Ltd.</Company>
  <LinksUpToDate>false</LinksUpToDate>
  <CharactersWithSpaces>14148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UEENEEH115A Develop software solutions for microcontroller based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2012-10-11T18:26:00Z</dcterms:created>
  <dcterms:modified xsi:type="dcterms:W3CDTF">2012-10-11T18:26:00Z</dcterms:modified>
</cp:coreProperties>
</file>