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264" w:rsidP="00012264">
      <w:pPr>
        <w:pStyle w:val="Title"/>
      </w:pPr>
      <w:r>
        <w:fldChar w:fldCharType="begin"/>
      </w:r>
      <w:r>
        <w:instrText xml:space="preserve"> TITLE   \* MERGEFORMAT </w:instrText>
      </w:r>
      <w:r>
        <w:fldChar w:fldCharType="separate"/>
      </w:r>
      <w:r>
        <w:t>UEENEEH112A Troubleshoot digital sub-systems</w:t>
      </w:r>
      <w:r>
        <w:fldChar w:fldCharType="end"/>
      </w:r>
    </w:p>
    <w:p w:rsidR="00012264" w:rsidP="00012264">
      <w:pPr>
        <w:pStyle w:val="Version"/>
        <w:sectPr w:rsidSect="006C74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7496" w:rsidP="006C7496">
      <w:pPr>
        <w:pStyle w:val="SuperHeading"/>
      </w:pPr>
      <w:r w:rsidRPr="006C7496">
        <w:t>UEENEEH112A Troubleshoot digital sub-systems</w:t>
      </w:r>
    </w:p>
    <w:p w:rsidR="00000000" w:rsidRPr="006C7496" w:rsidP="006C7496">
      <w:pPr>
        <w:pStyle w:val="Heading1"/>
      </w:pPr>
      <w:bookmarkStart w:id="1" w:name="O_587047"/>
      <w:bookmarkEnd w:id="1"/>
      <w:r w:rsidRPr="006C7496">
        <w:t>Modification History</w:t>
      </w:r>
    </w:p>
    <w:p w:rsidR="00000000" w:rsidRPr="006C7496" w:rsidP="006C7496">
      <w:pPr>
        <w:pStyle w:val="BodyText"/>
      </w:pPr>
      <w:r w:rsidRPr="006C7496">
        <w:t>Not applicable.</w:t>
      </w:r>
    </w:p>
    <w:p w:rsidR="00000000" w:rsidRPr="006C7496" w:rsidP="006C7496">
      <w:pPr>
        <w:pStyle w:val="AllowPageBreak"/>
      </w:pPr>
    </w:p>
    <w:p w:rsidR="00000000" w:rsidRPr="006C7496" w:rsidP="006C7496">
      <w:pPr>
        <w:pStyle w:val="Heading1"/>
      </w:pPr>
      <w:bookmarkStart w:id="2" w:name="O_587046"/>
      <w:bookmarkEnd w:id="2"/>
      <w:r w:rsidRPr="006C7496">
        <w:t>Unit Descriptor</w:t>
      </w:r>
    </w:p>
    <w:tbl>
      <w:tblPr>
        <w:tblW w:w="0" w:type="auto"/>
        <w:tblLayout w:type="fixed"/>
        <w:tblCellMar>
          <w:left w:w="62" w:type="dxa"/>
          <w:right w:w="62" w:type="dxa"/>
        </w:tblCellMar>
        <w:tblLook w:val="0000"/>
      </w:tblPr>
      <w:tblGrid>
        <w:gridCol w:w="2700"/>
        <w:gridCol w:w="5760"/>
      </w:tblGrid>
      <w:tr w:rsidTr="000122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1)</w:t>
            </w:r>
            <w:r w:rsidRPr="006C7496">
              <w:t xml:space="preserve"> </w:t>
            </w:r>
            <w:r w:rsidRPr="006C7496">
              <w:rPr>
                <w:rStyle w:val="SpecialBold"/>
              </w:rPr>
              <w:t>Scope:</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749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1.1) Descriptor</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 xml:space="preserve">This unit covers determining correct operation of digital sub-systems. It encompasses working safely, problem solving procedures, including </w:t>
            </w:r>
            <w:r w:rsidRPr="006C7496">
              <w:t>the use of voltage, current and resistance measuring devices, providing solutions derived from measurements and calculations to predictable problems in digital components circuits.</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3" w:name="O_587045"/>
      <w:bookmarkEnd w:id="3"/>
      <w:r w:rsidRPr="006C7496">
        <w:t>Application of the Unit</w:t>
      </w:r>
    </w:p>
    <w:tbl>
      <w:tblPr>
        <w:tblW w:w="0" w:type="auto"/>
        <w:tblLayout w:type="fixed"/>
        <w:tblCellMar>
          <w:left w:w="62" w:type="dxa"/>
          <w:right w:w="62" w:type="dxa"/>
        </w:tblCellMar>
        <w:tblLook w:val="0000"/>
      </w:tblPr>
      <w:tblGrid>
        <w:gridCol w:w="2672"/>
        <w:gridCol w:w="5699"/>
      </w:tblGrid>
      <w:tr w:rsidTr="000122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2)</w:t>
            </w:r>
          </w:p>
        </w:tc>
      </w:tr>
      <w:tr w:rsidTr="0001226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This competency standard unit is intended for development of competency in either entry-level employment based programs incorporated in approved contracts of training or other approved training programs. It may also be used to augment formally acquired com</w:t>
            </w:r>
            <w:r w:rsidRPr="006C7496">
              <w:t>petencies.</w:t>
            </w:r>
          </w:p>
          <w:p w:rsidR="00000000" w:rsidRPr="006C7496" w:rsidP="006C7496">
            <w:pPr>
              <w:pStyle w:val="BodyText"/>
            </w:pPr>
            <w:r w:rsidRPr="006C7496">
              <w:t>This unit is intended to apply to any recognised development program that leads to the acquisition of a formal award at AQF level 3 or higher.</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4" w:name="O_587044"/>
      <w:bookmarkEnd w:id="4"/>
      <w:r w:rsidRPr="006C7496">
        <w:t>Licensing/Regulatory Information</w:t>
      </w:r>
    </w:p>
    <w:tbl>
      <w:tblPr>
        <w:tblW w:w="0" w:type="auto"/>
        <w:tblLayout w:type="fixed"/>
        <w:tblCellMar>
          <w:left w:w="62" w:type="dxa"/>
          <w:right w:w="62" w:type="dxa"/>
        </w:tblCellMar>
        <w:tblLook w:val="0000"/>
      </w:tblPr>
      <w:tblGrid>
        <w:gridCol w:w="2700"/>
        <w:gridCol w:w="5760"/>
      </w:tblGrid>
      <w:tr w:rsidTr="000122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 xml:space="preserve">3) </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 xml:space="preserve">The skills and knowledge described in this unit do not require a license to practice in the workplace provided equipment is not connected to installation wiring at voltage above 50 V a.c. or 120 V d.c. However other </w:t>
            </w:r>
            <w:r w:rsidRPr="006C7496">
              <w:t>conditions may apply in some States/Terr</w:t>
            </w:r>
            <w:r w:rsidRPr="006C7496">
              <w:t xml:space="preserve">itories subject to regulations related to electrical work. </w:t>
            </w:r>
          </w:p>
          <w:p w:rsidR="00000000" w:rsidRPr="006C7496" w:rsidP="006C7496">
            <w:pPr>
              <w:pStyle w:val="BodyText"/>
            </w:pPr>
            <w:r w:rsidRPr="006C7496">
              <w:t>Practice in the workplace and during training is also subject to regulations directly related to occupational health and safety and where applicable contracts of training such as apprenticeships.</w:t>
            </w:r>
          </w:p>
          <w:p w:rsidR="00000000" w:rsidRPr="006C7496" w:rsidP="006C7496">
            <w:pPr>
              <w:pStyle w:val="BodyText"/>
            </w:pPr>
            <w:r w:rsidRPr="006C7496">
              <w:t xml:space="preserve">Note: </w:t>
            </w:r>
          </w:p>
          <w:p w:rsidR="00000000" w:rsidRPr="006C7496" w:rsidP="006C7496">
            <w:pPr>
              <w:pStyle w:val="BodyText"/>
            </w:pPr>
            <w:r w:rsidRPr="006C7496">
              <w:t>1. Compliance with permits may be required in various jurisdictions and typically relates to the operation of plant, machinery and equipment such as elevating work platforms, powder operated fixing tools, power operated tools, vehicles, road signage</w:t>
            </w:r>
            <w:r w:rsidRPr="006C7496">
              <w:t xml:space="preserve"> and traffic control, lifting equipment and the like. Permits may also be required for some work environments such as confined spaces, working aloft, near live electrical apparatus and site rehabilitation.</w:t>
            </w:r>
          </w:p>
          <w:p w:rsidR="00000000" w:rsidRPr="006C7496" w:rsidP="006C7496">
            <w:pPr>
              <w:pStyle w:val="BodyText"/>
            </w:pPr>
            <w:r w:rsidRPr="006C7496">
              <w:t>2. Compliance may be required in various jurisdict</w:t>
            </w:r>
            <w:r w:rsidRPr="006C7496">
              <w:t>ions relating to currency in First Aid, confined space, lifting and risk safety measures.</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5" w:name="O_587043"/>
      <w:bookmarkEnd w:id="5"/>
      <w:r w:rsidRPr="006C7496">
        <w:t>Pre-Requisites</w:t>
      </w:r>
    </w:p>
    <w:tbl>
      <w:tblPr>
        <w:tblW w:w="0" w:type="auto"/>
        <w:tblLayout w:type="fixed"/>
        <w:tblCellMar>
          <w:left w:w="62" w:type="dxa"/>
          <w:right w:w="62" w:type="dxa"/>
        </w:tblCellMar>
        <w:tblLook w:val="0000"/>
      </w:tblPr>
      <w:tblGrid>
        <w:gridCol w:w="2700"/>
        <w:gridCol w:w="1440"/>
        <w:gridCol w:w="4320"/>
      </w:tblGrid>
      <w:tr w:rsidTr="000122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 xml:space="preserve">4) </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4.1)</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Granting competency in this unit shall be made only after competency in the follo</w:t>
            </w:r>
            <w:r w:rsidRPr="006C7496">
              <w:t>wing unit(s) has/have been confirmed.</w:t>
            </w:r>
          </w:p>
        </w:tc>
      </w:tr>
      <w:tr w:rsidTr="0001226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UEENEEE101A</w:t>
            </w:r>
          </w:p>
        </w:tc>
        <w:tc>
          <w:tcPr>
            <w:tcW w:w="432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Apply Occupational Health and Safety regulations, codes and practices in the workplace</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UEENEEH102A</w:t>
            </w:r>
          </w:p>
        </w:tc>
        <w:tc>
          <w:tcPr>
            <w:tcW w:w="432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 xml:space="preserve">Repair basic electronic apparatus faults by replacement of components </w:t>
            </w:r>
          </w:p>
        </w:tc>
      </w:tr>
    </w:tbl>
    <w:p w:rsidR="00000000" w:rsidRPr="006C7496" w:rsidP="006C749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1226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 xml:space="preserve">4.2) </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 xml:space="preserve">Participants are best equipped to achieve competency in </w:t>
            </w:r>
            <w:r w:rsidRPr="006C7496">
              <w:t>this unit if they have reading, writing and numeracy skills indicated by the following scales. Description of each scale is given in Volume 2, Part 3 ‘Literacy and Numeracy’</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Reading</w:t>
            </w:r>
          </w:p>
        </w:tc>
        <w:tc>
          <w:tcPr>
            <w:tcW w:w="81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3</w:t>
            </w:r>
          </w:p>
        </w:tc>
        <w:tc>
          <w:tcPr>
            <w:tcW w:w="99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Writing</w:t>
            </w:r>
          </w:p>
        </w:tc>
        <w:tc>
          <w:tcPr>
            <w:tcW w:w="90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3</w:t>
            </w:r>
          </w:p>
        </w:tc>
        <w:tc>
          <w:tcPr>
            <w:tcW w:w="12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Numeracy</w:t>
            </w:r>
          </w:p>
        </w:tc>
        <w:tc>
          <w:tcPr>
            <w:tcW w:w="72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3</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6" w:name="O_587042"/>
      <w:bookmarkEnd w:id="6"/>
      <w:r w:rsidRPr="006C7496">
        <w:t>Employability Skills Information</w:t>
      </w:r>
    </w:p>
    <w:tbl>
      <w:tblPr>
        <w:tblW w:w="0" w:type="auto"/>
        <w:tblLayout w:type="fixed"/>
        <w:tblCellMar>
          <w:left w:w="62" w:type="dxa"/>
          <w:right w:w="62" w:type="dxa"/>
        </w:tblCellMar>
        <w:tblLook w:val="0000"/>
      </w:tblPr>
      <w:tblGrid>
        <w:gridCol w:w="2700"/>
        <w:gridCol w:w="5760"/>
      </w:tblGrid>
      <w:tr w:rsidTr="000122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 xml:space="preserve">5) </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This unit contains Employability Skills</w:t>
            </w:r>
          </w:p>
          <w:p w:rsidR="00000000" w:rsidRPr="006C7496" w:rsidP="006C7496">
            <w:pPr>
              <w:pStyle w:val="BodyText"/>
            </w:pPr>
            <w:r w:rsidRPr="006C749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C7496">
              <w:t>requirements.</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7" w:name="O_587041"/>
      <w:bookmarkEnd w:id="7"/>
      <w:r w:rsidRPr="006C7496">
        <w:t>Elements and Performance Criteria Pre-Content</w:t>
      </w:r>
    </w:p>
    <w:tbl>
      <w:tblPr>
        <w:tblW w:w="0" w:type="auto"/>
        <w:tblLayout w:type="fixed"/>
        <w:tblCellMar>
          <w:left w:w="62" w:type="dxa"/>
          <w:right w:w="62" w:type="dxa"/>
        </w:tblCellMar>
        <w:tblLook w:val="0000"/>
      </w:tblPr>
      <w:tblGrid>
        <w:gridCol w:w="2700"/>
        <w:gridCol w:w="5760"/>
      </w:tblGrid>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6)</w:t>
            </w:r>
            <w:r w:rsidRPr="006C749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Performance Criteria describe the required performance needed to demonstrate achievement of the element</w:t>
            </w:r>
            <w:r w:rsidRPr="006C7496">
              <w:t>. Assessment of performance is to be consistent with the Evidence Guide.</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8" w:name="O_587040"/>
      <w:bookmarkEnd w:id="8"/>
      <w:r w:rsidRPr="006C7496">
        <w:t>Elements and Performance Criteria</w:t>
      </w:r>
    </w:p>
    <w:tbl>
      <w:tblPr>
        <w:tblW w:w="0" w:type="auto"/>
        <w:tblLayout w:type="fixed"/>
        <w:tblCellMar>
          <w:left w:w="62" w:type="dxa"/>
          <w:right w:w="62" w:type="dxa"/>
        </w:tblCellMar>
        <w:tblLook w:val="0000"/>
      </w:tblPr>
      <w:tblGrid>
        <w:gridCol w:w="424"/>
        <w:gridCol w:w="2120"/>
        <w:gridCol w:w="156"/>
        <w:gridCol w:w="692"/>
        <w:gridCol w:w="4579"/>
        <w:gridCol w:w="489"/>
      </w:tblGrid>
      <w:tr w:rsidTr="00012264">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PERFORMANCE CRITERIA</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1</w:t>
            </w:r>
          </w:p>
        </w:tc>
        <w:tc>
          <w:tcPr>
            <w:tcW w:w="2120" w:type="dxa"/>
            <w:vMerge w:val="restart"/>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Prepare to troubleshoot digital sub-systems.</w:t>
            </w: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1.1</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OHS procedures for a given work area are obtained and understood.</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1.2</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OHS risk control work preparation measures and procedures are followed.</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1.3</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The</w:t>
            </w:r>
            <w:r w:rsidRPr="006C7496">
              <w:t xml:space="preserve"> nature of the fault is obtained from documentation or from work supervisor to establish the scope of work to be undertaken.</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1.4</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 xml:space="preserve">Advice is sought from the work supervisor to ensure the work is co-ordinated effectively with others. </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1.5</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Sources of materials that may be required for the work are established in accordance with established procedures.</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1.6</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Tools, equipment and testing devices needed to carry out the work are obtained and checked for correct operation and safety.</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2</w:t>
            </w:r>
          </w:p>
        </w:tc>
        <w:tc>
          <w:tcPr>
            <w:tcW w:w="2120" w:type="dxa"/>
            <w:vMerge w:val="restart"/>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Troubl</w:t>
            </w:r>
            <w:r w:rsidRPr="006C7496">
              <w:t>eshoot digital sub-systems.</w:t>
            </w: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2.1</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OHS risk control work measures and procedures are followed.</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2.2</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 xml:space="preserve">The need to test or measure live is determined in strict accordance with OHS requirements and when necessary conducted within established safety </w:t>
            </w:r>
            <w:r w:rsidRPr="006C7496">
              <w:t>procedures.</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2.3</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Circuits are checked as being isolated where necessary in strict accordance OHS requirements and procedures.</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2.4</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Fault finding is approached methodically drawing on knowledge of digital components using measured and calculated values of parameters.</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2.5</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Unexpected situations are dealt with safely and with the approval of an authorised person.</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2.6</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Fault finding activities are carried out efficiently without unnecessary waste of materials or damage to apparatus and the surrounding environment or services and using sustainable energy practices.</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3</w:t>
            </w:r>
          </w:p>
        </w:tc>
        <w:tc>
          <w:tcPr>
            <w:tcW w:w="2120" w:type="dxa"/>
            <w:vMerge w:val="restart"/>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Complete work and document troubleshooting activities.</w:t>
            </w: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3.1</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OHS work completion risk control measures and procedures are followed.</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3.2</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Work site is cleaned and made safe in accordance with established procedures.</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3.3</w:t>
            </w:r>
          </w:p>
        </w:tc>
        <w:tc>
          <w:tcPr>
            <w:tcW w:w="4579"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Justification for solutions used to troubleshooting problems is documented.</w:t>
            </w:r>
          </w:p>
        </w:tc>
      </w:tr>
      <w:tr w:rsidTr="00012264">
        <w:tblPrEx>
          <w:tblW w:w="0" w:type="auto"/>
          <w:tblLayout w:type="fixed"/>
          <w:tblCellMar>
            <w:left w:w="62" w:type="dxa"/>
            <w:right w:w="62" w:type="dxa"/>
          </w:tblCellMar>
          <w:tblLook w:val="0000"/>
        </w:tblPrEx>
        <w:trPr>
          <w:gridAfter w:val="1"/>
          <w:wAfter w:w="489" w:type="dxa"/>
        </w:trPr>
        <w:tc>
          <w:tcPr>
            <w:tcW w:w="4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8"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3.4</w:t>
            </w:r>
          </w:p>
        </w:tc>
        <w:tc>
          <w:tcPr>
            <w:tcW w:w="4579"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Work completion is documented and an appropriate person or persons notified in accordance with established procedures.</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9" w:name="O_587039"/>
      <w:bookmarkEnd w:id="9"/>
      <w:r w:rsidRPr="006C7496">
        <w:t>Required Skills and Knowledge</w:t>
      </w:r>
    </w:p>
    <w:tbl>
      <w:tblPr>
        <w:tblW w:w="0" w:type="auto"/>
        <w:tblLayout w:type="fixed"/>
        <w:tblCellMar>
          <w:left w:w="62" w:type="dxa"/>
          <w:right w:w="62" w:type="dxa"/>
        </w:tblCellMar>
        <w:tblLook w:val="0000"/>
      </w:tblPr>
      <w:tblGrid>
        <w:gridCol w:w="8460"/>
      </w:tblGrid>
      <w:tr w:rsidTr="000122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REQUIRED SKILLS AND KNOWLEDGE</w:t>
            </w:r>
          </w:p>
        </w:tc>
      </w:tr>
      <w:tr w:rsidTr="0001226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8)</w:t>
            </w:r>
            <w:r w:rsidRPr="006C7496">
              <w:t xml:space="preserve"> This describes the essential skills and knowledge and their level, required for this unit.</w:t>
            </w:r>
          </w:p>
          <w:p w:rsidR="00000000" w:rsidRPr="006C7496" w:rsidP="006C7496">
            <w:pPr>
              <w:pStyle w:val="BodyText"/>
            </w:pPr>
            <w:r w:rsidRPr="006C7496">
              <w:t>Evidence shall show that knowledge has been acquired of safe working practices and troubleshooting digital subsystems.</w:t>
            </w:r>
          </w:p>
          <w:p w:rsidR="00000000" w:rsidRPr="006C7496" w:rsidP="006C7496">
            <w:pPr>
              <w:pStyle w:val="BodyText"/>
            </w:pPr>
            <w:r w:rsidRPr="006C7496">
              <w:t>All knowledge and skills detailed in this uni</w:t>
            </w:r>
            <w:r w:rsidRPr="006C7496">
              <w:t>t should be contextualised to current industry practices and technologies.</w:t>
            </w:r>
          </w:p>
          <w:p w:rsidR="00000000" w:rsidRPr="006C7496" w:rsidP="006C7496">
            <w:pPr>
              <w:pStyle w:val="BodyText"/>
            </w:pPr>
            <w:r w:rsidRPr="006C7496">
              <w:rPr>
                <w:rStyle w:val="SpecialBold"/>
              </w:rPr>
              <w:t>KS01-EH112A</w:t>
            </w:r>
            <w:r w:rsidRPr="006C7496">
              <w:rPr>
                <w:rStyle w:val="SpecialBold"/>
              </w:rPr>
              <w:tab/>
              <w:t xml:space="preserve">              Digital sub-system</w:t>
            </w:r>
          </w:p>
          <w:p w:rsidR="00000000" w:rsidRPr="006C7496" w:rsidP="006C7496">
            <w:pPr>
              <w:pStyle w:val="BodyText"/>
            </w:pPr>
            <w:r w:rsidRPr="006C7496">
              <w:t>Evidence shall show an understanding of digital sub-system troubleshooting, applying safe working practices and relevant Standards, Code</w:t>
            </w:r>
            <w:r w:rsidRPr="006C7496">
              <w:t>s and Regulations to an extent indicated by the following aspects:</w:t>
            </w:r>
          </w:p>
          <w:p w:rsidR="00000000" w:rsidRPr="006C7496" w:rsidP="006C7496">
            <w:pPr>
              <w:pStyle w:val="BodyText"/>
            </w:pPr>
            <w:r w:rsidRPr="006C7496">
              <w:t>T1.</w:t>
            </w:r>
            <w:r w:rsidRPr="006C7496">
              <w:tab/>
              <w:t>Analogue and digital signals</w:t>
            </w:r>
          </w:p>
          <w:p w:rsidR="00000000" w:rsidRPr="006C7496" w:rsidP="006C7496">
            <w:pPr>
              <w:pStyle w:val="ListBullet"/>
            </w:pPr>
            <w:r w:rsidRPr="006C7496">
              <w:t>Comparison between analogue and digital signals</w:t>
            </w:r>
          </w:p>
          <w:p w:rsidR="00000000" w:rsidRPr="006C7496" w:rsidP="006C7496">
            <w:pPr>
              <w:pStyle w:val="ListBullet"/>
            </w:pPr>
            <w:r w:rsidRPr="006C7496">
              <w:t>Observing digital and analogue waveforms</w:t>
            </w:r>
          </w:p>
          <w:p w:rsidR="00000000" w:rsidRPr="006C7496" w:rsidP="006C7496">
            <w:pPr>
              <w:pStyle w:val="BodyText"/>
            </w:pPr>
            <w:r w:rsidRPr="006C7496">
              <w:t>T2.</w:t>
            </w:r>
            <w:r w:rsidRPr="006C7496">
              <w:tab/>
              <w:t>Numbering systems</w:t>
            </w:r>
          </w:p>
          <w:p w:rsidR="00000000" w:rsidRPr="006C7496" w:rsidP="006C7496">
            <w:pPr>
              <w:pStyle w:val="ListBullet"/>
            </w:pPr>
            <w:r w:rsidRPr="006C7496">
              <w:t>The binary number system</w:t>
            </w:r>
          </w:p>
          <w:p w:rsidR="00000000" w:rsidRPr="006C7496" w:rsidP="006C7496">
            <w:pPr>
              <w:pStyle w:val="ListBullet"/>
            </w:pPr>
            <w:r w:rsidRPr="006C7496">
              <w:t>The hexadecimal number system</w:t>
            </w:r>
          </w:p>
          <w:p w:rsidR="00000000" w:rsidRPr="006C7496" w:rsidP="006C7496">
            <w:pPr>
              <w:pStyle w:val="ListBullet"/>
            </w:pPr>
            <w:r w:rsidRPr="006C7496">
              <w:t>Binary addition and subtraction</w:t>
            </w:r>
          </w:p>
          <w:p w:rsidR="00000000" w:rsidRPr="006C7496" w:rsidP="006C7496">
            <w:pPr>
              <w:pStyle w:val="BodyText"/>
            </w:pPr>
            <w:r w:rsidRPr="006C7496">
              <w:t>T3.</w:t>
            </w:r>
            <w:r w:rsidRPr="006C7496">
              <w:tab/>
              <w:t>Numbering systems - conversions</w:t>
            </w:r>
          </w:p>
          <w:p w:rsidR="00000000" w:rsidRPr="006C7496" w:rsidP="006C7496">
            <w:pPr>
              <w:pStyle w:val="ListBullet"/>
            </w:pPr>
            <w:r w:rsidRPr="006C7496">
              <w:t>Conversion between numbering systems</w:t>
            </w:r>
          </w:p>
          <w:p w:rsidR="00000000" w:rsidRPr="006C7496" w:rsidP="006C7496">
            <w:pPr>
              <w:pStyle w:val="ListBullet"/>
            </w:pPr>
            <w:r w:rsidRPr="006C7496">
              <w:t>Binary Coded Decimal (BCD)</w:t>
            </w:r>
          </w:p>
          <w:p w:rsidR="00000000" w:rsidRPr="006C7496" w:rsidP="006C7496">
            <w:pPr>
              <w:pStyle w:val="ListBullet"/>
            </w:pPr>
            <w:r w:rsidRPr="006C7496">
              <w:t>Gray code</w:t>
            </w:r>
          </w:p>
          <w:p w:rsidR="00000000" w:rsidRPr="006C7496" w:rsidP="006C7496">
            <w:pPr>
              <w:pStyle w:val="ListBullet"/>
            </w:pPr>
            <w:r w:rsidRPr="006C7496">
              <w:t>The American Standard Code for Information Interchange (ASCII)</w:t>
            </w:r>
          </w:p>
          <w:p w:rsidR="00000000" w:rsidRPr="006C7496" w:rsidP="006C7496">
            <w:pPr>
              <w:pStyle w:val="ListBullet"/>
            </w:pPr>
            <w:r w:rsidRPr="006C7496">
              <w:t>Unicode</w:t>
            </w:r>
          </w:p>
          <w:p w:rsidR="00000000" w:rsidRPr="006C7496" w:rsidP="006C7496">
            <w:pPr>
              <w:pStyle w:val="BodyText"/>
            </w:pPr>
            <w:r w:rsidRPr="006C7496">
              <w:t>T4.</w:t>
            </w:r>
            <w:r w:rsidRPr="006C7496">
              <w:tab/>
              <w:t>Combinat</w:t>
            </w:r>
            <w:r w:rsidRPr="006C7496">
              <w:t>ional logic circuits</w:t>
            </w:r>
          </w:p>
          <w:p w:rsidR="00000000" w:rsidRPr="006C7496" w:rsidP="006C7496">
            <w:pPr>
              <w:pStyle w:val="ListBullet"/>
            </w:pPr>
            <w:r w:rsidRPr="006C7496">
              <w:t>Precautions when handling electronic devices due to electrostatic discharge (ESD)</w:t>
            </w:r>
          </w:p>
          <w:p w:rsidR="00000000" w:rsidRPr="006C7496" w:rsidP="006C7496">
            <w:pPr>
              <w:pStyle w:val="ListBullet"/>
            </w:pPr>
            <w:r w:rsidRPr="006C7496">
              <w:t>Truth tables</w:t>
            </w:r>
          </w:p>
          <w:p w:rsidR="00000000" w:rsidRPr="006C7496" w:rsidP="006C7496">
            <w:pPr>
              <w:pStyle w:val="ListBullet"/>
            </w:pPr>
            <w:r w:rsidRPr="006C7496">
              <w:t>Basic operation and characteristics of logic gates</w:t>
            </w:r>
          </w:p>
          <w:p w:rsidR="00000000" w:rsidRPr="006C7496" w:rsidP="006C7496">
            <w:pPr>
              <w:pStyle w:val="ListBullet"/>
            </w:pPr>
            <w:r w:rsidRPr="006C7496">
              <w:t>Logic probes</w:t>
            </w:r>
          </w:p>
          <w:p w:rsidR="00000000" w:rsidRPr="006C7496" w:rsidP="006C7496">
            <w:pPr>
              <w:pStyle w:val="ListBullet"/>
            </w:pPr>
            <w:r w:rsidRPr="006C7496">
              <w:t>Verification of operation of logic circuits</w:t>
            </w:r>
          </w:p>
          <w:p w:rsidR="00000000" w:rsidRPr="006C7496" w:rsidP="006C7496">
            <w:pPr>
              <w:pStyle w:val="BodyText"/>
            </w:pPr>
            <w:r w:rsidRPr="006C7496">
              <w:t>T5.</w:t>
            </w:r>
            <w:r w:rsidRPr="006C7496">
              <w:tab/>
              <w:t>Digital displays</w:t>
            </w:r>
          </w:p>
          <w:p w:rsidR="00000000" w:rsidRPr="006C7496" w:rsidP="006C7496">
            <w:pPr>
              <w:pStyle w:val="ListBullet"/>
            </w:pPr>
            <w:r w:rsidRPr="006C7496">
              <w:t>Seven seg</w:t>
            </w:r>
            <w:r w:rsidRPr="006C7496">
              <w:t>ment LED displays</w:t>
            </w:r>
          </w:p>
          <w:p w:rsidR="00000000" w:rsidRPr="006C7496" w:rsidP="006C7496">
            <w:pPr>
              <w:pStyle w:val="ListBullet"/>
            </w:pPr>
            <w:r w:rsidRPr="006C7496">
              <w:t>Drive requirements</w:t>
            </w:r>
          </w:p>
          <w:p w:rsidR="00000000" w:rsidRPr="006C7496" w:rsidP="006C7496">
            <w:pPr>
              <w:pStyle w:val="ListBullet"/>
            </w:pPr>
            <w:r w:rsidRPr="006C7496">
              <w:t>Current limiting</w:t>
            </w:r>
          </w:p>
          <w:p w:rsidR="00000000" w:rsidRPr="006C7496" w:rsidP="006C7496">
            <w:pPr>
              <w:pStyle w:val="ListBullet"/>
            </w:pPr>
            <w:r w:rsidRPr="006C7496">
              <w:t>Multiplexed displays</w:t>
            </w:r>
          </w:p>
          <w:p w:rsidR="00000000" w:rsidRPr="006C7496" w:rsidP="006C7496">
            <w:pPr>
              <w:pStyle w:val="ListBullet"/>
            </w:pPr>
            <w:r w:rsidRPr="006C7496">
              <w:t>Seven segment Decoders</w:t>
            </w:r>
          </w:p>
          <w:p w:rsidR="00000000" w:rsidRPr="006C7496" w:rsidP="006C7496">
            <w:pPr>
              <w:pStyle w:val="ListBullet"/>
            </w:pPr>
            <w:r w:rsidRPr="006C7496">
              <w:t>Liquid Crystal Displays (LCD)</w:t>
            </w:r>
          </w:p>
          <w:p w:rsidR="00000000" w:rsidRPr="006C7496" w:rsidP="006C7496">
            <w:pPr>
              <w:pStyle w:val="ListBullet"/>
            </w:pPr>
            <w:r w:rsidRPr="006C7496">
              <w:t>Emerging display technologies</w:t>
            </w:r>
          </w:p>
          <w:p w:rsidR="00000000" w:rsidRPr="006C7496" w:rsidP="006C7496">
            <w:pPr>
              <w:pStyle w:val="ListBullet"/>
            </w:pPr>
            <w:r w:rsidRPr="006C7496">
              <w:t>Verification of seven segment display circuit</w:t>
            </w:r>
          </w:p>
          <w:p w:rsidR="00000000" w:rsidRPr="006C7496" w:rsidP="006C7496">
            <w:pPr>
              <w:pStyle w:val="ListBullet"/>
            </w:pPr>
            <w:r w:rsidRPr="006C7496">
              <w:t>Interfacing with logic circuits</w:t>
            </w:r>
          </w:p>
          <w:p w:rsidR="00000000" w:rsidRPr="006C7496" w:rsidP="006C7496">
            <w:pPr>
              <w:pStyle w:val="BodyText"/>
            </w:pPr>
            <w:r w:rsidRPr="006C7496">
              <w:t>T6.</w:t>
            </w:r>
            <w:r w:rsidRPr="006C7496">
              <w:tab/>
            </w:r>
            <w:r w:rsidRPr="006C7496">
              <w:t>Digital subsystem building blocks</w:t>
            </w:r>
          </w:p>
          <w:p w:rsidR="00000000" w:rsidRPr="006C7496" w:rsidP="006C7496">
            <w:pPr>
              <w:pStyle w:val="ListBullet"/>
            </w:pPr>
            <w:r w:rsidRPr="006C7496">
              <w:t>Encoders and Decoders</w:t>
            </w:r>
          </w:p>
          <w:p w:rsidR="00000000" w:rsidRPr="006C7496" w:rsidP="006C7496">
            <w:pPr>
              <w:pStyle w:val="ListBullet"/>
            </w:pPr>
            <w:r w:rsidRPr="006C7496">
              <w:t>Multiplexers and Demultiplexers</w:t>
            </w:r>
          </w:p>
          <w:p w:rsidR="00000000" w:rsidRPr="006C7496" w:rsidP="006C7496">
            <w:pPr>
              <w:pStyle w:val="ListBullet"/>
            </w:pPr>
            <w:r w:rsidRPr="006C7496">
              <w:t>Timing diagrams</w:t>
            </w:r>
          </w:p>
          <w:p w:rsidR="00000000" w:rsidRPr="006C7496" w:rsidP="006C7496">
            <w:pPr>
              <w:pStyle w:val="ListBullet"/>
            </w:pPr>
            <w:r w:rsidRPr="006C7496">
              <w:t xml:space="preserve">Flip flops, Latches and registers  </w:t>
            </w:r>
          </w:p>
          <w:p w:rsidR="00000000" w:rsidRPr="006C7496" w:rsidP="006C7496">
            <w:pPr>
              <w:pStyle w:val="ListBullet"/>
            </w:pPr>
            <w:r w:rsidRPr="006C7496">
              <w:t>Ripple counters</w:t>
            </w:r>
          </w:p>
          <w:p w:rsidR="00000000" w:rsidRPr="006C7496" w:rsidP="006C7496">
            <w:pPr>
              <w:pStyle w:val="ListBullet"/>
            </w:pPr>
            <w:r w:rsidRPr="006C7496">
              <w:t>MOD counters</w:t>
            </w:r>
          </w:p>
          <w:p w:rsidR="00000000" w:rsidRPr="006C7496" w:rsidP="006C7496">
            <w:pPr>
              <w:pStyle w:val="ListBullet"/>
            </w:pPr>
            <w:r w:rsidRPr="006C7496">
              <w:t>Synchronous counters Multi-vibrators</w:t>
            </w:r>
          </w:p>
          <w:p w:rsidR="00000000" w:rsidRPr="006C7496" w:rsidP="006C7496">
            <w:pPr>
              <w:pStyle w:val="ListBullet"/>
            </w:pPr>
            <w:r w:rsidRPr="006C7496">
              <w:t>Clocks</w:t>
            </w:r>
          </w:p>
          <w:p w:rsidR="00000000" w:rsidRPr="006C7496" w:rsidP="006C7496">
            <w:pPr>
              <w:pStyle w:val="ListBullet"/>
            </w:pPr>
            <w:r w:rsidRPr="006C7496">
              <w:t>Verification and operation (eg. PLDs, ICs)</w:t>
            </w:r>
          </w:p>
          <w:p w:rsidR="00000000" w:rsidRPr="006C7496" w:rsidP="006C7496">
            <w:pPr>
              <w:pStyle w:val="BodyText"/>
            </w:pPr>
            <w:r w:rsidRPr="006C7496">
              <w:t>T7.</w:t>
            </w:r>
            <w:r w:rsidRPr="006C7496">
              <w:tab/>
              <w:t xml:space="preserve"> Digital fault finding</w:t>
            </w:r>
          </w:p>
          <w:p w:rsidR="00000000" w:rsidRPr="006C7496" w:rsidP="006C7496">
            <w:pPr>
              <w:pStyle w:val="ListBullet"/>
            </w:pPr>
            <w:r w:rsidRPr="006C7496">
              <w:t>General fault finding principles</w:t>
            </w:r>
          </w:p>
          <w:p w:rsidR="00000000" w:rsidRPr="006C7496" w:rsidP="006C7496">
            <w:pPr>
              <w:pStyle w:val="ListBullet"/>
            </w:pPr>
            <w:r w:rsidRPr="006C7496">
              <w:t>Common digital faults</w:t>
            </w:r>
          </w:p>
          <w:p w:rsidR="00000000" w:rsidRPr="006C7496" w:rsidP="006C7496">
            <w:pPr>
              <w:pStyle w:val="ListBullet"/>
            </w:pPr>
            <w:r w:rsidRPr="006C7496">
              <w:t>Digital test equipment</w:t>
            </w:r>
          </w:p>
          <w:p w:rsidR="00000000" w:rsidRPr="006C7496" w:rsidP="006C7496">
            <w:pPr>
              <w:pStyle w:val="ListBullet"/>
            </w:pPr>
            <w:r w:rsidRPr="006C7496">
              <w:t>Digital test equipment (eg. Logic probes, Digital Oscilloscopes, digital trainers)</w:t>
            </w:r>
          </w:p>
          <w:p w:rsidR="00000000" w:rsidRPr="006C7496" w:rsidP="006C7496">
            <w:pPr>
              <w:pStyle w:val="BodyText"/>
            </w:pPr>
            <w:r w:rsidRPr="006C7496">
              <w:t>T8.</w:t>
            </w:r>
            <w:r w:rsidRPr="006C7496">
              <w:tab/>
              <w:t xml:space="preserve"> Logic families and specifications</w:t>
            </w:r>
          </w:p>
          <w:p w:rsidR="00000000" w:rsidRPr="006C7496" w:rsidP="006C7496">
            <w:pPr>
              <w:pStyle w:val="ListBullet"/>
            </w:pPr>
            <w:r w:rsidRPr="006C7496">
              <w:t>Input and output voltage characteristics</w:t>
            </w:r>
          </w:p>
          <w:p w:rsidR="00000000" w:rsidRPr="006C7496" w:rsidP="006C7496">
            <w:pPr>
              <w:pStyle w:val="ListBullet"/>
            </w:pPr>
            <w:r w:rsidRPr="006C7496">
              <w:t>Comparison of logic families</w:t>
            </w:r>
          </w:p>
          <w:p w:rsidR="00000000" w:rsidRPr="006C7496" w:rsidP="006C7496">
            <w:pPr>
              <w:pStyle w:val="ListBullet"/>
            </w:pPr>
            <w:r w:rsidRPr="006C7496">
              <w:t>Unit load</w:t>
            </w:r>
          </w:p>
          <w:p w:rsidR="00000000" w:rsidRPr="006C7496" w:rsidP="006C7496">
            <w:pPr>
              <w:pStyle w:val="ListBullet"/>
            </w:pPr>
            <w:r w:rsidRPr="006C7496">
              <w:t>Noise margin</w:t>
            </w:r>
          </w:p>
          <w:p w:rsidR="00000000" w:rsidRPr="006C7496" w:rsidP="006C7496">
            <w:pPr>
              <w:pStyle w:val="ListBullet"/>
            </w:pPr>
            <w:r w:rsidRPr="006C7496">
              <w:t>Interfacing different logic families</w:t>
            </w:r>
          </w:p>
          <w:p w:rsidR="00000000" w:rsidRPr="006C7496" w:rsidP="006C7496">
            <w:pPr>
              <w:pStyle w:val="ListBullet"/>
            </w:pPr>
            <w:r w:rsidRPr="006C7496">
              <w:t>Tri-state logic devices</w:t>
            </w:r>
          </w:p>
          <w:p w:rsidR="00000000" w:rsidRPr="006C7496" w:rsidP="006C7496">
            <w:pPr>
              <w:pStyle w:val="BodyText"/>
            </w:pPr>
            <w:r w:rsidRPr="006C7496">
              <w:t>Overview and applications of A/D converter and D/A converter</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10" w:name="O_587038"/>
      <w:bookmarkEnd w:id="10"/>
      <w:r w:rsidRPr="006C7496">
        <w:t>Evidence Guide</w:t>
      </w:r>
    </w:p>
    <w:tbl>
      <w:tblPr>
        <w:tblW w:w="0" w:type="auto"/>
        <w:tblLayout w:type="fixed"/>
        <w:tblCellMar>
          <w:left w:w="62" w:type="dxa"/>
          <w:right w:w="62" w:type="dxa"/>
        </w:tblCellMar>
        <w:tblLook w:val="0000"/>
      </w:tblPr>
      <w:tblGrid>
        <w:gridCol w:w="8460"/>
      </w:tblGrid>
      <w:tr w:rsidTr="000122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EVIDENCE GUIDE</w:t>
            </w:r>
          </w:p>
        </w:tc>
      </w:tr>
      <w:tr w:rsidTr="000122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9)</w:t>
            </w:r>
            <w:r w:rsidRPr="006C7496">
              <w:t xml:space="preserve"> The evidence guide provides advice on assessment and must be read in conjunction with the Performance Criteria, Required Skills and Knowledge, the Range Statement and the Assessment Guidelines for this Training Package. .</w:t>
            </w:r>
          </w:p>
          <w:p w:rsidR="00000000" w:rsidRPr="006C7496" w:rsidP="006C7496">
            <w:pPr>
              <w:pStyle w:val="BodyText"/>
            </w:pPr>
            <w:r w:rsidRPr="006C7496">
              <w:t>The Evidence Gu</w:t>
            </w:r>
            <w:r w:rsidRPr="006C7496">
              <w:t>ide forms an integral part of this unit. It must be used in conjunction with all parts of the unit and performed in accordance with the Assessment Guidelines of this Training Package.</w:t>
            </w:r>
          </w:p>
        </w:tc>
      </w:tr>
    </w:tbl>
    <w:p w:rsidR="00000000" w:rsidRPr="006C7496" w:rsidP="006C7496">
      <w:pPr>
        <w:pStyle w:val="BodyText"/>
      </w:pPr>
    </w:p>
    <w:tbl>
      <w:tblPr>
        <w:tblW w:w="0" w:type="auto"/>
        <w:tblLayout w:type="fixed"/>
        <w:tblCellMar>
          <w:left w:w="62" w:type="dxa"/>
          <w:right w:w="62" w:type="dxa"/>
        </w:tblCellMar>
        <w:tblLook w:val="0000"/>
      </w:tblPr>
      <w:tblGrid>
        <w:gridCol w:w="1890"/>
        <w:gridCol w:w="6570"/>
      </w:tblGrid>
      <w:tr w:rsidTr="000122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9.1)</w:t>
            </w:r>
          </w:p>
        </w:tc>
      </w:tr>
      <w:tr w:rsidTr="000122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Longitudinal competency development appr</w:t>
            </w:r>
            <w:r w:rsidRPr="006C7496">
              <w:t>oaches to assessment, such as Profiling, require data to be reliably gathered in a form that can be consistently interpreted over time. This approach is best utilised in Apprenticeship programs and reduces assessment intervention. It is the Industry-prefer</w:t>
            </w:r>
            <w:r w:rsidRPr="006C7496">
              <w:t>red model for apprenticeships. However, where summative (or final) assessment is used it must include the application of the competency in the normal work environment or, at a minimum, the application of the competency in a realistically simulated work env</w:t>
            </w:r>
            <w:r w:rsidRPr="006C7496">
              <w:t>ironment. It is recognised that, in some circumstances, assessment in part or full can occur outside the workplace. However, it must be in accord with industry and regulatory policy.</w:t>
            </w:r>
          </w:p>
          <w:p w:rsidR="00000000" w:rsidRPr="006C7496" w:rsidP="006C7496">
            <w:pPr>
              <w:pStyle w:val="BodyText"/>
            </w:pPr>
            <w:r w:rsidRPr="006C7496">
              <w:t>Methods chosen for a particular assessment will be influenced by various factors. These include the extent of the assessment, the most effective locations for the assessment activities to take place, access to physical resources, additional safety measures</w:t>
            </w:r>
            <w:r w:rsidRPr="006C7496">
              <w:t xml:space="preserve"> that may be required and the critical nature of the competencies being assessed.</w:t>
            </w:r>
          </w:p>
          <w:p w:rsidR="00000000" w:rsidRPr="006C7496" w:rsidP="006C7496">
            <w:pPr>
              <w:pStyle w:val="BodyText"/>
            </w:pPr>
            <w:r w:rsidRPr="006C7496">
              <w:t>The critical safety nature of working with electricity, electrical equipment, gas or any other hazardous substance/material carries risk in deeming a person competent. Source</w:t>
            </w:r>
            <w:r w:rsidRPr="006C7496">
              <w:t>s of evidence need to be ‘rich’ in nature to minimise error in judgment.</w:t>
            </w:r>
          </w:p>
          <w:p w:rsidR="00000000" w:rsidRPr="006C7496" w:rsidP="006C7496">
            <w:pPr>
              <w:pStyle w:val="BodyText"/>
            </w:pPr>
            <w:r w:rsidRPr="006C7496">
              <w:t>Activities associated with normal everyday work influence decisions about how/how much the data gathered will contribute to its ‘richness’. Some skills are more critical to safety and</w:t>
            </w:r>
            <w:r w:rsidRPr="006C7496">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6C7496">
              <w:t>uded for Assessors in the Assessment Guidelines of this Training Package.</w:t>
            </w:r>
          </w:p>
        </w:tc>
      </w:tr>
    </w:tbl>
    <w:p w:rsidR="00000000" w:rsidRPr="006C7496" w:rsidP="006C7496">
      <w:pPr>
        <w:pStyle w:val="BodyText"/>
      </w:pPr>
    </w:p>
    <w:tbl>
      <w:tblPr>
        <w:tblW w:w="10956" w:type="dxa"/>
        <w:tblLayout w:type="fixed"/>
        <w:tblCellMar>
          <w:left w:w="62" w:type="dxa"/>
          <w:right w:w="62" w:type="dxa"/>
        </w:tblCellMar>
        <w:tblLook w:val="0000"/>
      </w:tblPr>
      <w:tblGrid>
        <w:gridCol w:w="1890"/>
        <w:gridCol w:w="558"/>
        <w:gridCol w:w="1981"/>
        <w:gridCol w:w="4031"/>
        <w:gridCol w:w="2496"/>
      </w:tblGrid>
      <w:tr w:rsidTr="00012264">
        <w:tblPrEx>
          <w:tblW w:w="10956" w:type="dxa"/>
          <w:tblLayout w:type="fixed"/>
          <w:tblCellMar>
            <w:left w:w="62" w:type="dxa"/>
            <w:right w:w="62" w:type="dxa"/>
          </w:tblCellMar>
          <w:tblLook w:val="0000"/>
        </w:tblPrEx>
        <w:trPr>
          <w:gridAfter w:val="1"/>
          <w:wAfter w:w="2496" w:type="dxa"/>
        </w:trPr>
        <w:tc>
          <w:tcPr>
            <w:tcW w:w="189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9.2)</w:t>
            </w:r>
          </w:p>
        </w:tc>
      </w:tr>
      <w:tr w:rsidTr="00012264">
        <w:tblPrEx>
          <w:tblW w:w="10956" w:type="dxa"/>
          <w:tblLayout w:type="fixed"/>
          <w:tblCellMar>
            <w:left w:w="62" w:type="dxa"/>
            <w:right w:w="62" w:type="dxa"/>
          </w:tblCellMar>
          <w:tblLook w:val="0000"/>
        </w:tblPrEx>
        <w:trPr>
          <w:gridAfter w:val="1"/>
          <w:wAfter w:w="2496"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Before the critical aspects of evidence are considered all prerequisites shall be met.</w:t>
            </w:r>
          </w:p>
          <w:p w:rsidR="00000000" w:rsidRPr="006C7496" w:rsidP="006C7496">
            <w:pPr>
              <w:pStyle w:val="BodyText"/>
            </w:pPr>
            <w:r w:rsidRPr="006C7496">
              <w:t>Evidenc</w:t>
            </w:r>
            <w:r w:rsidRPr="006C7496">
              <w:t>e for competence in this unit shall be considered holistically.  Each Element and associated performance criteria shall be demonstrated on at least two occasions in accordance with the ‘Assessment Guidelines – UEE11’.  Evidence shall also comprise:</w:t>
            </w:r>
          </w:p>
          <w:p w:rsidR="00000000" w:rsidRPr="006C7496" w:rsidP="006C7496">
            <w:pPr>
              <w:pStyle w:val="ListBullet"/>
            </w:pPr>
            <w:r w:rsidRPr="006C7496">
              <w:t>A repr</w:t>
            </w:r>
            <w:r w:rsidRPr="006C7496">
              <w:t>esentative body of work performance demonstrated within the timeframes typically expected of the discipline, work function and industrial environment. In particular this shall incorporate evidence that shows a candidate is able to:</w:t>
            </w:r>
          </w:p>
          <w:p w:rsidR="00000000" w:rsidRPr="006C7496" w:rsidP="006C7496">
            <w:pPr>
              <w:pStyle w:val="ListBullet2"/>
            </w:pPr>
            <w:r w:rsidRPr="006C7496">
              <w:t>Implement Occupational Health and Safety workplace procedures and practices, including the use of risk control measures as specified in the performance criteria and range statement</w:t>
            </w:r>
          </w:p>
          <w:p w:rsidR="00000000" w:rsidRPr="006C7496" w:rsidP="006C7496">
            <w:pPr>
              <w:pStyle w:val="ListBullet2"/>
            </w:pPr>
            <w:r w:rsidRPr="006C7496">
              <w:t>Apply sustainable energy principles and practices as specified in the perfo</w:t>
            </w:r>
            <w:r w:rsidRPr="006C7496">
              <w:t>rmance criteria and range statement</w:t>
            </w:r>
          </w:p>
          <w:p w:rsidR="00000000" w:rsidRPr="006C7496" w:rsidP="006C7496">
            <w:pPr>
              <w:pStyle w:val="ListBullet2"/>
            </w:pPr>
            <w:r w:rsidRPr="006C7496">
              <w:t>Demonstrate an understanding of the essential knowledge and associated skills as described in this unit. .  It may be required by some jurisdictions that RTOs provide a percentile graded result for the purpose of regulat</w:t>
            </w:r>
            <w:r w:rsidRPr="006C7496">
              <w:t>ory or licensing requirements.</w:t>
            </w:r>
          </w:p>
          <w:p w:rsidR="00000000" w:rsidRPr="006C7496" w:rsidP="006C7496">
            <w:pPr>
              <w:pStyle w:val="ListBullet2"/>
            </w:pPr>
            <w:r w:rsidRPr="006C7496">
              <w:t>Demonstrate an appropriate level of skills enabling employment</w:t>
            </w:r>
          </w:p>
          <w:p w:rsidR="00000000" w:rsidRPr="006C7496" w:rsidP="006C7496">
            <w:pPr>
              <w:pStyle w:val="ListBullet2"/>
            </w:pPr>
            <w:r w:rsidRPr="006C7496">
              <w:t>Conduct work observing the relevant Anti Discrimination legislation, regulations, polices and workplace procedures</w:t>
            </w:r>
          </w:p>
          <w:p w:rsidR="00000000" w:rsidRPr="006C7496" w:rsidP="006C7496">
            <w:pPr>
              <w:pStyle w:val="ListBullet"/>
            </w:pPr>
            <w:r w:rsidRPr="006C7496">
              <w:t>Demonstrated consistent performance across a r</w:t>
            </w:r>
            <w:r w:rsidRPr="006C7496">
              <w:t>epresentative range of contexts from the prescribed items below:</w:t>
            </w:r>
          </w:p>
          <w:p w:rsidR="00000000" w:rsidP="006C7496">
            <w:pPr>
              <w:pStyle w:val="ListBullet2"/>
              <w:rPr>
                <w:lang w:val="en-NZ"/>
              </w:rPr>
            </w:pPr>
            <w:r w:rsidRPr="006C7496">
              <w:t>Troubleshoot digital subsystems as described in 8) and including:</w:t>
            </w:r>
          </w:p>
        </w:tc>
      </w:tr>
      <w:tr w:rsidTr="00012264">
        <w:tblPrEx>
          <w:tblW w:w="10956" w:type="dxa"/>
          <w:tblLayout w:type="fixed"/>
          <w:tblCellMar>
            <w:left w:w="62" w:type="dxa"/>
            <w:right w:w="62" w:type="dxa"/>
          </w:tblCellMar>
          <w:tblLook w:val="0000"/>
        </w:tblPrEx>
        <w:tc>
          <w:tcPr>
            <w:tcW w:w="24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1"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A</w:t>
            </w:r>
          </w:p>
        </w:tc>
        <w:tc>
          <w:tcPr>
            <w:tcW w:w="6527"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Using methodical problem solving methods.</w:t>
            </w:r>
          </w:p>
        </w:tc>
      </w:tr>
      <w:tr w:rsidTr="00012264">
        <w:tblPrEx>
          <w:tblW w:w="10956" w:type="dxa"/>
          <w:tblLayout w:type="fixed"/>
          <w:tblCellMar>
            <w:left w:w="62" w:type="dxa"/>
            <w:right w:w="62" w:type="dxa"/>
          </w:tblCellMar>
          <w:tblLook w:val="0000"/>
        </w:tblPrEx>
        <w:tc>
          <w:tcPr>
            <w:tcW w:w="24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1"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B</w:t>
            </w:r>
          </w:p>
        </w:tc>
        <w:tc>
          <w:tcPr>
            <w:tcW w:w="6527"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Taking measurements correctly and accurately.</w:t>
            </w:r>
          </w:p>
        </w:tc>
      </w:tr>
      <w:tr w:rsidTr="00012264">
        <w:tblPrEx>
          <w:tblW w:w="10956" w:type="dxa"/>
          <w:tblLayout w:type="fixed"/>
          <w:tblCellMar>
            <w:left w:w="62" w:type="dxa"/>
            <w:right w:w="62" w:type="dxa"/>
          </w:tblCellMar>
          <w:tblLook w:val="0000"/>
        </w:tblPrEx>
        <w:tc>
          <w:tcPr>
            <w:tcW w:w="24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1"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C</w:t>
            </w:r>
          </w:p>
        </w:tc>
        <w:tc>
          <w:tcPr>
            <w:tcW w:w="6527"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Calculating parameters correctly and accurately.</w:t>
            </w:r>
          </w:p>
        </w:tc>
      </w:tr>
      <w:tr w:rsidTr="00012264">
        <w:tblPrEx>
          <w:tblW w:w="10956" w:type="dxa"/>
          <w:tblLayout w:type="fixed"/>
          <w:tblCellMar>
            <w:left w:w="62" w:type="dxa"/>
            <w:right w:w="62" w:type="dxa"/>
          </w:tblCellMar>
          <w:tblLook w:val="0000"/>
        </w:tblPrEx>
        <w:tc>
          <w:tcPr>
            <w:tcW w:w="24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1"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D</w:t>
            </w:r>
          </w:p>
        </w:tc>
        <w:tc>
          <w:tcPr>
            <w:tcW w:w="6527"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Providing solution to digital component/circuit problems.</w:t>
            </w:r>
          </w:p>
        </w:tc>
      </w:tr>
      <w:tr w:rsidTr="00012264">
        <w:tblPrEx>
          <w:tblW w:w="10956" w:type="dxa"/>
          <w:tblLayout w:type="fixed"/>
          <w:tblCellMar>
            <w:left w:w="62" w:type="dxa"/>
            <w:right w:w="62" w:type="dxa"/>
          </w:tblCellMar>
          <w:tblLook w:val="0000"/>
        </w:tblPrEx>
        <w:tc>
          <w:tcPr>
            <w:tcW w:w="24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1"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E</w:t>
            </w:r>
          </w:p>
        </w:tc>
        <w:tc>
          <w:tcPr>
            <w:tcW w:w="6527"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Providing written justification for the solutions to problems.</w:t>
            </w:r>
          </w:p>
        </w:tc>
      </w:tr>
      <w:tr w:rsidTr="00012264">
        <w:tblPrEx>
          <w:tblW w:w="10956" w:type="dxa"/>
          <w:tblLayout w:type="fixed"/>
          <w:tblCellMar>
            <w:left w:w="62" w:type="dxa"/>
            <w:right w:w="62" w:type="dxa"/>
          </w:tblCellMar>
          <w:tblLook w:val="0000"/>
        </w:tblPrEx>
        <w:tc>
          <w:tcPr>
            <w:tcW w:w="24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1"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F</w:t>
            </w:r>
          </w:p>
        </w:tc>
        <w:tc>
          <w:tcPr>
            <w:tcW w:w="6527"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Dealing with unplanned events by drawing on essential knowledge and skills to provide appropriate solutions incorporated in a holistic assessment with the above listed items.</w:t>
            </w:r>
          </w:p>
        </w:tc>
      </w:tr>
      <w:tr w:rsidTr="00012264">
        <w:tblPrEx>
          <w:tblW w:w="10956" w:type="dxa"/>
          <w:tblLayout w:type="fixed"/>
          <w:tblCellMar>
            <w:left w:w="62" w:type="dxa"/>
            <w:right w:w="62" w:type="dxa"/>
          </w:tblCellMar>
          <w:tblLook w:val="0000"/>
        </w:tblPrEx>
        <w:tc>
          <w:tcPr>
            <w:tcW w:w="244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8" w:type="dxa"/>
            <w:gridSpan w:val="3"/>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 xml:space="preserve">Note: </w:t>
            </w:r>
            <w:r w:rsidRPr="006C7496">
              <w:br/>
              <w:t>Successful completion of relevant vendor training may be used to contri</w:t>
            </w:r>
            <w:r w:rsidRPr="006C7496">
              <w:t>bute to evidence on which competency is deemed. In these cases the alignment of outcomes of vendor training with performance criteria and critical aspects of evidence shall be clearly identified.</w:t>
            </w:r>
          </w:p>
        </w:tc>
      </w:tr>
    </w:tbl>
    <w:p w:rsidR="00000000" w:rsidRPr="006C7496" w:rsidP="006C7496">
      <w:pPr>
        <w:pStyle w:val="BodyText"/>
      </w:pPr>
    </w:p>
    <w:tbl>
      <w:tblPr>
        <w:tblW w:w="0" w:type="auto"/>
        <w:tblLayout w:type="fixed"/>
        <w:tblCellMar>
          <w:left w:w="62" w:type="dxa"/>
          <w:right w:w="62" w:type="dxa"/>
        </w:tblCellMar>
        <w:tblLook w:val="0000"/>
      </w:tblPr>
      <w:tblGrid>
        <w:gridCol w:w="1890"/>
        <w:gridCol w:w="6570"/>
      </w:tblGrid>
      <w:tr w:rsidTr="0001226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9.3)</w:t>
            </w:r>
          </w:p>
        </w:tc>
      </w:tr>
      <w:tr w:rsidTr="0001226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This unit should be assessed as it relates to normal work practice using procedures, information and resources typical of a workplace. This should include:</w:t>
            </w:r>
          </w:p>
          <w:p w:rsidR="00000000" w:rsidRPr="006C7496" w:rsidP="006C7496">
            <w:pPr>
              <w:pStyle w:val="ListBullet"/>
            </w:pPr>
            <w:r w:rsidRPr="006C7496">
              <w:t>OHS policy and work procedures and instructions.</w:t>
            </w:r>
          </w:p>
          <w:p w:rsidR="00000000" w:rsidRPr="006C7496" w:rsidP="006C7496">
            <w:pPr>
              <w:pStyle w:val="ListBullet"/>
            </w:pPr>
            <w:r w:rsidRPr="006C7496">
              <w:t>Suitable work environment, facilities, equipment and materials to undertake actual work as prescribed by this unit.</w:t>
            </w:r>
          </w:p>
          <w:p w:rsidR="00000000" w:rsidRPr="006C7496" w:rsidP="006C7496">
            <w:pPr>
              <w:pStyle w:val="BodyText"/>
            </w:pPr>
            <w:r w:rsidRPr="006C7496">
              <w:t>These should be part of the formal learning/assessment environment.</w:t>
            </w:r>
          </w:p>
          <w:p w:rsidR="00000000" w:rsidRPr="006C7496" w:rsidP="006C7496">
            <w:pPr>
              <w:pStyle w:val="BodyText"/>
            </w:pPr>
            <w:r w:rsidRPr="006C7496">
              <w:t>Note:</w:t>
            </w:r>
          </w:p>
          <w:p w:rsidR="00000000" w:rsidRPr="006C7496" w:rsidP="006C7496">
            <w:pPr>
              <w:pStyle w:val="BodyText"/>
            </w:pPr>
            <w:r w:rsidRPr="006C7496">
              <w:t>Where simulation is considered a suitable strategy for assessment,</w:t>
            </w:r>
            <w:r w:rsidRPr="006C7496">
              <w:t xml:space="preserve"> conditions must be authentic and as far as possible reproduce and replicate the workplace and be consistent with the approved industry simulation policy.</w:t>
            </w:r>
          </w:p>
        </w:tc>
      </w:tr>
    </w:tbl>
    <w:p w:rsidR="00000000" w:rsidRPr="006C7496" w:rsidP="006C7496">
      <w:pPr>
        <w:pStyle w:val="BodyText"/>
      </w:pPr>
    </w:p>
    <w:tbl>
      <w:tblPr>
        <w:tblW w:w="0" w:type="auto"/>
        <w:tblLayout w:type="fixed"/>
        <w:tblCellMar>
          <w:left w:w="62" w:type="dxa"/>
          <w:right w:w="62" w:type="dxa"/>
        </w:tblCellMar>
        <w:tblLook w:val="0000"/>
      </w:tblPr>
      <w:tblGrid>
        <w:gridCol w:w="1890"/>
        <w:gridCol w:w="6570"/>
      </w:tblGrid>
      <w:tr w:rsidTr="000122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9.4)</w:t>
            </w:r>
          </w:p>
        </w:tc>
      </w:tr>
      <w:tr w:rsidTr="0001226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This unit shall be assessed by methods given in Volume 1, Part 3 ‘</w:t>
            </w:r>
            <w:r w:rsidRPr="006C7496">
              <w:t>Assessment Guidelines’.</w:t>
            </w:r>
          </w:p>
          <w:p w:rsidR="00000000" w:rsidRPr="006C7496" w:rsidP="006C7496">
            <w:pPr>
              <w:pStyle w:val="BodyText"/>
            </w:pPr>
            <w:r w:rsidRPr="006C7496">
              <w:t xml:space="preserve">Note: </w:t>
            </w:r>
          </w:p>
          <w:p w:rsidR="00000000" w:rsidRPr="006C7496" w:rsidP="006C7496">
            <w:pPr>
              <w:pStyle w:val="BodyText"/>
            </w:pPr>
            <w:r w:rsidRPr="006C7496">
              <w:t>Competent performance with inherent safe working practices is expected in the industry to which this unit applies. This requires that the specified essential knowledge and associated skills are assessed in a structured enviro</w:t>
            </w:r>
            <w:r w:rsidRPr="006C7496">
              <w:t>nment which is primarily intended for learning/assessment and incorporates all necessary equipment and facilities for learners to develop and demonstrate the essential knowledge and skills described in this unit.</w:t>
            </w:r>
          </w:p>
          <w:p w:rsidR="00000000" w:rsidRPr="006C7496" w:rsidP="006C7496">
            <w:pPr>
              <w:pStyle w:val="BodyText"/>
            </w:pPr>
            <w:r w:rsidRPr="006C7496">
              <w:t>The resources used for assessment should re</w:t>
            </w:r>
            <w:r w:rsidRPr="006C7496">
              <w:t>flect current industry practices in relation to troubleshooting digital subsystems.</w:t>
            </w:r>
          </w:p>
        </w:tc>
      </w:tr>
    </w:tbl>
    <w:p w:rsidR="00000000" w:rsidRPr="006C7496" w:rsidP="006C7496">
      <w:pPr>
        <w:pStyle w:val="BodyText"/>
      </w:pPr>
    </w:p>
    <w:tbl>
      <w:tblPr>
        <w:tblW w:w="0" w:type="auto"/>
        <w:tblLayout w:type="fixed"/>
        <w:tblCellMar>
          <w:left w:w="62" w:type="dxa"/>
          <w:right w:w="62" w:type="dxa"/>
        </w:tblCellMar>
        <w:tblLook w:val="0000"/>
      </w:tblPr>
      <w:tblGrid>
        <w:gridCol w:w="1350"/>
        <w:gridCol w:w="540"/>
        <w:gridCol w:w="5796"/>
        <w:gridCol w:w="774"/>
      </w:tblGrid>
      <w:tr w:rsidTr="00012264">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9.5)</w:t>
            </w:r>
          </w:p>
        </w:tc>
      </w:tr>
      <w:tr w:rsidTr="00012264">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For optimisation of training and assessment effort, competency development in this unit may be arranged concurrently with unit:</w:t>
            </w:r>
          </w:p>
        </w:tc>
      </w:tr>
      <w:tr w:rsidTr="00012264">
        <w:tblPrEx>
          <w:tblW w:w="0" w:type="auto"/>
          <w:tblLayout w:type="fixed"/>
          <w:tblCellMar>
            <w:left w:w="62" w:type="dxa"/>
            <w:right w:w="62" w:type="dxa"/>
          </w:tblCellMar>
          <w:tblLook w:val="0000"/>
        </w:tblPrEx>
        <w:trPr>
          <w:gridAfter w:val="1"/>
          <w:wAfter w:w="774" w:type="dxa"/>
        </w:trPr>
        <w:tc>
          <w:tcPr>
            <w:tcW w:w="135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 xml:space="preserve">UEENEEH102A </w:t>
            </w:r>
          </w:p>
        </w:tc>
        <w:tc>
          <w:tcPr>
            <w:tcW w:w="6336"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 xml:space="preserve">Repair basic electronic apparatus faults by replacement of components                       </w:t>
            </w:r>
          </w:p>
        </w:tc>
      </w:tr>
      <w:tr w:rsidTr="00012264">
        <w:tblPrEx>
          <w:tblW w:w="0" w:type="auto"/>
          <w:tblLayout w:type="fixed"/>
          <w:tblCellMar>
            <w:left w:w="62" w:type="dxa"/>
            <w:right w:w="62" w:type="dxa"/>
          </w:tblCellMar>
          <w:tblLook w:val="0000"/>
        </w:tblPrEx>
        <w:trPr>
          <w:gridAfter w:val="1"/>
          <w:wAfter w:w="774" w:type="dxa"/>
        </w:trPr>
        <w:tc>
          <w:tcPr>
            <w:tcW w:w="135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UEENEEH116A</w:t>
            </w:r>
          </w:p>
        </w:tc>
        <w:tc>
          <w:tcPr>
            <w:tcW w:w="6336"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Find a</w:t>
            </w:r>
            <w:r w:rsidRPr="006C7496">
              <w:t>nd repair microwave amplifier section faults of electronic apparatus</w:t>
            </w:r>
          </w:p>
        </w:tc>
      </w:tr>
      <w:tr w:rsidTr="00012264">
        <w:tblPrEx>
          <w:tblW w:w="0" w:type="auto"/>
          <w:tblLayout w:type="fixed"/>
          <w:tblCellMar>
            <w:left w:w="62" w:type="dxa"/>
            <w:right w:w="62" w:type="dxa"/>
          </w:tblCellMar>
          <w:tblLook w:val="0000"/>
        </w:tblPrEx>
        <w:trPr>
          <w:gridAfter w:val="1"/>
          <w:wAfter w:w="774" w:type="dxa"/>
        </w:trPr>
        <w:tc>
          <w:tcPr>
            <w:tcW w:w="135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UEENEEH139A</w:t>
            </w:r>
          </w:p>
        </w:tc>
        <w:tc>
          <w:tcPr>
            <w:tcW w:w="6336" w:type="dxa"/>
            <w:gridSpan w:val="2"/>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t>Troubleshoot basic amplifier circuits</w:t>
            </w:r>
          </w:p>
        </w:tc>
      </w:tr>
      <w:tr w:rsidTr="00012264">
        <w:tblPrEx>
          <w:tblW w:w="0" w:type="auto"/>
          <w:tblLayout w:type="fixed"/>
          <w:tblCellMar>
            <w:left w:w="62" w:type="dxa"/>
            <w:right w:w="62" w:type="dxa"/>
          </w:tblCellMar>
          <w:tblLook w:val="0000"/>
        </w:tblPrEx>
        <w:trPr>
          <w:gridAfter w:val="1"/>
          <w:wAfter w:w="774" w:type="dxa"/>
        </w:trPr>
        <w:tc>
          <w:tcPr>
            <w:tcW w:w="7686" w:type="dxa"/>
            <w:gridSpan w:val="3"/>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The critical aspects of occupational health and safety covered in unit UEENEEE101A and other discipline specific occupational health and safety units shall be incorporated in relation to this unit.</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11" w:name="O_587037"/>
      <w:bookmarkEnd w:id="11"/>
      <w:r w:rsidRPr="006C7496">
        <w:t>Range Statement</w:t>
      </w:r>
    </w:p>
    <w:tbl>
      <w:tblPr>
        <w:tblW w:w="0" w:type="auto"/>
        <w:tblLayout w:type="fixed"/>
        <w:tblCellMar>
          <w:left w:w="62" w:type="dxa"/>
          <w:right w:w="62" w:type="dxa"/>
        </w:tblCellMar>
        <w:tblLook w:val="0000"/>
      </w:tblPr>
      <w:tblGrid>
        <w:gridCol w:w="8460"/>
      </w:tblGrid>
      <w:tr w:rsidTr="0001226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RANGE STATEMENT</w:t>
            </w:r>
          </w:p>
        </w:tc>
      </w:tr>
      <w:tr w:rsidTr="0001226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10)</w:t>
            </w:r>
            <w:r w:rsidRPr="006C7496">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6C7496" w:rsidP="006C7496">
            <w:pPr>
              <w:pStyle w:val="BodyText"/>
            </w:pPr>
            <w:r w:rsidRPr="006C7496">
              <w:t xml:space="preserve">This competency standard unit </w:t>
            </w:r>
            <w:r w:rsidRPr="006C7496">
              <w:t xml:space="preserve">shall be demonstrated in relation to troubleshooting a digital subsystem with at least three types of basic digital components/circuits or functions. </w:t>
            </w:r>
          </w:p>
          <w:p w:rsidR="00000000" w:rsidRPr="006C7496" w:rsidP="006C7496">
            <w:pPr>
              <w:pStyle w:val="BodyText"/>
            </w:pPr>
            <w:r w:rsidRPr="006C7496">
              <w:t>The troubleshooting must be demonstrated on three types of faults.</w:t>
            </w:r>
          </w:p>
          <w:p w:rsidR="00000000" w:rsidRPr="006C7496" w:rsidP="006C7496">
            <w:pPr>
              <w:pStyle w:val="BodyText"/>
            </w:pPr>
            <w:r w:rsidRPr="006C7496">
              <w:t xml:space="preserve">Notes: </w:t>
            </w:r>
          </w:p>
          <w:p w:rsidR="00000000" w:rsidRPr="006C7496" w:rsidP="006C7496">
            <w:pPr>
              <w:pStyle w:val="BodyText"/>
            </w:pPr>
            <w:r w:rsidRPr="006C7496">
              <w:t>1. The range of faults may inc</w:t>
            </w:r>
            <w:r w:rsidRPr="006C7496">
              <w:t xml:space="preserve">lude: open/shorted signal lines, output loading, input-to-input connections and clock-related faults. </w:t>
            </w:r>
          </w:p>
          <w:p w:rsidR="00000000" w:rsidRPr="006C7496" w:rsidP="006C7496">
            <w:pPr>
              <w:pStyle w:val="BodyText"/>
            </w:pPr>
            <w:r w:rsidRPr="006C7496">
              <w:t>2. Troubleshooting may involve the alteration of an existing digital subsystem to comply with a specified function and operating parameters.</w:t>
            </w:r>
          </w:p>
          <w:p w:rsidR="00000000" w:rsidRPr="006C7496" w:rsidP="006C7496">
            <w:pPr>
              <w:pStyle w:val="BodyText"/>
            </w:pPr>
            <w:r w:rsidRPr="006C7496">
              <w:t>Generic term</w:t>
            </w:r>
            <w:r w:rsidRPr="006C7496">
              <w:t>s used throughout this Vocational Standard shall be regarded as part of the Range Statement in which competency is demonstrated. The definition of these and other terms that apply are given in Volume 2, Part 2.1.</w:t>
            </w:r>
          </w:p>
        </w:tc>
      </w:tr>
    </w:tbl>
    <w:p w:rsidR="00000000" w:rsidRPr="006C7496" w:rsidP="006C7496">
      <w:pPr>
        <w:pStyle w:val="BodyText"/>
      </w:pPr>
    </w:p>
    <w:p w:rsidR="00000000" w:rsidRPr="006C7496" w:rsidP="006C7496">
      <w:pPr>
        <w:pStyle w:val="AllowPageBreak"/>
      </w:pPr>
    </w:p>
    <w:p w:rsidR="00000000" w:rsidRPr="006C7496" w:rsidP="006C7496">
      <w:pPr>
        <w:pStyle w:val="Heading1"/>
      </w:pPr>
      <w:bookmarkStart w:id="12" w:name="O_587036"/>
      <w:bookmarkEnd w:id="12"/>
      <w:r w:rsidRPr="006C7496">
        <w:t>Unit Sector(s)</w:t>
      </w:r>
    </w:p>
    <w:p w:rsidR="00000000" w:rsidRPr="006C7496" w:rsidP="006C7496">
      <w:pPr>
        <w:pStyle w:val="BodyText"/>
      </w:pPr>
      <w:r w:rsidRPr="006C7496">
        <w:t>Not appli</w:t>
      </w:r>
      <w:r w:rsidRPr="006C7496">
        <w:t>cable.</w:t>
      </w:r>
    </w:p>
    <w:p w:rsidR="00000000" w:rsidRPr="006C7496" w:rsidP="006C7496">
      <w:pPr>
        <w:pStyle w:val="AllowPageBreak"/>
      </w:pPr>
    </w:p>
    <w:p w:rsidR="00000000" w:rsidRPr="006C7496" w:rsidP="006C7496">
      <w:pPr>
        <w:pStyle w:val="Heading1"/>
      </w:pPr>
      <w:bookmarkStart w:id="13" w:name="O_587035"/>
      <w:bookmarkEnd w:id="13"/>
      <w:r w:rsidRPr="006C7496">
        <w:t>Competency Field</w:t>
      </w:r>
    </w:p>
    <w:tbl>
      <w:tblPr>
        <w:tblW w:w="0" w:type="auto"/>
        <w:tblLayout w:type="fixed"/>
        <w:tblCellMar>
          <w:left w:w="62" w:type="dxa"/>
          <w:right w:w="62" w:type="dxa"/>
        </w:tblCellMar>
        <w:tblLook w:val="0000"/>
      </w:tblPr>
      <w:tblGrid>
        <w:gridCol w:w="2700"/>
        <w:gridCol w:w="5760"/>
      </w:tblGrid>
      <w:tr w:rsidTr="0001226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C7496">
            <w:pPr>
              <w:pStyle w:val="BodyText"/>
              <w:rPr>
                <w:lang w:val="en-NZ"/>
              </w:rPr>
            </w:pPr>
            <w:r w:rsidRPr="006C7496">
              <w:rPr>
                <w:rStyle w:val="SpecialBold"/>
              </w:rPr>
              <w:t xml:space="preserve">11) </w:t>
            </w:r>
          </w:p>
        </w:tc>
      </w:tr>
      <w:tr w:rsidTr="0001226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C7496" w:rsidP="006C7496">
            <w:pPr>
              <w:pStyle w:val="BodyText"/>
            </w:pPr>
            <w:r w:rsidRPr="006C7496">
              <w:t>Electronics</w:t>
            </w:r>
          </w:p>
        </w:tc>
      </w:tr>
    </w:tbl>
    <w:p w:rsidR="00000000" w:rsidRPr="006C7496" w:rsidP="006C7496">
      <w:pPr>
        <w:pStyle w:val="BodyText"/>
      </w:pPr>
    </w:p>
    <w:p w:rsidR="00000000" w:rsidRPr="006C7496" w:rsidP="006C7496"/>
    <w:sectPr w:rsidSect="006C74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96" w:rsidRPr="00012264" w:rsidP="00012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64" w:rsidP="006C7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12264" w:rsidP="006C74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12264" w:rsidP="006C7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96" w:rsidRPr="00012264" w:rsidP="000122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264" w:rsidRPr="002D2AF8" w:rsidP="006C7496">
    <w:pPr>
      <w:pStyle w:val="Header"/>
      <w:framePr w:wrap="around"/>
    </w:pPr>
    <w:r>
      <w:fldChar w:fldCharType="begin"/>
    </w:r>
    <w:r>
      <w:instrText xml:space="preserve"> TITLE   \* MERGEFORMAT </w:instrText>
    </w:r>
    <w:r>
      <w:fldChar w:fldCharType="separate"/>
    </w:r>
    <w:r>
      <w:t>UEENEEH112A Troubleshoot digital sub-systems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12264" w:rsidP="006C7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AE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42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FCB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496"/>
    <w:pPr>
      <w:spacing w:before="360" w:after="60"/>
      <w:outlineLvl w:val="0"/>
    </w:pPr>
    <w:rPr>
      <w:sz w:val="32"/>
    </w:rPr>
  </w:style>
  <w:style w:type="paragraph" w:styleId="Heading2">
    <w:name w:val="heading 2"/>
    <w:basedOn w:val="HeadingBase"/>
    <w:next w:val="BodyText"/>
    <w:link w:val="Heading2Char"/>
    <w:qFormat/>
    <w:rsid w:val="006C7496"/>
    <w:pPr>
      <w:keepLines/>
      <w:spacing w:before="240" w:after="120"/>
      <w:outlineLvl w:val="1"/>
    </w:pPr>
    <w:rPr>
      <w:sz w:val="28"/>
      <w:szCs w:val="40"/>
    </w:rPr>
  </w:style>
  <w:style w:type="paragraph" w:styleId="Heading3">
    <w:name w:val="heading 3"/>
    <w:basedOn w:val="HeadingBase"/>
    <w:next w:val="BodyText"/>
    <w:link w:val="Heading3Char"/>
    <w:qFormat/>
    <w:rsid w:val="006C7496"/>
    <w:pPr>
      <w:spacing w:before="180" w:after="120"/>
      <w:outlineLvl w:val="2"/>
    </w:pPr>
    <w:rPr>
      <w:spacing w:val="-10"/>
      <w:kern w:val="32"/>
    </w:rPr>
  </w:style>
  <w:style w:type="paragraph" w:styleId="Heading4">
    <w:name w:val="heading 4"/>
    <w:basedOn w:val="HeadingBase"/>
    <w:next w:val="BodyText"/>
    <w:link w:val="Heading4Char"/>
    <w:qFormat/>
    <w:rsid w:val="006C7496"/>
    <w:pPr>
      <w:spacing w:before="160" w:after="120"/>
      <w:outlineLvl w:val="3"/>
    </w:pPr>
    <w:rPr>
      <w:sz w:val="22"/>
    </w:rPr>
  </w:style>
  <w:style w:type="paragraph" w:styleId="Heading5">
    <w:name w:val="heading 5"/>
    <w:basedOn w:val="HeadingBase"/>
    <w:next w:val="Normal"/>
    <w:link w:val="Heading5Char"/>
    <w:qFormat/>
    <w:rsid w:val="006C7496"/>
    <w:pPr>
      <w:spacing w:before="80"/>
      <w:outlineLvl w:val="4"/>
    </w:pPr>
    <w:rPr>
      <w:color w:val="918585"/>
      <w:sz w:val="20"/>
    </w:rPr>
  </w:style>
  <w:style w:type="paragraph" w:styleId="Heading6">
    <w:name w:val="heading 6"/>
    <w:basedOn w:val="HeadingBase"/>
    <w:next w:val="Normal"/>
    <w:link w:val="Heading6Char"/>
    <w:qFormat/>
    <w:rsid w:val="006C7496"/>
    <w:pPr>
      <w:spacing w:before="60"/>
      <w:outlineLvl w:val="5"/>
    </w:pPr>
    <w:rPr>
      <w:color w:val="918585"/>
      <w:sz w:val="20"/>
    </w:rPr>
  </w:style>
  <w:style w:type="paragraph" w:styleId="Heading7">
    <w:name w:val="heading 7"/>
    <w:basedOn w:val="Normal"/>
    <w:next w:val="Normal"/>
    <w:link w:val="Heading7Char"/>
    <w:qFormat/>
    <w:rsid w:val="006C7496"/>
    <w:pPr>
      <w:ind w:left="720"/>
      <w:outlineLvl w:val="6"/>
    </w:pPr>
    <w:rPr>
      <w:i/>
    </w:rPr>
  </w:style>
  <w:style w:type="paragraph" w:styleId="Heading8">
    <w:name w:val="heading 8"/>
    <w:basedOn w:val="Normal"/>
    <w:next w:val="Normal"/>
    <w:link w:val="Heading8Char"/>
    <w:qFormat/>
    <w:rsid w:val="006C7496"/>
    <w:pPr>
      <w:ind w:left="720"/>
      <w:outlineLvl w:val="7"/>
    </w:pPr>
    <w:rPr>
      <w:i/>
    </w:rPr>
  </w:style>
  <w:style w:type="paragraph" w:styleId="Heading9">
    <w:name w:val="heading 9"/>
    <w:basedOn w:val="Normal"/>
    <w:next w:val="Normal"/>
    <w:link w:val="Heading9Char"/>
    <w:qFormat/>
    <w:rsid w:val="006C7496"/>
    <w:pPr>
      <w:ind w:left="720"/>
      <w:outlineLvl w:val="8"/>
    </w:pPr>
    <w:rPr>
      <w:i/>
    </w:rPr>
  </w:style>
  <w:style w:type="character" w:default="1" w:styleId="DefaultParagraphFont">
    <w:name w:val="Default Paragraph Font"/>
    <w:uiPriority w:val="1"/>
    <w:unhideWhenUsed/>
    <w:rsid w:val="006C7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496"/>
  </w:style>
  <w:style w:type="character" w:customStyle="1" w:styleId="Heading1Char">
    <w:name w:val="Heading 1 Char"/>
    <w:basedOn w:val="DefaultParagraphFont"/>
    <w:link w:val="Heading1"/>
    <w:rsid w:val="006C7496"/>
    <w:rPr>
      <w:rFonts w:ascii="Times New Roman" w:eastAsia="Times New Roman" w:hAnsi="Times New Roman" w:cs="Times New Roman"/>
      <w:b/>
      <w:sz w:val="32"/>
      <w:szCs w:val="20"/>
      <w:lang w:eastAsia="en-US"/>
    </w:rPr>
  </w:style>
  <w:style w:type="paragraph" w:styleId="BodyText">
    <w:name w:val="Body Text"/>
    <w:basedOn w:val="Normal"/>
    <w:link w:val="BodyTextChar"/>
    <w:rsid w:val="006C74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496"/>
    <w:rPr>
      <w:rFonts w:ascii="Times New Roman" w:eastAsia="Times New Roman" w:hAnsi="Times New Roman" w:cs="Times New Roman"/>
      <w:sz w:val="24"/>
      <w:lang w:eastAsia="en-US"/>
    </w:rPr>
  </w:style>
  <w:style w:type="paragraph" w:styleId="ListBullet">
    <w:name w:val="List Bullet"/>
    <w:basedOn w:val="List"/>
    <w:rsid w:val="006C7496"/>
    <w:pPr>
      <w:numPr>
        <w:numId w:val="13"/>
      </w:numPr>
      <w:tabs>
        <w:tab w:val="clear" w:pos="340"/>
      </w:tabs>
      <w:spacing w:before="40" w:after="40"/>
    </w:pPr>
  </w:style>
  <w:style w:type="character" w:customStyle="1" w:styleId="SpecialBold">
    <w:name w:val="Special Bold"/>
    <w:basedOn w:val="DefaultParagraphFont"/>
    <w:rsid w:val="006C7496"/>
    <w:rPr>
      <w:b/>
      <w:spacing w:val="0"/>
    </w:rPr>
  </w:style>
  <w:style w:type="paragraph" w:styleId="ListBullet2">
    <w:name w:val="List Bullet 2"/>
    <w:basedOn w:val="List2"/>
    <w:rsid w:val="006C7496"/>
    <w:pPr>
      <w:numPr>
        <w:numId w:val="14"/>
      </w:numPr>
      <w:tabs>
        <w:tab w:val="clear" w:pos="680"/>
      </w:tabs>
    </w:pPr>
  </w:style>
  <w:style w:type="paragraph" w:customStyle="1" w:styleId="SuperHeading">
    <w:name w:val="SuperHeading"/>
    <w:basedOn w:val="Normal"/>
    <w:rsid w:val="006C7496"/>
    <w:pPr>
      <w:spacing w:before="240" w:after="120"/>
      <w:outlineLvl w:val="0"/>
    </w:pPr>
    <w:rPr>
      <w:rFonts w:ascii="Times New Roman" w:hAnsi="Times New Roman"/>
      <w:b/>
      <w:sz w:val="32"/>
    </w:rPr>
  </w:style>
  <w:style w:type="paragraph" w:customStyle="1" w:styleId="AllowPageBreak">
    <w:name w:val="AllowPageBreak"/>
    <w:rsid w:val="006C74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496"/>
    <w:rPr>
      <w:rFonts w:ascii="Courier New" w:eastAsia="Times New Roman" w:hAnsi="Courier New" w:cs="Times New Roman"/>
      <w:i/>
      <w:szCs w:val="20"/>
      <w:lang w:eastAsia="en-US"/>
    </w:rPr>
  </w:style>
  <w:style w:type="paragraph" w:customStyle="1" w:styleId="HeadingBase">
    <w:name w:val="Heading Base"/>
    <w:rsid w:val="006C7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496"/>
    <w:pPr>
      <w:tabs>
        <w:tab w:val="right" w:leader="dot" w:pos="9072"/>
      </w:tabs>
      <w:ind w:left="567"/>
    </w:pPr>
    <w:rPr>
      <w:szCs w:val="22"/>
    </w:rPr>
  </w:style>
  <w:style w:type="paragraph" w:customStyle="1" w:styleId="TOCBase">
    <w:name w:val="TOC Base"/>
    <w:rsid w:val="006C7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496"/>
    <w:pPr>
      <w:tabs>
        <w:tab w:val="right" w:leader="dot" w:pos="9072"/>
      </w:tabs>
      <w:spacing w:before="40" w:after="40"/>
      <w:ind w:left="284"/>
    </w:pPr>
    <w:rPr>
      <w:rFonts w:ascii="Times New Roman" w:hAnsi="Times New Roman"/>
    </w:rPr>
  </w:style>
  <w:style w:type="paragraph" w:styleId="TOC1">
    <w:name w:val="toc 1"/>
    <w:basedOn w:val="TOCBase"/>
    <w:next w:val="Normal"/>
    <w:rsid w:val="006C7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496"/>
    <w:rPr>
      <w:rFonts w:ascii="Times New Roman" w:eastAsia="Times New Roman" w:hAnsi="Times New Roman" w:cs="Times New Roman"/>
      <w:sz w:val="16"/>
      <w:lang w:eastAsia="en-US"/>
    </w:rPr>
  </w:style>
  <w:style w:type="paragraph" w:styleId="Title">
    <w:name w:val="Title"/>
    <w:basedOn w:val="HeadingBase"/>
    <w:link w:val="TitleChar"/>
    <w:qFormat/>
    <w:rsid w:val="006C7496"/>
    <w:pPr>
      <w:spacing w:before="5040"/>
      <w:jc w:val="center"/>
    </w:pPr>
    <w:rPr>
      <w:sz w:val="48"/>
      <w:szCs w:val="72"/>
      <w:lang w:val="en-US"/>
    </w:rPr>
  </w:style>
  <w:style w:type="character" w:customStyle="1" w:styleId="TitleChar">
    <w:name w:val="Title Char"/>
    <w:basedOn w:val="DefaultParagraphFont"/>
    <w:link w:val="Title"/>
    <w:rsid w:val="006C7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496"/>
    <w:pPr>
      <w:tabs>
        <w:tab w:val="left" w:pos="3600"/>
        <w:tab w:val="left" w:pos="3958"/>
      </w:tabs>
    </w:pPr>
  </w:style>
  <w:style w:type="paragraph" w:styleId="List">
    <w:name w:val="List"/>
    <w:basedOn w:val="BodyText"/>
    <w:next w:val="BodyText"/>
    <w:rsid w:val="006C7496"/>
    <w:pPr>
      <w:tabs>
        <w:tab w:val="left" w:pos="340"/>
      </w:tabs>
      <w:spacing w:before="60" w:after="60"/>
      <w:ind w:left="340" w:hanging="340"/>
    </w:pPr>
  </w:style>
  <w:style w:type="paragraph" w:customStyle="1" w:styleId="Note">
    <w:name w:val="Note"/>
    <w:basedOn w:val="BodyText"/>
    <w:rsid w:val="006C7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496"/>
    <w:pPr>
      <w:framePr w:wrap="auto" w:hAnchor="text" w:y="6049"/>
    </w:pPr>
    <w:rPr>
      <w:color w:val="000000"/>
      <w:sz w:val="40"/>
    </w:rPr>
  </w:style>
  <w:style w:type="paragraph" w:customStyle="1" w:styleId="TOCTitle">
    <w:name w:val="TOCTitle"/>
    <w:basedOn w:val="Heading1"/>
    <w:rsid w:val="006C7496"/>
    <w:pPr>
      <w:spacing w:after="240"/>
      <w:jc w:val="center"/>
      <w:outlineLvl w:val="9"/>
    </w:pPr>
    <w:rPr>
      <w:caps/>
    </w:rPr>
  </w:style>
  <w:style w:type="paragraph" w:customStyle="1" w:styleId="Version">
    <w:name w:val="Version"/>
    <w:rsid w:val="006C7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496"/>
    <w:pPr>
      <w:keepNext w:val="0"/>
      <w:tabs>
        <w:tab w:val="right" w:pos="4176"/>
      </w:tabs>
      <w:ind w:left="198" w:hanging="198"/>
    </w:pPr>
    <w:rPr>
      <w:rFonts w:ascii="Garamond" w:hAnsi="Garamond"/>
    </w:rPr>
  </w:style>
  <w:style w:type="paragraph" w:styleId="IndexHeading">
    <w:name w:val="index heading"/>
    <w:basedOn w:val="Normal"/>
    <w:next w:val="Index1"/>
    <w:semiHidden/>
    <w:rsid w:val="006C7496"/>
    <w:pPr>
      <w:spacing w:before="120" w:after="120"/>
    </w:pPr>
    <w:rPr>
      <w:rFonts w:ascii="Arial" w:hAnsi="Arial"/>
      <w:b/>
      <w:color w:val="918585"/>
      <w:sz w:val="24"/>
    </w:rPr>
  </w:style>
  <w:style w:type="paragraph" w:styleId="Header">
    <w:name w:val="header"/>
    <w:basedOn w:val="Normal"/>
    <w:link w:val="HeaderChar"/>
    <w:rsid w:val="006C7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496"/>
    <w:rPr>
      <w:rFonts w:ascii="Times New Roman" w:eastAsia="Times New Roman" w:hAnsi="Times New Roman" w:cs="Times New Roman"/>
      <w:sz w:val="16"/>
      <w:szCs w:val="20"/>
      <w:lang w:val="en-GB" w:eastAsia="en-US"/>
    </w:rPr>
  </w:style>
  <w:style w:type="paragraph" w:customStyle="1" w:styleId="Chapter">
    <w:name w:val="Chapter"/>
    <w:basedOn w:val="Normal"/>
    <w:rsid w:val="006C7496"/>
    <w:pPr>
      <w:spacing w:before="240"/>
    </w:pPr>
    <w:rPr>
      <w:rFonts w:ascii="Times New Roman" w:hAnsi="Times New Roman"/>
      <w:smallCaps/>
      <w:spacing w:val="80"/>
      <w:sz w:val="28"/>
    </w:rPr>
  </w:style>
  <w:style w:type="paragraph" w:customStyle="1" w:styleId="InChapter">
    <w:name w:val="InChapter"/>
    <w:basedOn w:val="Heading3"/>
    <w:rsid w:val="006C7496"/>
    <w:pPr>
      <w:spacing w:after="240"/>
      <w:outlineLvl w:val="9"/>
    </w:pPr>
    <w:rPr>
      <w:noProof/>
    </w:rPr>
  </w:style>
  <w:style w:type="paragraph" w:styleId="Index2">
    <w:name w:val="index 2"/>
    <w:basedOn w:val="Normal"/>
    <w:next w:val="Normal"/>
    <w:semiHidden/>
    <w:rsid w:val="006C7496"/>
    <w:pPr>
      <w:tabs>
        <w:tab w:val="right" w:pos="4176"/>
      </w:tabs>
      <w:ind w:left="568" w:hanging="284"/>
    </w:pPr>
    <w:rPr>
      <w:rFonts w:ascii="Garamond" w:hAnsi="Garamond"/>
    </w:rPr>
  </w:style>
  <w:style w:type="paragraph" w:customStyle="1" w:styleId="Byline">
    <w:name w:val="Byline"/>
    <w:rsid w:val="006C7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496"/>
    <w:pPr>
      <w:tabs>
        <w:tab w:val="clear" w:pos="3600"/>
        <w:tab w:val="clear" w:pos="3958"/>
      </w:tabs>
      <w:jc w:val="right"/>
    </w:pPr>
  </w:style>
  <w:style w:type="character" w:styleId="Emphasis">
    <w:name w:val="Emphasis"/>
    <w:basedOn w:val="DefaultParagraphFont"/>
    <w:qFormat/>
    <w:rsid w:val="006C7496"/>
    <w:rPr>
      <w:i/>
    </w:rPr>
  </w:style>
  <w:style w:type="paragraph" w:styleId="Caption">
    <w:name w:val="caption"/>
    <w:basedOn w:val="BodyText"/>
    <w:next w:val="Normal"/>
    <w:qFormat/>
    <w:rsid w:val="006C7496"/>
    <w:pPr>
      <w:framePr w:w="2268" w:hSpace="181" w:vSpace="181" w:wrap="around" w:vAnchor="text" w:hAnchor="page" w:x="1135" w:y="285" w:anchorLock="1"/>
    </w:pPr>
    <w:rPr>
      <w:i/>
    </w:rPr>
  </w:style>
  <w:style w:type="paragraph" w:customStyle="1" w:styleId="MiniTOCTitle">
    <w:name w:val="MiniTOCTitle"/>
    <w:basedOn w:val="Heading4"/>
    <w:rsid w:val="006C7496"/>
    <w:pPr>
      <w:spacing w:before="240"/>
      <w:outlineLvl w:val="9"/>
    </w:pPr>
    <w:rPr>
      <w:noProof/>
      <w:sz w:val="24"/>
    </w:rPr>
  </w:style>
  <w:style w:type="paragraph" w:customStyle="1" w:styleId="MiniTOCItem">
    <w:name w:val="MiniTOCItem"/>
    <w:basedOn w:val="ListBullet"/>
    <w:rsid w:val="006C7496"/>
    <w:pPr>
      <w:numPr>
        <w:numId w:val="0"/>
      </w:numPr>
      <w:tabs>
        <w:tab w:val="right" w:leader="dot" w:pos="6521"/>
      </w:tabs>
      <w:spacing w:before="0" w:after="0"/>
    </w:pPr>
  </w:style>
  <w:style w:type="paragraph" w:customStyle="1" w:styleId="TOFTitle">
    <w:name w:val="TOFTitle"/>
    <w:basedOn w:val="TOCTitle"/>
    <w:rsid w:val="006C7496"/>
  </w:style>
  <w:style w:type="paragraph" w:styleId="TableofFigures">
    <w:name w:val="table of figures"/>
    <w:basedOn w:val="Normal"/>
    <w:next w:val="Normal"/>
    <w:semiHidden/>
    <w:rsid w:val="006C7496"/>
    <w:pPr>
      <w:tabs>
        <w:tab w:val="right" w:leader="dot" w:pos="9072"/>
      </w:tabs>
      <w:ind w:left="970" w:hanging="403"/>
    </w:pPr>
    <w:rPr>
      <w:rFonts w:ascii="Times New Roman" w:hAnsi="Times New Roman"/>
      <w:b/>
    </w:rPr>
  </w:style>
  <w:style w:type="paragraph" w:styleId="ListNumber">
    <w:name w:val="List Number"/>
    <w:basedOn w:val="List"/>
    <w:rsid w:val="006C7496"/>
    <w:pPr>
      <w:numPr>
        <w:numId w:val="11"/>
      </w:numPr>
    </w:pPr>
  </w:style>
  <w:style w:type="character" w:customStyle="1" w:styleId="WingdingSymbols">
    <w:name w:val="Wingding Symbols"/>
    <w:rsid w:val="006C7496"/>
    <w:rPr>
      <w:rFonts w:ascii="Wingdings" w:hAnsi="Wingdings"/>
    </w:rPr>
  </w:style>
  <w:style w:type="paragraph" w:customStyle="1" w:styleId="TableHeading">
    <w:name w:val="Table Heading"/>
    <w:basedOn w:val="HeadingBase"/>
    <w:rsid w:val="006C7496"/>
    <w:pPr>
      <w:keepLines/>
      <w:pBdr>
        <w:bottom w:val="single" w:sz="6" w:space="1" w:color="918585"/>
      </w:pBdr>
      <w:spacing w:before="240"/>
    </w:pPr>
  </w:style>
  <w:style w:type="character" w:customStyle="1" w:styleId="HotSpot">
    <w:name w:val="HotSpot"/>
    <w:rsid w:val="006C7496"/>
    <w:rPr>
      <w:color w:val="0033CC"/>
      <w:u w:val="none"/>
    </w:rPr>
  </w:style>
  <w:style w:type="paragraph" w:customStyle="1" w:styleId="BodyTextRight">
    <w:name w:val="Body Text Right"/>
    <w:basedOn w:val="BodyText"/>
    <w:rsid w:val="006C7496"/>
    <w:pPr>
      <w:spacing w:before="0" w:after="0"/>
      <w:jc w:val="right"/>
    </w:pPr>
  </w:style>
  <w:style w:type="paragraph" w:styleId="Index3">
    <w:name w:val="index 3"/>
    <w:basedOn w:val="ListNumber2"/>
    <w:next w:val="Normal"/>
    <w:semiHidden/>
    <w:rsid w:val="006C7496"/>
    <w:pPr>
      <w:numPr>
        <w:numId w:val="0"/>
      </w:numPr>
      <w:tabs>
        <w:tab w:val="right" w:leader="dot" w:pos="4176"/>
      </w:tabs>
    </w:pPr>
  </w:style>
  <w:style w:type="paragraph" w:styleId="ListNumber2">
    <w:name w:val="List Number 2"/>
    <w:basedOn w:val="List2"/>
    <w:rsid w:val="006C7496"/>
    <w:pPr>
      <w:numPr>
        <w:numId w:val="10"/>
      </w:numPr>
      <w:tabs>
        <w:tab w:val="clear" w:pos="1060"/>
      </w:tabs>
    </w:pPr>
  </w:style>
  <w:style w:type="paragraph" w:customStyle="1" w:styleId="MarginNote">
    <w:name w:val="Margin Note"/>
    <w:basedOn w:val="BodyText"/>
    <w:rsid w:val="006C7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496"/>
    <w:rPr>
      <w:sz w:val="32"/>
    </w:rPr>
  </w:style>
  <w:style w:type="paragraph" w:customStyle="1" w:styleId="HeadingProcedure">
    <w:name w:val="Heading Procedure"/>
    <w:basedOn w:val="HeadingBase"/>
    <w:next w:val="Normal"/>
    <w:rsid w:val="006C7496"/>
    <w:pPr>
      <w:tabs>
        <w:tab w:val="left" w:pos="0"/>
      </w:tabs>
      <w:spacing w:before="120" w:after="60"/>
    </w:pPr>
    <w:rPr>
      <w:i/>
      <w:color w:val="918585"/>
      <w:sz w:val="22"/>
    </w:rPr>
  </w:style>
  <w:style w:type="paragraph" w:customStyle="1" w:styleId="TableBodyText">
    <w:name w:val="Table Body Text"/>
    <w:basedOn w:val="BodyText"/>
    <w:rsid w:val="006C7496"/>
    <w:pPr>
      <w:spacing w:before="60" w:after="60"/>
    </w:pPr>
  </w:style>
  <w:style w:type="paragraph" w:styleId="ListContinue">
    <w:name w:val="List Continue"/>
    <w:basedOn w:val="List"/>
    <w:rsid w:val="006C7496"/>
    <w:pPr>
      <w:ind w:firstLine="0"/>
    </w:pPr>
  </w:style>
  <w:style w:type="paragraph" w:customStyle="1" w:styleId="ListNote">
    <w:name w:val="List Note"/>
    <w:basedOn w:val="List"/>
    <w:rsid w:val="006C7496"/>
    <w:pPr>
      <w:pBdr>
        <w:top w:val="single" w:sz="6" w:space="2" w:color="918585"/>
        <w:bottom w:val="single" w:sz="6" w:space="2" w:color="918585"/>
      </w:pBdr>
      <w:tabs>
        <w:tab w:val="left" w:pos="1021"/>
      </w:tabs>
      <w:ind w:firstLine="0"/>
    </w:pPr>
  </w:style>
  <w:style w:type="paragraph" w:customStyle="1" w:styleId="Warning">
    <w:name w:val="Warning"/>
    <w:basedOn w:val="BodyText"/>
    <w:rsid w:val="006C7496"/>
    <w:pPr>
      <w:shd w:val="clear" w:color="auto" w:fill="D9D9D9"/>
      <w:tabs>
        <w:tab w:val="left" w:pos="992"/>
      </w:tabs>
      <w:ind w:left="119" w:right="119"/>
    </w:pPr>
    <w:rPr>
      <w:sz w:val="20"/>
    </w:rPr>
  </w:style>
  <w:style w:type="paragraph" w:customStyle="1" w:styleId="MarginIcons">
    <w:name w:val="Margin Icons"/>
    <w:basedOn w:val="BodyText"/>
    <w:rsid w:val="006C7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496"/>
    <w:rPr>
      <w:rFonts w:ascii="Courier New" w:hAnsi="Courier New"/>
    </w:rPr>
  </w:style>
  <w:style w:type="paragraph" w:customStyle="1" w:styleId="NoteBullet">
    <w:name w:val="Note Bullet"/>
    <w:basedOn w:val="Note"/>
    <w:rsid w:val="006C7496"/>
    <w:pPr>
      <w:tabs>
        <w:tab w:val="clear" w:pos="680"/>
      </w:tabs>
      <w:spacing w:before="60" w:after="60"/>
    </w:pPr>
  </w:style>
  <w:style w:type="paragraph" w:customStyle="1" w:styleId="SubHeading2">
    <w:name w:val="SubHeading2"/>
    <w:basedOn w:val="HeadingBase"/>
    <w:rsid w:val="006C7496"/>
    <w:pPr>
      <w:spacing w:before="240" w:after="60"/>
    </w:pPr>
    <w:rPr>
      <w:sz w:val="20"/>
    </w:rPr>
  </w:style>
  <w:style w:type="paragraph" w:customStyle="1" w:styleId="SubHeading1">
    <w:name w:val="SubHeading1"/>
    <w:basedOn w:val="HeadingBase"/>
    <w:rsid w:val="006C7496"/>
    <w:pPr>
      <w:spacing w:before="240" w:after="60"/>
    </w:pPr>
    <w:rPr>
      <w:color w:val="918585"/>
      <w:sz w:val="22"/>
    </w:rPr>
  </w:style>
  <w:style w:type="paragraph" w:customStyle="1" w:styleId="SideHeading">
    <w:name w:val="Side Heading"/>
    <w:basedOn w:val="HeadingBase"/>
    <w:rsid w:val="006C7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496"/>
    <w:pPr>
      <w:numPr>
        <w:numId w:val="12"/>
      </w:numPr>
    </w:pPr>
  </w:style>
  <w:style w:type="paragraph" w:styleId="PlainText">
    <w:name w:val="Plain Text"/>
    <w:basedOn w:val="Normal"/>
    <w:link w:val="PlainTextChar"/>
    <w:rsid w:val="006C7496"/>
    <w:rPr>
      <w:sz w:val="20"/>
    </w:rPr>
  </w:style>
  <w:style w:type="character" w:customStyle="1" w:styleId="PlainTextChar">
    <w:name w:val="Plain Text Char"/>
    <w:basedOn w:val="DefaultParagraphFont"/>
    <w:link w:val="PlainText"/>
    <w:rsid w:val="006C7496"/>
    <w:rPr>
      <w:rFonts w:ascii="Courier New" w:eastAsia="Times New Roman" w:hAnsi="Courier New" w:cs="Times New Roman"/>
      <w:sz w:val="20"/>
      <w:szCs w:val="20"/>
      <w:lang w:eastAsia="en-US"/>
    </w:rPr>
  </w:style>
  <w:style w:type="character" w:customStyle="1" w:styleId="MenuOption">
    <w:name w:val="Menu Option"/>
    <w:basedOn w:val="DefaultParagraphFont"/>
    <w:rsid w:val="006C7496"/>
    <w:rPr>
      <w:b/>
      <w:smallCaps/>
    </w:rPr>
  </w:style>
  <w:style w:type="paragraph" w:customStyle="1" w:styleId="TableListNumber">
    <w:name w:val="Table List Number"/>
    <w:basedOn w:val="ListNumber"/>
    <w:rsid w:val="006C7496"/>
    <w:pPr>
      <w:numPr>
        <w:numId w:val="0"/>
      </w:numPr>
    </w:pPr>
  </w:style>
  <w:style w:type="paragraph" w:styleId="TOC4">
    <w:name w:val="toc 4"/>
    <w:basedOn w:val="TOCBase"/>
    <w:next w:val="Normal"/>
    <w:semiHidden/>
    <w:rsid w:val="006C7496"/>
    <w:pPr>
      <w:tabs>
        <w:tab w:val="right" w:leader="dot" w:pos="9071"/>
      </w:tabs>
      <w:ind w:left="1701"/>
    </w:pPr>
  </w:style>
  <w:style w:type="paragraph" w:customStyle="1" w:styleId="ListAlpha">
    <w:name w:val="List Alpha"/>
    <w:basedOn w:val="List"/>
    <w:rsid w:val="006C7496"/>
    <w:pPr>
      <w:numPr>
        <w:numId w:val="9"/>
      </w:numPr>
    </w:pPr>
  </w:style>
  <w:style w:type="paragraph" w:customStyle="1" w:styleId="ListAlpha2">
    <w:name w:val="List Alpha 2"/>
    <w:basedOn w:val="List2"/>
    <w:rsid w:val="006C7496"/>
    <w:pPr>
      <w:numPr>
        <w:numId w:val="8"/>
      </w:numPr>
    </w:pPr>
  </w:style>
  <w:style w:type="paragraph" w:styleId="List2">
    <w:name w:val="List 2"/>
    <w:basedOn w:val="BodyText"/>
    <w:rsid w:val="006C7496"/>
    <w:pPr>
      <w:tabs>
        <w:tab w:val="left" w:pos="680"/>
      </w:tabs>
      <w:spacing w:before="60" w:after="60"/>
      <w:ind w:left="680" w:hanging="340"/>
    </w:pPr>
  </w:style>
  <w:style w:type="paragraph" w:styleId="List3">
    <w:name w:val="List 3"/>
    <w:basedOn w:val="BodyText"/>
    <w:rsid w:val="006C7496"/>
    <w:pPr>
      <w:tabs>
        <w:tab w:val="left" w:pos="1021"/>
      </w:tabs>
      <w:spacing w:before="60" w:after="60"/>
      <w:ind w:left="1020" w:hanging="340"/>
    </w:pPr>
  </w:style>
  <w:style w:type="paragraph" w:styleId="List4">
    <w:name w:val="List 4"/>
    <w:basedOn w:val="BodyText"/>
    <w:rsid w:val="006C7496"/>
    <w:pPr>
      <w:tabs>
        <w:tab w:val="left" w:pos="1361"/>
      </w:tabs>
      <w:spacing w:before="60" w:after="60"/>
      <w:ind w:left="1361" w:hanging="340"/>
    </w:pPr>
  </w:style>
  <w:style w:type="paragraph" w:styleId="List5">
    <w:name w:val="List 5"/>
    <w:basedOn w:val="BodyText"/>
    <w:rsid w:val="006C7496"/>
    <w:pPr>
      <w:tabs>
        <w:tab w:val="left" w:pos="1701"/>
      </w:tabs>
      <w:spacing w:before="60" w:after="60"/>
      <w:ind w:left="1701" w:hanging="340"/>
    </w:pPr>
  </w:style>
  <w:style w:type="paragraph" w:styleId="ListBullet3">
    <w:name w:val="List Bullet 3"/>
    <w:basedOn w:val="List3"/>
    <w:rsid w:val="006C7496"/>
    <w:pPr>
      <w:numPr>
        <w:numId w:val="15"/>
      </w:numPr>
      <w:tabs>
        <w:tab w:val="clear" w:pos="1021"/>
      </w:tabs>
      <w:ind w:left="1037" w:hanging="357"/>
    </w:pPr>
  </w:style>
  <w:style w:type="paragraph" w:styleId="ListBullet4">
    <w:name w:val="List Bullet 4"/>
    <w:basedOn w:val="List4"/>
    <w:rsid w:val="006C7496"/>
    <w:pPr>
      <w:numPr>
        <w:numId w:val="3"/>
      </w:numPr>
    </w:pPr>
  </w:style>
  <w:style w:type="paragraph" w:styleId="ListBullet5">
    <w:name w:val="List Bullet 5"/>
    <w:basedOn w:val="List5"/>
    <w:rsid w:val="006C7496"/>
    <w:pPr>
      <w:numPr>
        <w:numId w:val="4"/>
      </w:numPr>
    </w:pPr>
  </w:style>
  <w:style w:type="paragraph" w:styleId="ListContinue2">
    <w:name w:val="List Continue 2"/>
    <w:basedOn w:val="List2"/>
    <w:rsid w:val="006C7496"/>
    <w:pPr>
      <w:ind w:firstLine="0"/>
    </w:pPr>
  </w:style>
  <w:style w:type="paragraph" w:styleId="ListContinue3">
    <w:name w:val="List Continue 3"/>
    <w:basedOn w:val="List3"/>
    <w:rsid w:val="006C7496"/>
    <w:pPr>
      <w:ind w:left="1021" w:firstLine="0"/>
    </w:pPr>
  </w:style>
  <w:style w:type="paragraph" w:styleId="ListContinue4">
    <w:name w:val="List Continue 4"/>
    <w:basedOn w:val="List4"/>
    <w:rsid w:val="006C7496"/>
    <w:pPr>
      <w:ind w:firstLine="0"/>
    </w:pPr>
  </w:style>
  <w:style w:type="paragraph" w:styleId="ListContinue5">
    <w:name w:val="List Continue 5"/>
    <w:basedOn w:val="List5"/>
    <w:rsid w:val="006C7496"/>
    <w:pPr>
      <w:ind w:firstLine="0"/>
    </w:pPr>
  </w:style>
  <w:style w:type="paragraph" w:styleId="ListNumber3">
    <w:name w:val="List Number 3"/>
    <w:basedOn w:val="List3"/>
    <w:rsid w:val="006C7496"/>
    <w:pPr>
      <w:numPr>
        <w:numId w:val="5"/>
      </w:numPr>
    </w:pPr>
  </w:style>
  <w:style w:type="paragraph" w:styleId="ListNumber4">
    <w:name w:val="List Number 4"/>
    <w:basedOn w:val="List4"/>
    <w:rsid w:val="006C7496"/>
    <w:pPr>
      <w:numPr>
        <w:numId w:val="6"/>
      </w:numPr>
    </w:pPr>
  </w:style>
  <w:style w:type="paragraph" w:styleId="ListNumber5">
    <w:name w:val="List Number 5"/>
    <w:basedOn w:val="List5"/>
    <w:rsid w:val="006C7496"/>
    <w:pPr>
      <w:numPr>
        <w:numId w:val="7"/>
      </w:numPr>
    </w:pPr>
  </w:style>
  <w:style w:type="paragraph" w:styleId="BlockText">
    <w:name w:val="Block Text"/>
    <w:basedOn w:val="Normal"/>
    <w:rsid w:val="006C7496"/>
    <w:pPr>
      <w:spacing w:after="120"/>
      <w:ind w:left="1440" w:right="1440"/>
    </w:pPr>
  </w:style>
  <w:style w:type="character" w:customStyle="1" w:styleId="Subscript">
    <w:name w:val="Subscript"/>
    <w:basedOn w:val="DefaultParagraphFont"/>
    <w:rsid w:val="006C7496"/>
    <w:rPr>
      <w:sz w:val="16"/>
      <w:vertAlign w:val="subscript"/>
    </w:rPr>
  </w:style>
  <w:style w:type="character" w:customStyle="1" w:styleId="Superscript">
    <w:name w:val="Superscript"/>
    <w:basedOn w:val="DefaultParagraphFont"/>
    <w:rsid w:val="006C7496"/>
    <w:rPr>
      <w:sz w:val="16"/>
      <w:vertAlign w:val="superscript"/>
    </w:rPr>
  </w:style>
  <w:style w:type="character" w:customStyle="1" w:styleId="Symbols">
    <w:name w:val="Symbols"/>
    <w:basedOn w:val="DefaultParagraphFont"/>
    <w:rsid w:val="006C7496"/>
    <w:rPr>
      <w:rFonts w:ascii="Symbol" w:hAnsi="Symbol"/>
    </w:rPr>
  </w:style>
  <w:style w:type="character" w:customStyle="1" w:styleId="MenuOptions">
    <w:name w:val="Menu Options"/>
    <w:basedOn w:val="DefaultParagraphFont"/>
    <w:rsid w:val="006C7496"/>
    <w:rPr>
      <w:rFonts w:ascii="Arial Narrow" w:hAnsi="Arial Narrow"/>
      <w:smallCaps/>
    </w:rPr>
  </w:style>
  <w:style w:type="character" w:customStyle="1" w:styleId="Buttons">
    <w:name w:val="Buttons"/>
    <w:basedOn w:val="DefaultParagraphFont"/>
    <w:rsid w:val="006C7496"/>
    <w:rPr>
      <w:b/>
    </w:rPr>
  </w:style>
  <w:style w:type="character" w:customStyle="1" w:styleId="Underlined">
    <w:name w:val="Underlined"/>
    <w:basedOn w:val="DefaultParagraphFont"/>
    <w:rsid w:val="006C7496"/>
    <w:rPr>
      <w:u w:val="single"/>
    </w:rPr>
  </w:style>
  <w:style w:type="paragraph" w:customStyle="1" w:styleId="TableBodyTextRight">
    <w:name w:val="Table Body Text Right"/>
    <w:basedOn w:val="TableBodyText"/>
    <w:rsid w:val="006C7496"/>
    <w:pPr>
      <w:widowControl w:val="0"/>
      <w:autoSpaceDE w:val="0"/>
      <w:autoSpaceDN w:val="0"/>
      <w:adjustRightInd w:val="0"/>
      <w:jc w:val="right"/>
    </w:pPr>
    <w:rPr>
      <w:rFonts w:cs="Arial"/>
      <w:szCs w:val="18"/>
    </w:rPr>
  </w:style>
  <w:style w:type="paragraph" w:customStyle="1" w:styleId="CopyrightText">
    <w:name w:val="Copyright Text"/>
    <w:basedOn w:val="BodyText"/>
    <w:rsid w:val="006C7496"/>
    <w:rPr>
      <w:sz w:val="18"/>
    </w:rPr>
  </w:style>
  <w:style w:type="paragraph" w:customStyle="1" w:styleId="BodySmallRight">
    <w:name w:val="Body Small Right"/>
    <w:basedOn w:val="BodyTextRight"/>
    <w:rsid w:val="006C7496"/>
    <w:rPr>
      <w:sz w:val="18"/>
      <w:szCs w:val="18"/>
    </w:rPr>
  </w:style>
  <w:style w:type="paragraph" w:customStyle="1" w:styleId="MarginEdition">
    <w:name w:val="Margin Edition"/>
    <w:basedOn w:val="MarginNote"/>
    <w:rsid w:val="006C7496"/>
    <w:pPr>
      <w:spacing w:before="0" w:after="0"/>
    </w:pPr>
    <w:rPr>
      <w:rFonts w:ascii="Times New Roman" w:hAnsi="Times New Roman"/>
      <w:color w:val="999999"/>
    </w:rPr>
  </w:style>
  <w:style w:type="paragraph" w:customStyle="1" w:styleId="Spacer">
    <w:name w:val="Spacer"/>
    <w:basedOn w:val="Normal"/>
    <w:rsid w:val="006C7496"/>
    <w:rPr>
      <w:sz w:val="2"/>
      <w:szCs w:val="2"/>
    </w:rPr>
  </w:style>
  <w:style w:type="character" w:customStyle="1" w:styleId="Small">
    <w:name w:val="Small"/>
    <w:basedOn w:val="DefaultParagraphFont"/>
    <w:rsid w:val="006C7496"/>
    <w:rPr>
      <w:sz w:val="16"/>
    </w:rPr>
  </w:style>
  <w:style w:type="paragraph" w:customStyle="1" w:styleId="WideTable">
    <w:name w:val="Wide Table"/>
    <w:basedOn w:val="Normal"/>
    <w:rsid w:val="006C7496"/>
    <w:pPr>
      <w:ind w:left="-1418"/>
    </w:pPr>
    <w:rPr>
      <w:sz w:val="2"/>
      <w:szCs w:val="2"/>
    </w:rPr>
  </w:style>
  <w:style w:type="character" w:styleId="PageNumber">
    <w:name w:val="page number"/>
    <w:basedOn w:val="DefaultParagraphFont"/>
    <w:rsid w:val="006C7496"/>
  </w:style>
  <w:style w:type="paragraph" w:styleId="Quote">
    <w:name w:val="Quote"/>
    <w:basedOn w:val="Heading1"/>
    <w:link w:val="QuoteChar"/>
    <w:qFormat/>
    <w:rsid w:val="006C7496"/>
    <w:rPr>
      <w:b w:val="0"/>
      <w:sz w:val="72"/>
      <w:szCs w:val="72"/>
      <w:lang w:val="en-NZ"/>
    </w:rPr>
  </w:style>
  <w:style w:type="character" w:customStyle="1" w:styleId="QuoteChar">
    <w:name w:val="Quote Char"/>
    <w:basedOn w:val="DefaultParagraphFont"/>
    <w:link w:val="Quote"/>
    <w:rsid w:val="006C7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496"/>
    <w:pPr>
      <w:pageBreakBefore/>
    </w:pPr>
  </w:style>
  <w:style w:type="paragraph" w:customStyle="1" w:styleId="Border">
    <w:name w:val="Border"/>
    <w:basedOn w:val="Normal"/>
    <w:qFormat/>
    <w:rsid w:val="006C7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496"/>
    <w:rPr>
      <w:b/>
      <w:bCs/>
      <w:i/>
      <w:iCs/>
      <w:color w:val="auto"/>
    </w:rPr>
  </w:style>
  <w:style w:type="paragraph" w:styleId="IntenseQuote">
    <w:name w:val="Intense Quote"/>
    <w:basedOn w:val="Normal"/>
    <w:next w:val="Normal"/>
    <w:link w:val="IntenseQuoteChar"/>
    <w:uiPriority w:val="30"/>
    <w:qFormat/>
    <w:rsid w:val="006C7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496"/>
    <w:rPr>
      <w:smallCaps/>
      <w:color w:val="auto"/>
      <w:u w:val="single"/>
    </w:rPr>
  </w:style>
  <w:style w:type="character" w:styleId="IntenseReference">
    <w:name w:val="Intense Reference"/>
    <w:basedOn w:val="DefaultParagraphFont"/>
    <w:uiPriority w:val="32"/>
    <w:qFormat/>
    <w:rsid w:val="006C7496"/>
    <w:rPr>
      <w:b/>
      <w:bCs/>
      <w:smallCaps/>
      <w:color w:val="auto"/>
      <w:spacing w:val="5"/>
      <w:u w:val="single"/>
    </w:rPr>
  </w:style>
  <w:style w:type="paragraph" w:customStyle="1" w:styleId="2ColumnHeading">
    <w:name w:val="2Column Heading"/>
    <w:basedOn w:val="BodyText"/>
    <w:qFormat/>
    <w:rsid w:val="006C7496"/>
    <w:pPr>
      <w:spacing w:after="60"/>
      <w:ind w:left="-2268"/>
    </w:pPr>
    <w:rPr>
      <w:b/>
    </w:rPr>
  </w:style>
  <w:style w:type="paragraph" w:customStyle="1" w:styleId="Heading1TOC">
    <w:name w:val="Heading1 TOC"/>
    <w:basedOn w:val="Normal"/>
    <w:qFormat/>
    <w:rsid w:val="006C7496"/>
    <w:pPr>
      <w:spacing w:before="240" w:after="120"/>
    </w:pPr>
    <w:rPr>
      <w:rFonts w:ascii="Times New Roman" w:hAnsi="Times New Roman"/>
      <w:b/>
      <w:sz w:val="32"/>
    </w:rPr>
  </w:style>
  <w:style w:type="paragraph" w:customStyle="1" w:styleId="Heading2TOC">
    <w:name w:val="Heading2 TOC"/>
    <w:basedOn w:val="Normal"/>
    <w:qFormat/>
    <w:rsid w:val="006C7496"/>
    <w:pPr>
      <w:spacing w:before="240" w:after="60"/>
    </w:pPr>
    <w:rPr>
      <w:rFonts w:ascii="Times New Roman" w:hAnsi="Times New Roman"/>
      <w:b/>
      <w:sz w:val="28"/>
    </w:rPr>
  </w:style>
  <w:style w:type="character" w:customStyle="1" w:styleId="Underline">
    <w:name w:val="Underline"/>
    <w:basedOn w:val="DefaultParagraphFont"/>
    <w:qFormat/>
    <w:rsid w:val="006C7496"/>
    <w:rPr>
      <w:u w:val="single"/>
    </w:rPr>
  </w:style>
  <w:style w:type="character" w:customStyle="1" w:styleId="BoldandItalics">
    <w:name w:val="Bold and Italics"/>
    <w:qFormat/>
    <w:rsid w:val="006C7496"/>
    <w:rPr>
      <w:b/>
      <w:i/>
      <w:u w:val="none"/>
    </w:rPr>
  </w:style>
  <w:style w:type="paragraph" w:styleId="BalloonText">
    <w:name w:val="Balloon Text"/>
    <w:basedOn w:val="Normal"/>
    <w:link w:val="BalloonTextChar"/>
    <w:rsid w:val="006C7496"/>
    <w:rPr>
      <w:rFonts w:ascii="Tahoma" w:hAnsi="Tahoma" w:cs="Tahoma"/>
      <w:sz w:val="16"/>
      <w:szCs w:val="16"/>
    </w:rPr>
  </w:style>
  <w:style w:type="character" w:customStyle="1" w:styleId="BalloonTextChar">
    <w:name w:val="Balloon Text Char"/>
    <w:basedOn w:val="DefaultParagraphFont"/>
    <w:link w:val="BalloonText"/>
    <w:rsid w:val="006C7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4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496"/>
    <w:rPr>
      <w:b/>
      <w:color w:val="660033"/>
      <w:spacing w:val="0"/>
    </w:rPr>
  </w:style>
  <w:style w:type="paragraph" w:customStyle="1" w:styleId="Nameditemlist">
    <w:name w:val="Named item list"/>
    <w:basedOn w:val="BodyText"/>
    <w:qFormat/>
    <w:rsid w:val="006C74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2169</Words>
  <Characters>13201</Characters>
  <Application>Microsoft Office Word</Application>
  <DocSecurity>0</DocSecurity>
  <Lines>496</Lines>
  <Paragraphs>224</Paragraphs>
  <ScaleCrop>false</ScaleCrop>
  <Company>Author-it Software Corporation Ltd.</Company>
  <LinksUpToDate>false</LinksUpToDate>
  <CharactersWithSpaces>15258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UEENEEH112A Troubleshoot digital sub-systems</dc:title>
  <dc:subject>Approved</dc:subject>
  <dc:creator>E-OZ Training Standards</dc:creator>
  <cp:keywords>Release: 2</cp:keywords>
  <dc:description>Review Date: 12 April 2008</dc:description>
  <cp:lastModifiedBy>TPCMS</cp:lastModifiedBy>
  <cp:revision>3</cp:revision>
  <dcterms:created xsi:type="dcterms:W3CDTF">2013-08-14T06:45:00Z</dcterms:created>
  <dcterms:modified xsi:type="dcterms:W3CDTF">2013-08-14T06:45:00Z</dcterms:modified>
</cp:coreProperties>
</file>