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661B" w:rsidP="00AB661B">
      <w:pPr>
        <w:pStyle w:val="Title"/>
      </w:pPr>
      <w:r>
        <w:fldChar w:fldCharType="begin"/>
      </w:r>
      <w:r>
        <w:instrText xml:space="preserve"> TITLE   \* MERGEFORMAT </w:instrText>
      </w:r>
      <w:r>
        <w:fldChar w:fldCharType="separate"/>
      </w:r>
      <w:r>
        <w:t>UEENEEH109A Set up and test gaming and game equipment</w:t>
      </w:r>
      <w:r>
        <w:fldChar w:fldCharType="end"/>
      </w:r>
    </w:p>
    <w:p w:rsidR="00AB661B" w:rsidP="00AB661B">
      <w:pPr>
        <w:pStyle w:val="Version"/>
        <w:sectPr w:rsidSect="005E02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0294" w:rsidP="005E0294">
      <w:pPr>
        <w:pStyle w:val="SuperHeading"/>
      </w:pPr>
      <w:r w:rsidRPr="005E0294">
        <w:t>UEENEEH109A Set up and test gaming and game equipment</w:t>
      </w:r>
    </w:p>
    <w:p w:rsidR="00000000" w:rsidRPr="005E0294" w:rsidP="005E0294">
      <w:pPr>
        <w:pStyle w:val="Heading1"/>
      </w:pPr>
      <w:bookmarkStart w:id="1" w:name="O_421384"/>
      <w:bookmarkEnd w:id="1"/>
      <w:r w:rsidRPr="005E0294">
        <w:t>Modification History</w:t>
      </w:r>
    </w:p>
    <w:p w:rsidR="00000000" w:rsidRPr="005E0294" w:rsidP="005E0294">
      <w:pPr>
        <w:pStyle w:val="BodyText"/>
      </w:pPr>
      <w:r w:rsidRPr="005E0294">
        <w:t>Not applicable.</w:t>
      </w:r>
    </w:p>
    <w:p w:rsidR="00000000" w:rsidRPr="005E0294" w:rsidP="005E0294">
      <w:pPr>
        <w:pStyle w:val="AllowPageBreak"/>
      </w:pPr>
    </w:p>
    <w:p w:rsidR="00000000" w:rsidRPr="005E0294" w:rsidP="005E0294">
      <w:pPr>
        <w:pStyle w:val="Heading1"/>
      </w:pPr>
      <w:bookmarkStart w:id="2" w:name="O_421380"/>
      <w:bookmarkEnd w:id="2"/>
      <w:r w:rsidRPr="005E0294">
        <w:t>Unit Descriptor</w:t>
      </w:r>
    </w:p>
    <w:tbl>
      <w:tblPr>
        <w:tblW w:w="0" w:type="auto"/>
        <w:tblLayout w:type="fixed"/>
        <w:tblCellMar>
          <w:left w:w="62" w:type="dxa"/>
          <w:right w:w="62" w:type="dxa"/>
        </w:tblCellMar>
        <w:tblLook w:val="0000"/>
      </w:tblPr>
      <w:tblGrid>
        <w:gridCol w:w="2700"/>
        <w:gridCol w:w="5760"/>
      </w:tblGrid>
      <w:tr w:rsidTr="00AB661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E0294" w:rsidP="005E0294">
            <w:pPr>
              <w:pStyle w:val="BodyText"/>
            </w:pPr>
            <w:r w:rsidRPr="005E029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rPr>
                <w:rStyle w:val="SpecialBold"/>
              </w:rPr>
              <w:t>1)</w:t>
            </w:r>
            <w:r w:rsidRPr="005E0294">
              <w:t xml:space="preserve"> </w:t>
            </w:r>
            <w:r w:rsidRPr="005E0294">
              <w:rPr>
                <w:rStyle w:val="SpecialBold"/>
              </w:rPr>
              <w:t>Scope:</w:t>
            </w:r>
          </w:p>
        </w:tc>
      </w:tr>
      <w:tr w:rsidTr="00AB66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E029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rPr>
                <w:rStyle w:val="SpecialBold"/>
              </w:rPr>
              <w:t>1.1) Descriptor</w:t>
            </w:r>
          </w:p>
        </w:tc>
      </w:tr>
      <w:tr w:rsidTr="00AB66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E0294" w:rsidP="005E0294">
            <w:pPr>
              <w:pStyle w:val="BodyText"/>
            </w:pPr>
            <w:r w:rsidRPr="005E0294">
              <w:t xml:space="preserve">This unit covers setting-up of electronic gaming and games equipment to manufactures’ instructions in compliance with regulations. It encompasses safe working practices, connection and secure placement of gaming/games equipment, following written and oral </w:t>
            </w:r>
            <w:r w:rsidRPr="005E0294">
              <w:t>instruction and procedures and customer relations.</w:t>
            </w:r>
          </w:p>
        </w:tc>
      </w:tr>
    </w:tbl>
    <w:p w:rsidR="00000000" w:rsidRPr="005E0294" w:rsidP="005E0294">
      <w:pPr>
        <w:pStyle w:val="BodyText"/>
      </w:pPr>
    </w:p>
    <w:p w:rsidR="00000000" w:rsidRPr="005E0294" w:rsidP="005E0294">
      <w:pPr>
        <w:pStyle w:val="AllowPageBreak"/>
      </w:pPr>
    </w:p>
    <w:p w:rsidR="00000000" w:rsidRPr="005E0294" w:rsidP="005E0294">
      <w:pPr>
        <w:pStyle w:val="Heading1"/>
      </w:pPr>
      <w:bookmarkStart w:id="3" w:name="O_421363"/>
      <w:bookmarkEnd w:id="3"/>
      <w:r w:rsidRPr="005E0294">
        <w:t>Application of the Unit</w:t>
      </w:r>
    </w:p>
    <w:tbl>
      <w:tblPr>
        <w:tblW w:w="0" w:type="auto"/>
        <w:tblLayout w:type="fixed"/>
        <w:tblCellMar>
          <w:left w:w="62" w:type="dxa"/>
          <w:right w:w="62" w:type="dxa"/>
        </w:tblCellMar>
        <w:tblLook w:val="0000"/>
      </w:tblPr>
      <w:tblGrid>
        <w:gridCol w:w="2672"/>
        <w:gridCol w:w="5699"/>
      </w:tblGrid>
      <w:tr w:rsidTr="00AB661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5E0294" w:rsidP="005E0294">
            <w:pPr>
              <w:pStyle w:val="BodyText"/>
            </w:pPr>
            <w:r w:rsidRPr="005E0294">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rPr>
                <w:rStyle w:val="SpecialBold"/>
              </w:rPr>
              <w:t>2)</w:t>
            </w:r>
          </w:p>
        </w:tc>
      </w:tr>
      <w:tr w:rsidTr="00AB661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5E0294" w:rsidP="005E0294">
            <w:pPr>
              <w:pStyle w:val="BodyText"/>
            </w:pPr>
            <w:r w:rsidRPr="005E0294">
              <w:t>This unit is intended for competency development entry-level employment based programs incorporated in approved contracts of training or approved training programs. It may also be used to augment previously acquired competencies.</w:t>
            </w:r>
          </w:p>
        </w:tc>
      </w:tr>
    </w:tbl>
    <w:p w:rsidR="00000000" w:rsidRPr="005E0294" w:rsidP="005E0294">
      <w:pPr>
        <w:pStyle w:val="BodyText"/>
      </w:pPr>
    </w:p>
    <w:p w:rsidR="00000000" w:rsidRPr="005E0294" w:rsidP="005E0294">
      <w:pPr>
        <w:pStyle w:val="AllowPageBreak"/>
      </w:pPr>
    </w:p>
    <w:p w:rsidR="00000000" w:rsidRPr="005E0294" w:rsidP="005E0294">
      <w:pPr>
        <w:pStyle w:val="Heading1"/>
      </w:pPr>
      <w:bookmarkStart w:id="4" w:name="O_421374"/>
      <w:bookmarkEnd w:id="4"/>
      <w:r w:rsidRPr="005E0294">
        <w:t>Licensi</w:t>
      </w:r>
      <w:r w:rsidRPr="005E0294">
        <w:t>ng/Regulatory Information</w:t>
      </w:r>
    </w:p>
    <w:tbl>
      <w:tblPr>
        <w:tblW w:w="0" w:type="auto"/>
        <w:tblLayout w:type="fixed"/>
        <w:tblCellMar>
          <w:left w:w="62" w:type="dxa"/>
          <w:right w:w="62" w:type="dxa"/>
        </w:tblCellMar>
        <w:tblLook w:val="0000"/>
      </w:tblPr>
      <w:tblGrid>
        <w:gridCol w:w="2700"/>
        <w:gridCol w:w="5760"/>
      </w:tblGrid>
      <w:tr w:rsidTr="00AB661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E0294" w:rsidP="005E0294">
            <w:pPr>
              <w:pStyle w:val="BodyText"/>
            </w:pPr>
            <w:r w:rsidRPr="005E0294">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rPr>
                <w:rStyle w:val="SpecialBold"/>
              </w:rPr>
              <w:t xml:space="preserve">3) </w:t>
            </w:r>
          </w:p>
        </w:tc>
      </w:tr>
      <w:tr w:rsidTr="00AB66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E0294" w:rsidP="005E0294">
            <w:pPr>
              <w:pStyle w:val="BodyText"/>
            </w:pPr>
            <w:r w:rsidRPr="005E0294">
              <w:t xml:space="preserve">The skills and knowledge described in this unit do not require a license to practice in the workplace. However, practice in this unit is subject to regulations directly related to occupational health and </w:t>
            </w:r>
            <w:r w:rsidRPr="005E0294">
              <w:t>safety, access to gaming premises and where applicable contracts of training such as apprenticeships.</w:t>
            </w:r>
          </w:p>
          <w:p w:rsidR="00000000" w:rsidRPr="005E0294" w:rsidP="005E0294">
            <w:pPr>
              <w:pStyle w:val="BodyText"/>
            </w:pPr>
            <w:r w:rsidRPr="005E0294">
              <w:t xml:space="preserve">Note: </w:t>
            </w:r>
          </w:p>
          <w:p w:rsidR="00000000" w:rsidRPr="005E0294" w:rsidP="005E0294">
            <w:pPr>
              <w:pStyle w:val="BodyText"/>
            </w:pPr>
            <w:r w:rsidRPr="005E0294">
              <w:t xml:space="preserve">1. Compliance with permits may be required in various </w:t>
            </w:r>
            <w:r w:rsidRPr="005E0294">
              <w:t>jurisdictions and typically relates to the operation of plant, machinery and equipment such a</w:t>
            </w:r>
            <w:r w:rsidRPr="005E0294">
              <w:t>s elevating work platforms, powder operated fixing tools, power operated tools, vehicles, road signage and traffic control, lifting equipment and the like. Permits may also be required for some work environments such as confined spaces, working aloft, near</w:t>
            </w:r>
            <w:r w:rsidRPr="005E0294">
              <w:t xml:space="preserve"> live electrical apparatus and site rehabilitation.</w:t>
            </w:r>
          </w:p>
          <w:p w:rsidR="00000000" w:rsidRPr="005E0294" w:rsidP="005E0294">
            <w:pPr>
              <w:pStyle w:val="BodyText"/>
            </w:pPr>
            <w:r w:rsidRPr="005E0294">
              <w:t>2. Compliance may be required in various jurisdictions relating to currency in First Aid, confined space, lifting and risk safety measures.</w:t>
            </w:r>
          </w:p>
        </w:tc>
      </w:tr>
    </w:tbl>
    <w:p w:rsidR="00000000" w:rsidRPr="005E0294" w:rsidP="005E0294">
      <w:pPr>
        <w:pStyle w:val="BodyText"/>
      </w:pPr>
    </w:p>
    <w:p w:rsidR="00000000" w:rsidRPr="005E0294" w:rsidP="005E0294">
      <w:pPr>
        <w:pStyle w:val="AllowPageBreak"/>
      </w:pPr>
    </w:p>
    <w:p w:rsidR="00000000" w:rsidRPr="005E0294" w:rsidP="005E0294">
      <w:pPr>
        <w:pStyle w:val="Heading1"/>
      </w:pPr>
      <w:bookmarkStart w:id="5" w:name="O_421375"/>
      <w:bookmarkEnd w:id="5"/>
      <w:r w:rsidRPr="005E0294">
        <w:t>Pre-Requisites</w:t>
      </w:r>
    </w:p>
    <w:tbl>
      <w:tblPr>
        <w:tblW w:w="0" w:type="auto"/>
        <w:tblLayout w:type="fixed"/>
        <w:tblCellMar>
          <w:left w:w="62" w:type="dxa"/>
          <w:right w:w="62" w:type="dxa"/>
        </w:tblCellMar>
        <w:tblLook w:val="0000"/>
      </w:tblPr>
      <w:tblGrid>
        <w:gridCol w:w="2700"/>
        <w:gridCol w:w="1440"/>
        <w:gridCol w:w="4320"/>
      </w:tblGrid>
      <w:tr w:rsidTr="00AB661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E0294" w:rsidP="005E0294">
            <w:pPr>
              <w:pStyle w:val="BodyText"/>
            </w:pPr>
            <w:r w:rsidRPr="005E0294">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rPr>
                <w:rStyle w:val="SpecialBold"/>
              </w:rPr>
              <w:t xml:space="preserve">4) </w:t>
            </w:r>
          </w:p>
        </w:tc>
      </w:tr>
      <w:tr w:rsidTr="00AB66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E0294" w:rsidP="005E0294">
            <w:pPr>
              <w:pStyle w:val="BodyText"/>
            </w:pPr>
            <w:r w:rsidRPr="005E0294">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rPr>
                <w:rStyle w:val="SpecialBold"/>
              </w:rPr>
              <w:t>4.1)</w:t>
            </w:r>
          </w:p>
        </w:tc>
      </w:tr>
      <w:tr w:rsidTr="00AB66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t>Granting competency in this unit shall be made only after competency in the following unit(s) has/have been confirmed.</w:t>
            </w:r>
          </w:p>
        </w:tc>
      </w:tr>
      <w:tr w:rsidTr="00AB661B">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t>UEENEEE101A</w:t>
            </w:r>
          </w:p>
        </w:tc>
        <w:tc>
          <w:tcPr>
            <w:tcW w:w="4320" w:type="dxa"/>
            <w:tcBorders>
              <w:top w:val="nil"/>
              <w:left w:val="nil"/>
              <w:bottom w:val="nil"/>
              <w:right w:val="nil"/>
            </w:tcBorders>
            <w:tcMar>
              <w:top w:w="0" w:type="dxa"/>
              <w:left w:w="62" w:type="dxa"/>
              <w:bottom w:w="0" w:type="dxa"/>
              <w:right w:w="62" w:type="dxa"/>
            </w:tcMar>
          </w:tcPr>
          <w:p w:rsidR="00000000" w:rsidRPr="005E0294" w:rsidP="005E0294">
            <w:pPr>
              <w:pStyle w:val="BodyText"/>
            </w:pPr>
            <w:r w:rsidRPr="005E0294">
              <w:t xml:space="preserve">Apply Occupational Health and Safety regulations, codes and practices in the workplace                  </w:t>
            </w:r>
          </w:p>
        </w:tc>
      </w:tr>
    </w:tbl>
    <w:p w:rsidR="00000000" w:rsidRPr="005E0294" w:rsidP="005E0294">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AB661B">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5E0294" w:rsidP="005E0294">
            <w:pPr>
              <w:pStyle w:val="BodyText"/>
            </w:pPr>
            <w:r w:rsidRPr="005E029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rPr>
                <w:rStyle w:val="SpecialBold"/>
              </w:rPr>
              <w:t xml:space="preserve">4.2) </w:t>
            </w:r>
          </w:p>
        </w:tc>
      </w:tr>
      <w:tr w:rsidTr="00AB66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t>Participants are best equipped to achieve competency in this unit if they have reading, writing and numeracy skills indicated by the following scales. Description of each scale is given in Volume 2, Part 3 ‘Literacy and Numeracy’</w:t>
            </w:r>
          </w:p>
        </w:tc>
      </w:tr>
      <w:tr w:rsidTr="00AB66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t>Reading</w:t>
            </w:r>
          </w:p>
        </w:tc>
        <w:tc>
          <w:tcPr>
            <w:tcW w:w="810" w:type="dxa"/>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t>3</w:t>
            </w:r>
          </w:p>
        </w:tc>
        <w:tc>
          <w:tcPr>
            <w:tcW w:w="990" w:type="dxa"/>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t>Writing</w:t>
            </w:r>
          </w:p>
        </w:tc>
        <w:tc>
          <w:tcPr>
            <w:tcW w:w="900" w:type="dxa"/>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t>3</w:t>
            </w:r>
          </w:p>
        </w:tc>
        <w:tc>
          <w:tcPr>
            <w:tcW w:w="1260" w:type="dxa"/>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t>Numeracy</w:t>
            </w:r>
          </w:p>
        </w:tc>
        <w:tc>
          <w:tcPr>
            <w:tcW w:w="720" w:type="dxa"/>
            <w:tcBorders>
              <w:top w:val="nil"/>
              <w:left w:val="nil"/>
              <w:bottom w:val="nil"/>
              <w:right w:val="nil"/>
            </w:tcBorders>
            <w:tcMar>
              <w:top w:w="0" w:type="dxa"/>
              <w:left w:w="62" w:type="dxa"/>
              <w:bottom w:w="0" w:type="dxa"/>
              <w:right w:w="62" w:type="dxa"/>
            </w:tcMar>
          </w:tcPr>
          <w:p w:rsidR="00000000" w:rsidRPr="005E0294" w:rsidP="005E0294">
            <w:pPr>
              <w:pStyle w:val="BodyText"/>
            </w:pPr>
            <w:r w:rsidRPr="005E0294">
              <w:t>3</w:t>
            </w:r>
          </w:p>
        </w:tc>
      </w:tr>
    </w:tbl>
    <w:p w:rsidR="00000000" w:rsidRPr="005E0294" w:rsidP="005E0294">
      <w:pPr>
        <w:pStyle w:val="BodyText"/>
      </w:pPr>
    </w:p>
    <w:p w:rsidR="00000000" w:rsidRPr="005E0294" w:rsidP="005E0294">
      <w:pPr>
        <w:pStyle w:val="AllowPageBreak"/>
      </w:pPr>
    </w:p>
    <w:p w:rsidR="00000000" w:rsidRPr="005E0294" w:rsidP="005E0294">
      <w:pPr>
        <w:pStyle w:val="Heading1"/>
      </w:pPr>
      <w:bookmarkStart w:id="6" w:name="O_421368"/>
      <w:bookmarkEnd w:id="6"/>
      <w:r w:rsidRPr="005E0294">
        <w:t>Employability Skills Information</w:t>
      </w:r>
    </w:p>
    <w:tbl>
      <w:tblPr>
        <w:tblW w:w="0" w:type="auto"/>
        <w:tblLayout w:type="fixed"/>
        <w:tblCellMar>
          <w:left w:w="62" w:type="dxa"/>
          <w:right w:w="62" w:type="dxa"/>
        </w:tblCellMar>
        <w:tblLook w:val="0000"/>
      </w:tblPr>
      <w:tblGrid>
        <w:gridCol w:w="2700"/>
        <w:gridCol w:w="5760"/>
      </w:tblGrid>
      <w:tr w:rsidTr="00AB661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E0294" w:rsidP="005E0294">
            <w:pPr>
              <w:pStyle w:val="BodyText"/>
            </w:pPr>
            <w:r w:rsidRPr="005E029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rPr>
                <w:rStyle w:val="SpecialBold"/>
              </w:rPr>
              <w:t xml:space="preserve">5) </w:t>
            </w:r>
          </w:p>
        </w:tc>
      </w:tr>
      <w:tr w:rsidTr="00AB66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E0294" w:rsidP="005E0294">
            <w:pPr>
              <w:pStyle w:val="BodyText"/>
            </w:pPr>
            <w:r w:rsidRPr="005E0294">
              <w:t>This unit contains Employability Skills</w:t>
            </w:r>
          </w:p>
          <w:p w:rsidR="00000000" w:rsidRPr="005E0294" w:rsidP="005E0294">
            <w:pPr>
              <w:pStyle w:val="BodyText"/>
            </w:pPr>
            <w:r w:rsidRPr="005E0294">
              <w:t xml:space="preserve">The required outcomes described in this unit of competency contain </w:t>
            </w:r>
            <w:r w:rsidRPr="005E0294">
              <w:t>applicable facets of Employability Skills. The Employability Skills Summary of the qualification in which this unit of competency is packaged will assist in identifying Employability Skill requirements.</w:t>
            </w:r>
          </w:p>
        </w:tc>
      </w:tr>
    </w:tbl>
    <w:p w:rsidR="00000000" w:rsidRPr="005E0294" w:rsidP="005E0294">
      <w:pPr>
        <w:pStyle w:val="BodyText"/>
      </w:pPr>
    </w:p>
    <w:p w:rsidR="00000000" w:rsidRPr="005E0294" w:rsidP="005E0294">
      <w:pPr>
        <w:pStyle w:val="AllowPageBreak"/>
      </w:pPr>
    </w:p>
    <w:p w:rsidR="00000000" w:rsidRPr="005E0294" w:rsidP="005E0294">
      <w:pPr>
        <w:pStyle w:val="Heading1"/>
      </w:pPr>
      <w:bookmarkStart w:id="7" w:name="O_421367"/>
      <w:bookmarkEnd w:id="7"/>
      <w:r w:rsidRPr="005E0294">
        <w:t>Elements and Performance Criteria Pre-Content</w:t>
      </w:r>
    </w:p>
    <w:tbl>
      <w:tblPr>
        <w:tblW w:w="0" w:type="auto"/>
        <w:tblLayout w:type="fixed"/>
        <w:tblCellMar>
          <w:left w:w="62" w:type="dxa"/>
          <w:right w:w="62" w:type="dxa"/>
        </w:tblCellMar>
        <w:tblLook w:val="0000"/>
      </w:tblPr>
      <w:tblGrid>
        <w:gridCol w:w="2700"/>
        <w:gridCol w:w="5760"/>
      </w:tblGrid>
      <w:tr w:rsidTr="00AB66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rPr>
                <w:rStyle w:val="SpecialBold"/>
              </w:rPr>
              <w:t>6)</w:t>
            </w:r>
            <w:r w:rsidRPr="005E0294">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5E0294" w:rsidP="005E0294">
            <w:pPr>
              <w:pStyle w:val="BodyText"/>
            </w:pPr>
            <w:r w:rsidRPr="005E0294">
              <w:t>Performance Criteria describe the required performance needed to demonstrate achievement of the element. Assessment of performance is to</w:t>
            </w:r>
            <w:r w:rsidRPr="005E0294">
              <w:t xml:space="preserve"> be consistent with the Evidence Guide.</w:t>
            </w:r>
          </w:p>
        </w:tc>
      </w:tr>
    </w:tbl>
    <w:p w:rsidR="00000000" w:rsidRPr="005E0294" w:rsidP="005E0294">
      <w:pPr>
        <w:pStyle w:val="BodyText"/>
      </w:pPr>
    </w:p>
    <w:p w:rsidR="00000000" w:rsidRPr="005E0294" w:rsidP="005E0294">
      <w:pPr>
        <w:pStyle w:val="AllowPageBreak"/>
      </w:pPr>
    </w:p>
    <w:p w:rsidR="00000000" w:rsidRPr="005E0294" w:rsidP="005E0294">
      <w:pPr>
        <w:pStyle w:val="Heading1"/>
      </w:pPr>
      <w:bookmarkStart w:id="8" w:name="O_421365"/>
      <w:bookmarkEnd w:id="8"/>
      <w:r w:rsidRPr="005E0294">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AB661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E0294" w:rsidP="005E0294">
            <w:pPr>
              <w:pStyle w:val="BodyText"/>
            </w:pPr>
            <w:r w:rsidRPr="005E029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rPr>
                <w:rStyle w:val="SpecialBold"/>
              </w:rPr>
              <w:t>PERFORMANCE CRITERIA</w:t>
            </w:r>
          </w:p>
        </w:tc>
      </w:tr>
      <w:tr w:rsidTr="00AB661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t>1</w:t>
            </w:r>
          </w:p>
        </w:tc>
        <w:tc>
          <w:tcPr>
            <w:tcW w:w="2340" w:type="dxa"/>
            <w:vMerge w:val="restart"/>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t>Prepare to set up gaming equipment.</w:t>
            </w:r>
          </w:p>
        </w:tc>
        <w:tc>
          <w:tcPr>
            <w:tcW w:w="900" w:type="dxa"/>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t>1.1</w:t>
            </w:r>
          </w:p>
        </w:tc>
        <w:tc>
          <w:tcPr>
            <w:tcW w:w="4860" w:type="dxa"/>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t>OHS procedures for a given work area are identified, obtained and understood through established routines and procedures.</w:t>
            </w:r>
          </w:p>
        </w:tc>
      </w:tr>
      <w:tr w:rsidTr="00AB661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t>1.2</w:t>
            </w:r>
          </w:p>
        </w:tc>
        <w:tc>
          <w:tcPr>
            <w:tcW w:w="4860" w:type="dxa"/>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t>Established OHS risk control measures and procedures are followed in preparation for the work.</w:t>
            </w:r>
          </w:p>
        </w:tc>
      </w:tr>
      <w:tr w:rsidTr="00AB661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t>1.3</w:t>
            </w:r>
          </w:p>
        </w:tc>
        <w:tc>
          <w:tcPr>
            <w:tcW w:w="4860" w:type="dxa"/>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t>Safety hazards, which have not previously been identified, are reported and advise on risk control measures, are sought from the work supervisor.</w:t>
            </w:r>
          </w:p>
        </w:tc>
      </w:tr>
      <w:tr w:rsidTr="00AB661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t>1.4</w:t>
            </w:r>
          </w:p>
        </w:tc>
        <w:tc>
          <w:tcPr>
            <w:tcW w:w="4860" w:type="dxa"/>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t>Details and location of the equipment to be set up are obtained from purchase documentation or from wor</w:t>
            </w:r>
            <w:r w:rsidRPr="005E0294">
              <w:t>k supervisor to establish the scope of work to be undertaken.</w:t>
            </w:r>
          </w:p>
        </w:tc>
      </w:tr>
      <w:tr w:rsidTr="00AB661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t>1.5</w:t>
            </w:r>
          </w:p>
        </w:tc>
        <w:tc>
          <w:tcPr>
            <w:tcW w:w="4860" w:type="dxa"/>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t>Advice is sought from the work supervisor to ensure the work is co-ordinated effectively with others.</w:t>
            </w:r>
          </w:p>
        </w:tc>
      </w:tr>
      <w:tr w:rsidTr="00AB661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t>1.6</w:t>
            </w:r>
          </w:p>
        </w:tc>
        <w:tc>
          <w:tcPr>
            <w:tcW w:w="4860" w:type="dxa"/>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t>Materials that may be required for the work are obtained and checked in accordance with routines and procedures.</w:t>
            </w:r>
          </w:p>
        </w:tc>
      </w:tr>
      <w:tr w:rsidTr="00AB661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t>1.7</w:t>
            </w:r>
          </w:p>
        </w:tc>
        <w:tc>
          <w:tcPr>
            <w:tcW w:w="4860" w:type="dxa"/>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t>Tools and testing devices needed to carry out the work are obtained and checked for correct operation and safety.</w:t>
            </w:r>
          </w:p>
        </w:tc>
      </w:tr>
      <w:tr w:rsidTr="00AB661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t>2</w:t>
            </w:r>
          </w:p>
        </w:tc>
        <w:tc>
          <w:tcPr>
            <w:tcW w:w="2340" w:type="dxa"/>
            <w:vMerge w:val="restart"/>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t>Set up gaming equip</w:t>
            </w:r>
            <w:r w:rsidRPr="005E0294">
              <w:t>ment.</w:t>
            </w:r>
          </w:p>
        </w:tc>
        <w:tc>
          <w:tcPr>
            <w:tcW w:w="900" w:type="dxa"/>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t>2.1</w:t>
            </w:r>
          </w:p>
        </w:tc>
        <w:tc>
          <w:tcPr>
            <w:tcW w:w="4860" w:type="dxa"/>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t>Established OHS risk control measures and procedures for carrying out the work are followed.</w:t>
            </w:r>
          </w:p>
        </w:tc>
      </w:tr>
      <w:tr w:rsidTr="00AB661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t>2.2</w:t>
            </w:r>
          </w:p>
        </w:tc>
        <w:tc>
          <w:tcPr>
            <w:tcW w:w="4860" w:type="dxa"/>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t>Circuits/equipment are checked as being isolated where necessary in strict accordance OHS requirements and procedures.</w:t>
            </w:r>
          </w:p>
        </w:tc>
      </w:tr>
      <w:tr w:rsidTr="00AB661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t>2.3</w:t>
            </w:r>
          </w:p>
        </w:tc>
        <w:tc>
          <w:tcPr>
            <w:tcW w:w="4860" w:type="dxa"/>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t>Equipment is placed in accordance with regulatory and customer requirements.</w:t>
            </w:r>
          </w:p>
        </w:tc>
      </w:tr>
      <w:tr w:rsidTr="00AB661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t>2.4</w:t>
            </w:r>
          </w:p>
        </w:tc>
        <w:tc>
          <w:tcPr>
            <w:tcW w:w="4860" w:type="dxa"/>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t>Equipment is connected in accordance with manufacturer’s instructions and regulatory and customer requirements. (see note 1)</w:t>
            </w:r>
          </w:p>
        </w:tc>
      </w:tr>
      <w:tr w:rsidTr="00AB661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t>2.5</w:t>
            </w:r>
          </w:p>
        </w:tc>
        <w:tc>
          <w:tcPr>
            <w:tcW w:w="4860" w:type="dxa"/>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t>Equipment operating functions are set to regulatory and customer requirements and tested for correct operation.</w:t>
            </w:r>
          </w:p>
        </w:tc>
      </w:tr>
      <w:tr w:rsidTr="00AB661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t>2.6</w:t>
            </w:r>
          </w:p>
        </w:tc>
        <w:tc>
          <w:tcPr>
            <w:tcW w:w="4860" w:type="dxa"/>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t>Procedures for referring non-routine events to immediate supervisor for directions are followed.</w:t>
            </w:r>
          </w:p>
        </w:tc>
      </w:tr>
      <w:tr w:rsidTr="00AB661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t>2.7</w:t>
            </w:r>
          </w:p>
        </w:tc>
        <w:tc>
          <w:tcPr>
            <w:tcW w:w="4860" w:type="dxa"/>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t>Equipment set up is carried out e</w:t>
            </w:r>
            <w:r w:rsidRPr="005E0294">
              <w:t>fficiently without waste of materials or damage to apparatus and the surrounding environment or services and using sustainable energy practices.</w:t>
            </w:r>
          </w:p>
        </w:tc>
      </w:tr>
      <w:tr w:rsidTr="00AB661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t>3</w:t>
            </w:r>
          </w:p>
        </w:tc>
        <w:tc>
          <w:tcPr>
            <w:tcW w:w="2340" w:type="dxa"/>
            <w:vMerge w:val="restart"/>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t>Complete system set up and report.</w:t>
            </w:r>
          </w:p>
        </w:tc>
        <w:tc>
          <w:tcPr>
            <w:tcW w:w="900" w:type="dxa"/>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t>3.1</w:t>
            </w:r>
          </w:p>
        </w:tc>
        <w:tc>
          <w:tcPr>
            <w:tcW w:w="4860" w:type="dxa"/>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t>OHS risk control work completion measures and procedures are followed.</w:t>
            </w:r>
          </w:p>
        </w:tc>
      </w:tr>
      <w:tr w:rsidTr="00AB661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t>3.2</w:t>
            </w:r>
          </w:p>
        </w:tc>
        <w:tc>
          <w:tcPr>
            <w:tcW w:w="4860" w:type="dxa"/>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t>Work area is cleaned and made safe in accordance with established routines.</w:t>
            </w:r>
          </w:p>
        </w:tc>
      </w:tr>
      <w:tr w:rsidTr="00AB661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t>3.3</w:t>
            </w:r>
          </w:p>
        </w:tc>
        <w:tc>
          <w:tcPr>
            <w:tcW w:w="4860" w:type="dxa"/>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t xml:space="preserve">Documentation detailing equipment maintenance and operating instructions is handed over to the </w:t>
            </w:r>
            <w:r w:rsidRPr="005E0294">
              <w:t>customer.</w:t>
            </w:r>
          </w:p>
        </w:tc>
      </w:tr>
      <w:tr w:rsidTr="00AB661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t>3.4</w:t>
            </w:r>
          </w:p>
        </w:tc>
        <w:tc>
          <w:tcPr>
            <w:tcW w:w="4860" w:type="dxa"/>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t xml:space="preserve">Work supervisor is notified of the completion of </w:t>
            </w:r>
            <w:r w:rsidRPr="005E0294">
              <w:t>the work in accordance with established routine.</w:t>
            </w:r>
          </w:p>
        </w:tc>
      </w:tr>
      <w:tr w:rsidTr="00AB661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5E0294" w:rsidP="005E0294">
            <w:pPr>
              <w:pStyle w:val="BodyText"/>
            </w:pPr>
            <w:r w:rsidRPr="005E0294">
              <w:t xml:space="preserve">Note 1: </w:t>
            </w:r>
          </w:p>
          <w:p w:rsidR="00000000" w:rsidRPr="005E0294" w:rsidP="005E0294">
            <w:pPr>
              <w:pStyle w:val="BodyText"/>
            </w:pPr>
            <w:r w:rsidRPr="005E0294">
              <w:t>Connection of equipment may include both plug connected power supply and network</w:t>
            </w:r>
          </w:p>
        </w:tc>
      </w:tr>
    </w:tbl>
    <w:p w:rsidR="00000000" w:rsidRPr="005E0294" w:rsidP="005E0294">
      <w:pPr>
        <w:pStyle w:val="BodyText"/>
      </w:pPr>
    </w:p>
    <w:p w:rsidR="00000000" w:rsidRPr="005E0294" w:rsidP="005E0294">
      <w:pPr>
        <w:pStyle w:val="AllowPageBreak"/>
      </w:pPr>
    </w:p>
    <w:p w:rsidR="00000000" w:rsidRPr="005E0294" w:rsidP="005E0294">
      <w:pPr>
        <w:pStyle w:val="Heading1"/>
      </w:pPr>
      <w:bookmarkStart w:id="9" w:name="O_421378"/>
      <w:bookmarkEnd w:id="9"/>
      <w:r w:rsidRPr="005E0294">
        <w:t>Required Skills and Knowledge</w:t>
      </w:r>
    </w:p>
    <w:tbl>
      <w:tblPr>
        <w:tblW w:w="0" w:type="auto"/>
        <w:tblLayout w:type="fixed"/>
        <w:tblCellMar>
          <w:left w:w="62" w:type="dxa"/>
          <w:right w:w="62" w:type="dxa"/>
        </w:tblCellMar>
        <w:tblLook w:val="0000"/>
      </w:tblPr>
      <w:tblGrid>
        <w:gridCol w:w="8460"/>
      </w:tblGrid>
      <w:tr w:rsidTr="00AB661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rPr>
                <w:rStyle w:val="SpecialBold"/>
              </w:rPr>
              <w:t>REQUIRED SKILLS AND KNOWLEDGE</w:t>
            </w:r>
          </w:p>
        </w:tc>
      </w:tr>
      <w:tr w:rsidTr="00AB661B">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5E0294" w:rsidP="005E0294">
            <w:pPr>
              <w:pStyle w:val="BodyText"/>
            </w:pPr>
            <w:r w:rsidRPr="005E0294">
              <w:rPr>
                <w:rStyle w:val="SpecialBold"/>
              </w:rPr>
              <w:t>8)</w:t>
            </w:r>
            <w:r w:rsidRPr="005E0294">
              <w:t xml:space="preserve"> This describes the essential skills and knowledge and their level, required for this unit.</w:t>
            </w:r>
          </w:p>
          <w:p w:rsidR="00000000" w:rsidRPr="005E0294" w:rsidP="005E0294">
            <w:pPr>
              <w:pStyle w:val="BodyText"/>
            </w:pPr>
            <w:r w:rsidRPr="005E0294">
              <w:t xml:space="preserve">Evidence shall show that knowledge has been acquired of safe working practices and setting up and testing gaming/games equipment. </w:t>
            </w:r>
          </w:p>
          <w:p w:rsidR="00000000" w:rsidRPr="005E0294" w:rsidP="005E0294">
            <w:pPr>
              <w:pStyle w:val="BodyText"/>
            </w:pPr>
            <w:r w:rsidRPr="005E0294">
              <w:t>All knowledge and skills detailed in this unit should be contextualised to current industry practices and technologies.</w:t>
            </w:r>
          </w:p>
          <w:p w:rsidR="00000000" w:rsidRPr="005E0294" w:rsidP="005E0294">
            <w:pPr>
              <w:pStyle w:val="BodyText"/>
            </w:pPr>
            <w:r w:rsidRPr="005E0294">
              <w:rPr>
                <w:rStyle w:val="SpecialBold"/>
              </w:rPr>
              <w:t>KS01-</w:t>
            </w:r>
            <w:r w:rsidRPr="005E0294">
              <w:rPr>
                <w:rStyle w:val="SpecialBold"/>
              </w:rPr>
              <w:t>EH109A                       Gaming and game equipment set up and testing</w:t>
            </w:r>
          </w:p>
          <w:p w:rsidR="00000000" w:rsidRPr="005E0294" w:rsidP="005E0294">
            <w:pPr>
              <w:pStyle w:val="BodyText"/>
            </w:pPr>
            <w:r w:rsidRPr="005E0294">
              <w:t>Evidence shall show an understanding of gaming and game equipment set up and testing, applying safe working practices and relevant Standards, Codes and Regulations to an extent indic</w:t>
            </w:r>
            <w:r w:rsidRPr="005E0294">
              <w:t>ated by the following aspects:</w:t>
            </w:r>
          </w:p>
          <w:p w:rsidR="00000000" w:rsidRPr="005E0294" w:rsidP="005E0294">
            <w:pPr>
              <w:pStyle w:val="BodyText"/>
            </w:pPr>
            <w:r w:rsidRPr="005E0294">
              <w:t>T1.</w:t>
            </w:r>
            <w:r w:rsidRPr="005E0294">
              <w:tab/>
              <w:t>Enterprise communication methods</w:t>
            </w:r>
          </w:p>
          <w:p w:rsidR="00000000" w:rsidRPr="005E0294" w:rsidP="005E0294">
            <w:pPr>
              <w:pStyle w:val="ListBullet"/>
            </w:pPr>
            <w:r w:rsidRPr="005E0294">
              <w:t>Communicating with personnel encompassing:</w:t>
            </w:r>
          </w:p>
          <w:p w:rsidR="00000000" w:rsidRPr="005E0294" w:rsidP="005E0294">
            <w:pPr>
              <w:pStyle w:val="ListBullet2"/>
            </w:pPr>
            <w:r w:rsidRPr="005E0294">
              <w:t>Oral communications</w:t>
            </w:r>
          </w:p>
          <w:p w:rsidR="00000000" w:rsidRPr="005E0294" w:rsidP="005E0294">
            <w:pPr>
              <w:pStyle w:val="ListBullet2"/>
            </w:pPr>
            <w:r w:rsidRPr="005E0294">
              <w:t>Written procedures and work instructions</w:t>
            </w:r>
          </w:p>
          <w:p w:rsidR="00000000" w:rsidRPr="005E0294" w:rsidP="005E0294">
            <w:pPr>
              <w:pStyle w:val="ListBullet"/>
            </w:pPr>
            <w:r w:rsidRPr="005E0294">
              <w:t>Communicating with suppliers</w:t>
            </w:r>
          </w:p>
          <w:p w:rsidR="00000000" w:rsidRPr="005E0294" w:rsidP="005E0294">
            <w:pPr>
              <w:pStyle w:val="ListBullet"/>
            </w:pPr>
            <w:r w:rsidRPr="005E0294">
              <w:t>Communicating with customers</w:t>
            </w:r>
          </w:p>
          <w:p w:rsidR="00000000" w:rsidRPr="005E0294" w:rsidP="005E0294">
            <w:pPr>
              <w:pStyle w:val="BodyText"/>
            </w:pPr>
            <w:r w:rsidRPr="005E0294">
              <w:t>T2.</w:t>
            </w:r>
            <w:r w:rsidRPr="005E0294">
              <w:tab/>
            </w:r>
            <w:r w:rsidRPr="005E0294">
              <w:t>Enterprise customer relations protocols</w:t>
            </w:r>
          </w:p>
          <w:p w:rsidR="00000000" w:rsidRPr="005E0294" w:rsidP="005E0294">
            <w:pPr>
              <w:pStyle w:val="ListBullet"/>
            </w:pPr>
            <w:r w:rsidRPr="005E0294">
              <w:t>Purpose of customer relations</w:t>
            </w:r>
          </w:p>
          <w:p w:rsidR="00000000" w:rsidRPr="005E0294" w:rsidP="005E0294">
            <w:pPr>
              <w:pStyle w:val="ListBullet"/>
            </w:pPr>
            <w:r w:rsidRPr="005E0294">
              <w:t>Procedures for dealing with customers</w:t>
            </w:r>
          </w:p>
          <w:p w:rsidR="00000000" w:rsidRPr="005E0294" w:rsidP="005E0294">
            <w:pPr>
              <w:pStyle w:val="ListBullet"/>
            </w:pPr>
            <w:r w:rsidRPr="005E0294">
              <w:t>Dealing with customer issues</w:t>
            </w:r>
          </w:p>
          <w:p w:rsidR="00000000" w:rsidRPr="005E0294" w:rsidP="005E0294">
            <w:pPr>
              <w:pStyle w:val="BodyText"/>
            </w:pPr>
            <w:r w:rsidRPr="005E0294">
              <w:t>T3.</w:t>
            </w:r>
            <w:r w:rsidRPr="005E0294">
              <w:tab/>
              <w:t>Regulatory requirements and codes of practice for the gaming equipment</w:t>
            </w:r>
          </w:p>
          <w:p w:rsidR="00000000" w:rsidRPr="005E0294" w:rsidP="005E0294">
            <w:pPr>
              <w:pStyle w:val="ListBullet"/>
            </w:pPr>
            <w:r w:rsidRPr="005E0294">
              <w:t>Types of equipment permitted —</w:t>
            </w:r>
          </w:p>
          <w:p w:rsidR="00000000" w:rsidRPr="005E0294" w:rsidP="005E0294">
            <w:pPr>
              <w:pStyle w:val="ListBullet2"/>
            </w:pPr>
            <w:r w:rsidRPr="005E0294">
              <w:t>Location r</w:t>
            </w:r>
            <w:r w:rsidRPr="005E0294">
              <w:t>estrictions and requirements</w:t>
            </w:r>
          </w:p>
          <w:p w:rsidR="00000000" w:rsidRPr="005E0294" w:rsidP="005E0294">
            <w:pPr>
              <w:pStyle w:val="ListBullet2"/>
            </w:pPr>
            <w:r w:rsidRPr="005E0294">
              <w:t>Operational restrictions and requirements</w:t>
            </w:r>
          </w:p>
          <w:p w:rsidR="00000000" w:rsidRPr="005E0294" w:rsidP="005E0294">
            <w:pPr>
              <w:pStyle w:val="ListBullet"/>
            </w:pPr>
            <w:r w:rsidRPr="005E0294">
              <w:t>Security encompassing:</w:t>
            </w:r>
          </w:p>
          <w:p w:rsidR="00000000" w:rsidRPr="005E0294" w:rsidP="005E0294">
            <w:pPr>
              <w:pStyle w:val="ListBullet2"/>
            </w:pPr>
            <w:r w:rsidRPr="005E0294">
              <w:t>Access to customers premises</w:t>
            </w:r>
          </w:p>
          <w:p w:rsidR="00000000" w:rsidRPr="005E0294" w:rsidP="005E0294">
            <w:pPr>
              <w:pStyle w:val="ListBullet2"/>
            </w:pPr>
            <w:r w:rsidRPr="005E0294">
              <w:t>Access to machines</w:t>
            </w:r>
          </w:p>
          <w:p w:rsidR="00000000" w:rsidRPr="005E0294" w:rsidP="005E0294">
            <w:pPr>
              <w:pStyle w:val="BodyText"/>
            </w:pPr>
            <w:r w:rsidRPr="005E0294">
              <w:t>T4.</w:t>
            </w:r>
            <w:r w:rsidRPr="005E0294">
              <w:tab/>
              <w:t>Gaming machine systems and equipment overview</w:t>
            </w:r>
          </w:p>
          <w:p w:rsidR="00000000" w:rsidRPr="005E0294" w:rsidP="005E0294">
            <w:pPr>
              <w:pStyle w:val="ListBullet"/>
            </w:pPr>
            <w:r w:rsidRPr="005E0294">
              <w:t xml:space="preserve">Gaming industry terminology </w:t>
            </w:r>
          </w:p>
          <w:p w:rsidR="00000000" w:rsidRPr="005E0294" w:rsidP="005E0294">
            <w:pPr>
              <w:pStyle w:val="ListBullet"/>
            </w:pPr>
            <w:r w:rsidRPr="005E0294">
              <w:t xml:space="preserve">Functions and specifications of the machine and its components </w:t>
            </w:r>
          </w:p>
          <w:p w:rsidR="00000000" w:rsidRPr="005E0294" w:rsidP="005E0294">
            <w:pPr>
              <w:pStyle w:val="ListBullet"/>
            </w:pPr>
            <w:r w:rsidRPr="005E0294">
              <w:t xml:space="preserve">Types of gaming machines </w:t>
            </w:r>
          </w:p>
          <w:p w:rsidR="00000000" w:rsidRPr="005E0294" w:rsidP="005E0294">
            <w:pPr>
              <w:pStyle w:val="ListBullet"/>
            </w:pPr>
            <w:r w:rsidRPr="005E0294">
              <w:t>Operational features of different machines and systems</w:t>
            </w:r>
          </w:p>
          <w:p w:rsidR="00000000" w:rsidRPr="005E0294" w:rsidP="005E0294">
            <w:pPr>
              <w:pStyle w:val="BodyText"/>
            </w:pPr>
            <w:r w:rsidRPr="005E0294">
              <w:t>T5.</w:t>
            </w:r>
            <w:r w:rsidRPr="005E0294">
              <w:tab/>
              <w:t>Gaming machine equipment adjustment and maintenance</w:t>
            </w:r>
          </w:p>
          <w:p w:rsidR="00000000" w:rsidRPr="005E0294" w:rsidP="005E0294">
            <w:pPr>
              <w:pStyle w:val="ListBullet"/>
            </w:pPr>
            <w:r w:rsidRPr="005E0294">
              <w:t>Machine access and security encompassing:</w:t>
            </w:r>
          </w:p>
          <w:p w:rsidR="00000000" w:rsidRPr="005E0294" w:rsidP="005E0294">
            <w:pPr>
              <w:pStyle w:val="ListBullet2"/>
            </w:pPr>
            <w:r w:rsidRPr="005E0294">
              <w:t>master rese</w:t>
            </w:r>
            <w:r w:rsidRPr="005E0294">
              <w:t>t procedures,</w:t>
            </w:r>
          </w:p>
          <w:p w:rsidR="00000000" w:rsidRPr="005E0294" w:rsidP="005E0294">
            <w:pPr>
              <w:pStyle w:val="ListBullet2"/>
            </w:pPr>
            <w:r w:rsidRPr="005E0294">
              <w:t>opening and closing doors,</w:t>
            </w:r>
          </w:p>
          <w:p w:rsidR="00000000" w:rsidRPr="005E0294" w:rsidP="005E0294">
            <w:pPr>
              <w:pStyle w:val="ListBullet2"/>
            </w:pPr>
            <w:r w:rsidRPr="005E0294">
              <w:t>period reset procedures,</w:t>
            </w:r>
          </w:p>
          <w:p w:rsidR="00000000" w:rsidRPr="005E0294" w:rsidP="005E0294">
            <w:pPr>
              <w:pStyle w:val="ListBullet2"/>
            </w:pPr>
            <w:r w:rsidRPr="005E0294">
              <w:t>use of audit and reset key</w:t>
            </w:r>
          </w:p>
          <w:p w:rsidR="00000000" w:rsidRPr="005E0294" w:rsidP="005E0294">
            <w:pPr>
              <w:pStyle w:val="ListBullet"/>
            </w:pPr>
            <w:r w:rsidRPr="005E0294">
              <w:t>Tests, adjustments and clearances encompassing:</w:t>
            </w:r>
          </w:p>
          <w:p w:rsidR="00000000" w:rsidRPr="005E0294" w:rsidP="005E0294">
            <w:pPr>
              <w:pStyle w:val="ListBullet2"/>
            </w:pPr>
            <w:r w:rsidRPr="005E0294">
              <w:t>Coin/note jams</w:t>
            </w:r>
          </w:p>
          <w:p w:rsidR="00000000" w:rsidRPr="005E0294" w:rsidP="005E0294">
            <w:pPr>
              <w:pStyle w:val="ListBullet2"/>
            </w:pPr>
            <w:r w:rsidRPr="005E0294">
              <w:t>Hopper to coin chute</w:t>
            </w:r>
          </w:p>
          <w:p w:rsidR="00000000" w:rsidRPr="005E0294" w:rsidP="005E0294">
            <w:pPr>
              <w:pStyle w:val="ListBullet2"/>
            </w:pPr>
            <w:r w:rsidRPr="005E0294">
              <w:t>Screens</w:t>
            </w:r>
          </w:p>
          <w:p w:rsidR="00000000" w:rsidRPr="005E0294" w:rsidP="005E0294">
            <w:pPr>
              <w:pStyle w:val="ListBullet2"/>
            </w:pPr>
            <w:r w:rsidRPr="005E0294">
              <w:t>Touch screen calibration</w:t>
            </w:r>
          </w:p>
          <w:p w:rsidR="00000000" w:rsidRPr="005E0294" w:rsidP="005E0294">
            <w:pPr>
              <w:pStyle w:val="ListBullet"/>
            </w:pPr>
            <w:r w:rsidRPr="005E0294">
              <w:t>Removals, installs and checks encompassing:</w:t>
            </w:r>
          </w:p>
          <w:p w:rsidR="00000000" w:rsidRPr="005E0294" w:rsidP="005E0294">
            <w:pPr>
              <w:pStyle w:val="ListBullet2"/>
            </w:pPr>
            <w:r w:rsidRPr="005E0294">
              <w:t>Bank note acceptors,</w:t>
            </w:r>
          </w:p>
          <w:p w:rsidR="00000000" w:rsidRPr="005E0294" w:rsidP="005E0294">
            <w:pPr>
              <w:pStyle w:val="ListBullet2"/>
            </w:pPr>
            <w:r w:rsidRPr="005E0294">
              <w:t>Card readers</w:t>
            </w:r>
          </w:p>
          <w:p w:rsidR="00000000" w:rsidRPr="005E0294" w:rsidP="005E0294">
            <w:pPr>
              <w:pStyle w:val="ListBullet2"/>
            </w:pPr>
            <w:r w:rsidRPr="005E0294">
              <w:t>Coin comparators,</w:t>
            </w:r>
          </w:p>
          <w:p w:rsidR="00000000" w:rsidRPr="005E0294" w:rsidP="005E0294">
            <w:pPr>
              <w:pStyle w:val="ListBullet2"/>
            </w:pPr>
            <w:r w:rsidRPr="005E0294">
              <w:t>Divertor</w:t>
            </w:r>
          </w:p>
          <w:p w:rsidR="00000000" w:rsidRPr="005E0294" w:rsidP="005E0294">
            <w:pPr>
              <w:pStyle w:val="ListBullet2"/>
            </w:pPr>
            <w:r w:rsidRPr="005E0294">
              <w:t>Drop doors</w:t>
            </w:r>
          </w:p>
          <w:p w:rsidR="00000000" w:rsidRPr="005E0294" w:rsidP="005E0294">
            <w:pPr>
              <w:pStyle w:val="ListBullet2"/>
            </w:pPr>
            <w:r w:rsidRPr="005E0294">
              <w:t>Hopper</w:t>
            </w:r>
          </w:p>
          <w:p w:rsidR="00000000" w:rsidRPr="005E0294" w:rsidP="005E0294">
            <w:pPr>
              <w:pStyle w:val="ListBullet2"/>
            </w:pPr>
            <w:r w:rsidRPr="005E0294">
              <w:t>Lighting</w:t>
            </w:r>
          </w:p>
          <w:p w:rsidR="00000000" w:rsidRPr="005E0294" w:rsidP="005E0294">
            <w:pPr>
              <w:pStyle w:val="ListBullet2"/>
            </w:pPr>
            <w:r w:rsidRPr="005E0294">
              <w:t>Machine positioning and mounting</w:t>
            </w:r>
          </w:p>
          <w:p w:rsidR="00000000" w:rsidRPr="005E0294" w:rsidP="005E0294">
            <w:pPr>
              <w:pStyle w:val="ListBullet2"/>
            </w:pPr>
            <w:r w:rsidRPr="005E0294">
              <w:t>Printer paper roll feeding</w:t>
            </w:r>
          </w:p>
          <w:p w:rsidR="00000000" w:rsidRPr="005E0294" w:rsidP="005E0294">
            <w:pPr>
              <w:pStyle w:val="ListBullet2"/>
            </w:pPr>
            <w:r w:rsidRPr="005E0294">
              <w:t>Switches</w:t>
            </w:r>
          </w:p>
          <w:p w:rsidR="00000000" w:rsidRPr="005E0294" w:rsidP="005E0294">
            <w:pPr>
              <w:pStyle w:val="ListBullet"/>
            </w:pPr>
            <w:r w:rsidRPr="005E0294">
              <w:t>Attendant screens and functions</w:t>
            </w:r>
          </w:p>
          <w:p w:rsidR="00000000" w:rsidRPr="005E0294" w:rsidP="005E0294">
            <w:pPr>
              <w:pStyle w:val="BodyText"/>
            </w:pPr>
            <w:r w:rsidRPr="005E0294">
              <w:t>T6.</w:t>
            </w:r>
            <w:r w:rsidRPr="005E0294">
              <w:tab/>
              <w:t>Electronic Safe working practices</w:t>
            </w:r>
          </w:p>
          <w:p w:rsidR="00000000" w:rsidRPr="005E0294" w:rsidP="005E0294">
            <w:pPr>
              <w:pStyle w:val="ListBullet"/>
            </w:pPr>
            <w:r w:rsidRPr="005E0294">
              <w:t>Risk management and assessment of risk encompassing:</w:t>
            </w:r>
          </w:p>
          <w:p w:rsidR="00000000" w:rsidRPr="005E0294" w:rsidP="005E0294">
            <w:pPr>
              <w:pStyle w:val="ListBullet2"/>
            </w:pPr>
            <w:r w:rsidRPr="005E0294">
              <w:t>Principle and purpose of risk management, and</w:t>
            </w:r>
          </w:p>
          <w:p w:rsidR="00000000" w:rsidRPr="005E0294" w:rsidP="005E0294">
            <w:pPr>
              <w:pStyle w:val="ListBullet2"/>
            </w:pPr>
            <w:r w:rsidRPr="005E0294">
              <w:t>Processes for conducting a risk assessment</w:t>
            </w:r>
          </w:p>
          <w:p w:rsidR="00000000" w:rsidRPr="005E0294" w:rsidP="005E0294">
            <w:pPr>
              <w:pStyle w:val="ListBullet"/>
            </w:pPr>
            <w:r w:rsidRPr="005E0294">
              <w:t>Hazards associated with low-voltage, extra-low voltage and high-currents encompassing:</w:t>
            </w:r>
          </w:p>
          <w:p w:rsidR="00000000" w:rsidRPr="005E0294" w:rsidP="005E0294">
            <w:pPr>
              <w:pStyle w:val="ListBullet2"/>
            </w:pPr>
            <w:r w:rsidRPr="005E0294">
              <w:t>Parts of an electronic s</w:t>
            </w:r>
            <w:r w:rsidRPr="005E0294">
              <w:t xml:space="preserve">ystems and equipment that operate at low-voltage and extra-low voltage, </w:t>
            </w:r>
          </w:p>
          <w:p w:rsidR="00000000" w:rsidRPr="005E0294" w:rsidP="005E0294">
            <w:pPr>
              <w:pStyle w:val="ListBullet2"/>
            </w:pPr>
            <w:r w:rsidRPr="005E0294">
              <w:t>Parts of an electronic systems and equipment where high-currents are likely.</w:t>
            </w:r>
          </w:p>
          <w:p w:rsidR="00000000" w:rsidRPr="005E0294" w:rsidP="005E0294">
            <w:pPr>
              <w:pStyle w:val="ListBullet"/>
            </w:pPr>
            <w:r w:rsidRPr="005E0294">
              <w:t>Risks and control measures associated with high-voltage encompassing:</w:t>
            </w:r>
          </w:p>
          <w:p w:rsidR="00000000" w:rsidRPr="005E0294" w:rsidP="005E0294">
            <w:pPr>
              <w:pStyle w:val="ListBullet2"/>
            </w:pPr>
            <w:r w:rsidRPr="005E0294">
              <w:t>Parts of an electronic systems and equipment that operate at high-voltage,</w:t>
            </w:r>
          </w:p>
          <w:p w:rsidR="00000000" w:rsidRPr="005E0294" w:rsidP="005E0294">
            <w:pPr>
              <w:pStyle w:val="ListBullet2"/>
            </w:pPr>
            <w:r w:rsidRPr="005E0294">
              <w:t>The terms used - ‘touch voltage’, ‘step voltage’, ‘induced voltage’ and ‘creepage’ as they relate to the hazards of high-voltage, and</w:t>
            </w:r>
          </w:p>
          <w:p w:rsidR="00000000" w:rsidRPr="005E0294" w:rsidP="005E0294">
            <w:pPr>
              <w:pStyle w:val="ListBullet2"/>
            </w:pPr>
            <w:r w:rsidRPr="005E0294">
              <w:t>Control measures used for dealing with the haza</w:t>
            </w:r>
            <w:r w:rsidRPr="005E0294">
              <w:t>rds of high-voltage.</w:t>
            </w:r>
          </w:p>
          <w:p w:rsidR="00000000" w:rsidRPr="005E0294" w:rsidP="005E0294">
            <w:pPr>
              <w:pStyle w:val="ListBullet"/>
            </w:pPr>
            <w:r w:rsidRPr="005E0294">
              <w:t>Risks and control measures associated with low voltage encompassing:</w:t>
            </w:r>
          </w:p>
          <w:p w:rsidR="00000000" w:rsidRPr="005E0294" w:rsidP="005E0294">
            <w:pPr>
              <w:pStyle w:val="ListBullet2"/>
            </w:pPr>
            <w:r w:rsidRPr="005E0294">
              <w:t>Risks associated with installation, fault finding, maintenance and repair.</w:t>
            </w:r>
          </w:p>
          <w:p w:rsidR="00000000" w:rsidRPr="005E0294" w:rsidP="005E0294">
            <w:pPr>
              <w:pStyle w:val="ListBullet2"/>
            </w:pPr>
            <w:r w:rsidRPr="005E0294">
              <w:t>Control measures before, while and after working on electronic systems or equipment</w:t>
            </w:r>
          </w:p>
          <w:p w:rsidR="00000000" w:rsidRPr="005E0294" w:rsidP="005E0294">
            <w:pPr>
              <w:pStyle w:val="ListBullet2"/>
            </w:pPr>
            <w:r w:rsidRPr="005E0294">
              <w:t>Isola</w:t>
            </w:r>
            <w:r w:rsidRPr="005E0294">
              <w:t>tion and tagging-off procedures.</w:t>
            </w:r>
          </w:p>
          <w:p w:rsidR="00000000" w:rsidRPr="005E0294" w:rsidP="005E0294">
            <w:pPr>
              <w:pStyle w:val="ListBullet2"/>
            </w:pPr>
            <w:r w:rsidRPr="005E0294">
              <w:t>Risks and restrictions in working live.</w:t>
            </w:r>
          </w:p>
          <w:p w:rsidR="00000000" w:rsidRPr="005E0294" w:rsidP="005E0294">
            <w:pPr>
              <w:pStyle w:val="ListBullet2"/>
            </w:pPr>
            <w:r w:rsidRPr="005E0294">
              <w:t>Control measures for working live.</w:t>
            </w:r>
          </w:p>
          <w:p w:rsidR="00000000" w:rsidRPr="005E0294" w:rsidP="005E0294">
            <w:pPr>
              <w:pStyle w:val="ListBullet"/>
            </w:pPr>
            <w:r w:rsidRPr="005E0294">
              <w:t>Safety, selection, use, maintenance and care of test equipment encompassing:</w:t>
            </w:r>
          </w:p>
          <w:p w:rsidR="00000000" w:rsidRPr="005E0294" w:rsidP="005E0294">
            <w:pPr>
              <w:pStyle w:val="ListBullet2"/>
            </w:pPr>
            <w:r w:rsidRPr="005E0294">
              <w:t>Safety characteristics of electrical testing devices,</w:t>
            </w:r>
          </w:p>
          <w:p w:rsidR="00000000" w:rsidRPr="005E0294" w:rsidP="005E0294">
            <w:pPr>
              <w:pStyle w:val="ListBullet2"/>
            </w:pPr>
            <w:r w:rsidRPr="005E0294">
              <w:t>Chemical cleani</w:t>
            </w:r>
            <w:r w:rsidRPr="005E0294">
              <w:t>ng solvents, glues and joining wastes used in electronics,</w:t>
            </w:r>
          </w:p>
          <w:p w:rsidR="00000000" w:rsidRPr="005E0294" w:rsidP="005E0294">
            <w:pPr>
              <w:pStyle w:val="ListBullet2"/>
            </w:pPr>
            <w:r w:rsidRPr="005E0294">
              <w:t>Safe use of electrical testing device, and</w:t>
            </w:r>
          </w:p>
          <w:p w:rsidR="00000000" w:rsidRPr="005E0294" w:rsidP="005E0294">
            <w:pPr>
              <w:pStyle w:val="ListBullet2"/>
            </w:pPr>
            <w:r w:rsidRPr="005E0294">
              <w:t>Checks and storage methods for maintaining the safety of testing devices.</w:t>
            </w:r>
          </w:p>
        </w:tc>
      </w:tr>
    </w:tbl>
    <w:p w:rsidR="00000000" w:rsidRPr="005E0294" w:rsidP="005E0294">
      <w:pPr>
        <w:pStyle w:val="BodyText"/>
      </w:pPr>
    </w:p>
    <w:p w:rsidR="00000000" w:rsidRPr="005E0294" w:rsidP="005E0294">
      <w:pPr>
        <w:pStyle w:val="AllowPageBreak"/>
      </w:pPr>
    </w:p>
    <w:p w:rsidR="00000000" w:rsidRPr="005E0294" w:rsidP="005E0294">
      <w:pPr>
        <w:pStyle w:val="Heading1"/>
      </w:pPr>
      <w:bookmarkStart w:id="10" w:name="O_421370"/>
      <w:bookmarkEnd w:id="10"/>
      <w:r w:rsidRPr="005E0294">
        <w:t>Evidence Guide</w:t>
      </w:r>
    </w:p>
    <w:tbl>
      <w:tblPr>
        <w:tblW w:w="0" w:type="auto"/>
        <w:tblLayout w:type="fixed"/>
        <w:tblCellMar>
          <w:left w:w="62" w:type="dxa"/>
          <w:right w:w="62" w:type="dxa"/>
        </w:tblCellMar>
        <w:tblLook w:val="0000"/>
      </w:tblPr>
      <w:tblGrid>
        <w:gridCol w:w="8460"/>
      </w:tblGrid>
      <w:tr w:rsidTr="00AB661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rPr>
                <w:rStyle w:val="SpecialBold"/>
              </w:rPr>
              <w:t>EVIDENCE GUIDE</w:t>
            </w:r>
          </w:p>
        </w:tc>
      </w:tr>
      <w:tr w:rsidTr="00AB661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E0294" w:rsidP="005E0294">
            <w:pPr>
              <w:pStyle w:val="BodyText"/>
            </w:pPr>
            <w:r w:rsidRPr="005E0294">
              <w:rPr>
                <w:rStyle w:val="SpecialBold"/>
              </w:rPr>
              <w:t>9)</w:t>
            </w:r>
            <w:r w:rsidRPr="005E0294">
              <w:t xml:space="preserve"> The evidence guide provides advice on assessment and must be read in conjunction with the Performance Criteria, Required Skills and Knowledge, the Range Statement and the Assessment Guidelines for this Training Package. .</w:t>
            </w:r>
          </w:p>
          <w:p w:rsidR="00000000" w:rsidRPr="005E0294" w:rsidP="005E0294">
            <w:pPr>
              <w:pStyle w:val="BodyText"/>
            </w:pPr>
            <w:r w:rsidRPr="005E0294">
              <w:t>The Evidence Guide forms an integ</w:t>
            </w:r>
            <w:r w:rsidRPr="005E0294">
              <w:t>ral part of this unit. It must be used in conjunction with all parts of the unit and performed in accordance with the Assessment Guidelines of this Training Package.</w:t>
            </w:r>
          </w:p>
        </w:tc>
      </w:tr>
    </w:tbl>
    <w:p w:rsidR="00000000" w:rsidRPr="005E0294" w:rsidP="005E0294">
      <w:pPr>
        <w:pStyle w:val="BodyText"/>
      </w:pPr>
    </w:p>
    <w:tbl>
      <w:tblPr>
        <w:tblW w:w="0" w:type="auto"/>
        <w:tblLayout w:type="fixed"/>
        <w:tblCellMar>
          <w:left w:w="62" w:type="dxa"/>
          <w:right w:w="62" w:type="dxa"/>
        </w:tblCellMar>
        <w:tblLook w:val="0000"/>
      </w:tblPr>
      <w:tblGrid>
        <w:gridCol w:w="1890"/>
        <w:gridCol w:w="6570"/>
      </w:tblGrid>
      <w:tr w:rsidTr="00AB661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E0294" w:rsidP="005E0294">
            <w:pPr>
              <w:pStyle w:val="BodyText"/>
            </w:pPr>
            <w:r w:rsidRPr="005E0294">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rPr>
                <w:rStyle w:val="SpecialBold"/>
              </w:rPr>
              <w:t>9.1)</w:t>
            </w:r>
          </w:p>
        </w:tc>
      </w:tr>
      <w:tr w:rsidTr="00AB661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E0294" w:rsidP="005E0294">
            <w:pPr>
              <w:pStyle w:val="BodyText"/>
            </w:pPr>
            <w:r w:rsidRPr="005E0294">
              <w:t>Longitudinal competency development approaches to assessme</w:t>
            </w:r>
            <w:r w:rsidRPr="005E0294">
              <w:t>nt, such as Profiling, require data to be reliably gathered in a form that can be consistently interpreted over time. This approach is best utilised in Apprenticeship programs and reduces assessment intervention. It is the Industry-preferred model for appr</w:t>
            </w:r>
            <w:r w:rsidRPr="005E0294">
              <w:t>enticeships. However, where summative (or final) assessment is used it must include the application of the competency in the normal work environment or, at a minimum, the application of the competency in a realistically simulated work environment. It is re</w:t>
            </w:r>
            <w:r w:rsidRPr="005E0294">
              <w:t>cognised that, in some circumstances, assessment in part or full can occur outside the workplace. However, it must be in accord with industry and regulatory policy.</w:t>
            </w:r>
          </w:p>
          <w:p w:rsidR="00000000" w:rsidRPr="005E0294" w:rsidP="005E0294">
            <w:pPr>
              <w:pStyle w:val="BodyText"/>
            </w:pPr>
            <w:r w:rsidRPr="005E0294">
              <w:t>Methods chosen for a particular assessment will be influenced by various factors. These inc</w:t>
            </w:r>
            <w:r w:rsidRPr="005E0294">
              <w:t>lude the extent of the assessment, the most effective locations for the assessment activities to take place, access to physical resources, additional safety measures that may be required and the critical nature of the competencies being assessed.</w:t>
            </w:r>
          </w:p>
          <w:p w:rsidR="00000000" w:rsidRPr="005E0294" w:rsidP="005E0294">
            <w:pPr>
              <w:pStyle w:val="BodyText"/>
            </w:pPr>
            <w:r w:rsidRPr="005E0294">
              <w:t>The criti</w:t>
            </w:r>
            <w:r w:rsidRPr="005E0294">
              <w:t>cal safety nature of working with electricity, electrical equipment, gas or any other hazardous substance/material carries risk in deeming a person competent. Sources of evidence need to be ‘rich’ in nature to minimise error in judgment.</w:t>
            </w:r>
          </w:p>
          <w:p w:rsidR="00000000" w:rsidRPr="005E0294" w:rsidP="005E0294">
            <w:pPr>
              <w:pStyle w:val="BodyText"/>
            </w:pPr>
            <w:r w:rsidRPr="005E0294">
              <w:t>Activities associated with normal everyday work influence decisions about how/how much the data gathered will contribute to its ‘richness’. Some skills are more critical to safety and operational requirements while the same skills may be more or less frequ</w:t>
            </w:r>
            <w:r w:rsidRPr="005E0294">
              <w:t>ently practised. These points are raised for the assessors to consider when choosing an assessment method and developing assessment instruments. Sample assessment instruments are included for Assessors in the Assessment Guidelines of this Training Package.</w:t>
            </w:r>
          </w:p>
        </w:tc>
      </w:tr>
    </w:tbl>
    <w:p w:rsidR="00000000" w:rsidRPr="005E0294" w:rsidP="005E0294">
      <w:pPr>
        <w:pStyle w:val="BodyText"/>
      </w:pPr>
    </w:p>
    <w:tbl>
      <w:tblPr>
        <w:tblW w:w="10971" w:type="dxa"/>
        <w:tblLayout w:type="fixed"/>
        <w:tblCellMar>
          <w:left w:w="62" w:type="dxa"/>
          <w:right w:w="62" w:type="dxa"/>
        </w:tblCellMar>
        <w:tblLook w:val="0000"/>
      </w:tblPr>
      <w:tblGrid>
        <w:gridCol w:w="1890"/>
        <w:gridCol w:w="561"/>
        <w:gridCol w:w="1984"/>
        <w:gridCol w:w="4025"/>
        <w:gridCol w:w="2511"/>
      </w:tblGrid>
      <w:tr w:rsidTr="00AB661B">
        <w:tblPrEx>
          <w:tblW w:w="10971" w:type="dxa"/>
          <w:tblLayout w:type="fixed"/>
          <w:tblCellMar>
            <w:left w:w="62" w:type="dxa"/>
            <w:right w:w="62" w:type="dxa"/>
          </w:tblCellMar>
          <w:tblLook w:val="0000"/>
        </w:tblPrEx>
        <w:trPr>
          <w:gridAfter w:val="1"/>
          <w:wAfter w:w="2511" w:type="dxa"/>
        </w:trPr>
        <w:tc>
          <w:tcPr>
            <w:tcW w:w="1890" w:type="dxa"/>
            <w:tcBorders>
              <w:top w:val="nil"/>
              <w:left w:val="nil"/>
              <w:bottom w:val="nil"/>
              <w:right w:val="nil"/>
            </w:tcBorders>
            <w:tcMar>
              <w:top w:w="0" w:type="dxa"/>
              <w:left w:w="62" w:type="dxa"/>
              <w:bottom w:w="0" w:type="dxa"/>
              <w:right w:w="62" w:type="dxa"/>
            </w:tcMar>
          </w:tcPr>
          <w:p w:rsidR="00000000" w:rsidRPr="005E0294" w:rsidP="005E0294">
            <w:pPr>
              <w:pStyle w:val="BodyText"/>
            </w:pPr>
            <w:r w:rsidRPr="005E0294">
              <w:rPr>
                <w:rStyle w:val="SpecialBold"/>
              </w:rPr>
              <w:t>Critical aspects of evidence required to demonstrate competency in this unit</w:t>
            </w:r>
          </w:p>
        </w:tc>
        <w:tc>
          <w:tcPr>
            <w:tcW w:w="6570" w:type="dxa"/>
            <w:gridSpan w:val="3"/>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rPr>
                <w:rStyle w:val="SpecialBold"/>
              </w:rPr>
              <w:t>9.2)</w:t>
            </w:r>
          </w:p>
        </w:tc>
      </w:tr>
      <w:tr w:rsidTr="00AB661B">
        <w:tblPrEx>
          <w:tblW w:w="10971" w:type="dxa"/>
          <w:tblLayout w:type="fixed"/>
          <w:tblCellMar>
            <w:left w:w="62" w:type="dxa"/>
            <w:right w:w="62" w:type="dxa"/>
          </w:tblCellMar>
          <w:tblLook w:val="0000"/>
        </w:tblPrEx>
        <w:trPr>
          <w:gridAfter w:val="1"/>
          <w:wAfter w:w="2511" w:type="dxa"/>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RPr="005E0294" w:rsidP="005E0294">
            <w:pPr>
              <w:pStyle w:val="BodyText"/>
            </w:pPr>
            <w:r w:rsidRPr="005E0294">
              <w:t>Before the critical aspects of evidence are considered all prerequisites shall be met.</w:t>
            </w:r>
          </w:p>
          <w:p w:rsidR="00000000" w:rsidRPr="005E0294" w:rsidP="005E0294">
            <w:pPr>
              <w:pStyle w:val="BodyText"/>
            </w:pPr>
            <w:r w:rsidRPr="005E0294">
              <w:t>Evidence for competence in this unit shall be considered holistically.  Each Element and associated performance criteria shall be demonstrated on at least two occasions in accordance with the ‘Assessment Guidelines – UEE11’.  Evidence shall also comprise:</w:t>
            </w:r>
          </w:p>
          <w:p w:rsidR="00000000" w:rsidRPr="005E0294" w:rsidP="005E0294">
            <w:pPr>
              <w:pStyle w:val="ListBullet"/>
            </w:pPr>
            <w:r w:rsidRPr="005E0294">
              <w:t>A representative body of work performance demonstrated within the timeframes typically expected of the discipline, work function and industrial environment. In particular this shall incorporate evidence that shows a candidate is able to:</w:t>
            </w:r>
          </w:p>
          <w:p w:rsidR="00000000" w:rsidRPr="005E0294" w:rsidP="005E0294">
            <w:pPr>
              <w:pStyle w:val="ListBullet2"/>
            </w:pPr>
            <w:r w:rsidRPr="005E0294">
              <w:t>Implement Occupational Health and Safety workplace procedures and practices, including the use of risk control measures as specified in the performance criteria and range statement</w:t>
            </w:r>
          </w:p>
          <w:p w:rsidR="00000000" w:rsidRPr="005E0294" w:rsidP="005E0294">
            <w:pPr>
              <w:pStyle w:val="ListBullet2"/>
            </w:pPr>
            <w:r w:rsidRPr="005E0294">
              <w:t>Apply sustainable energy principles and practices as specified in the perfo</w:t>
            </w:r>
            <w:r w:rsidRPr="005E0294">
              <w:t>rmance criteria and range statement</w:t>
            </w:r>
          </w:p>
          <w:p w:rsidR="00000000" w:rsidRPr="005E0294" w:rsidP="005E0294">
            <w:pPr>
              <w:pStyle w:val="ListBullet2"/>
            </w:pPr>
            <w:r w:rsidRPr="005E0294">
              <w:t>Demonstrate an understanding of the essential knowledge and associated skills as described in this unit.  It may be required by some jurisdictions that RTOs provide a percentile graded result for the purpose of regulator</w:t>
            </w:r>
            <w:r w:rsidRPr="005E0294">
              <w:t>y or licensing requirements.</w:t>
            </w:r>
          </w:p>
          <w:p w:rsidR="00000000" w:rsidRPr="005E0294" w:rsidP="005E0294">
            <w:pPr>
              <w:pStyle w:val="ListBullet2"/>
            </w:pPr>
            <w:r w:rsidRPr="005E0294">
              <w:t>Demonstrate an appropriate level of skills enabling employment</w:t>
            </w:r>
          </w:p>
          <w:p w:rsidR="00000000" w:rsidRPr="005E0294" w:rsidP="005E0294">
            <w:pPr>
              <w:pStyle w:val="ListBullet2"/>
            </w:pPr>
            <w:r w:rsidRPr="005E0294">
              <w:t>Conduct work observing the relevant Anti Discrimination legislation, regulations, polices and workplace procedures</w:t>
            </w:r>
          </w:p>
          <w:p w:rsidR="00000000" w:rsidRPr="005E0294" w:rsidP="005E0294">
            <w:pPr>
              <w:pStyle w:val="ListBullet"/>
            </w:pPr>
            <w:r w:rsidRPr="005E0294">
              <w:t>Demonstrated consistent performance across a rep</w:t>
            </w:r>
            <w:r w:rsidRPr="005E0294">
              <w:t>resentative range of contexts from the prescribed items below:</w:t>
            </w:r>
          </w:p>
          <w:p w:rsidR="00000000" w:rsidP="005E0294">
            <w:pPr>
              <w:pStyle w:val="ListBullet2"/>
              <w:rPr>
                <w:lang w:val="en-NZ"/>
              </w:rPr>
            </w:pPr>
            <w:r w:rsidRPr="005E0294">
              <w:t>Set up and test gaming/games equipment as described in 8) and including:</w:t>
            </w:r>
          </w:p>
        </w:tc>
      </w:tr>
      <w:tr w:rsidTr="00AB661B">
        <w:tblPrEx>
          <w:tblW w:w="10971" w:type="dxa"/>
          <w:tblLayout w:type="fixed"/>
          <w:tblCellMar>
            <w:left w:w="62" w:type="dxa"/>
            <w:right w:w="62" w:type="dxa"/>
          </w:tblCellMar>
          <w:tblLook w:val="0000"/>
        </w:tblPrEx>
        <w:tc>
          <w:tcPr>
            <w:tcW w:w="245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4" w:type="dxa"/>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t>A</w:t>
            </w:r>
          </w:p>
        </w:tc>
        <w:tc>
          <w:tcPr>
            <w:tcW w:w="6536" w:type="dxa"/>
            <w:gridSpan w:val="2"/>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t>Placing equipment in accordance with regulatory and customer requirements.</w:t>
            </w:r>
          </w:p>
        </w:tc>
      </w:tr>
      <w:tr w:rsidTr="00AB661B">
        <w:tblPrEx>
          <w:tblW w:w="10971" w:type="dxa"/>
          <w:tblLayout w:type="fixed"/>
          <w:tblCellMar>
            <w:left w:w="62" w:type="dxa"/>
            <w:right w:w="62" w:type="dxa"/>
          </w:tblCellMar>
          <w:tblLook w:val="0000"/>
        </w:tblPrEx>
        <w:tc>
          <w:tcPr>
            <w:tcW w:w="245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4" w:type="dxa"/>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t>B</w:t>
            </w:r>
          </w:p>
        </w:tc>
        <w:tc>
          <w:tcPr>
            <w:tcW w:w="6536" w:type="dxa"/>
            <w:gridSpan w:val="2"/>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t>Connecting equipment to manufacturer’s instructions and regulatory and customer requirements.</w:t>
            </w:r>
          </w:p>
        </w:tc>
      </w:tr>
      <w:tr w:rsidTr="00AB661B">
        <w:tblPrEx>
          <w:tblW w:w="10971" w:type="dxa"/>
          <w:tblLayout w:type="fixed"/>
          <w:tblCellMar>
            <w:left w:w="62" w:type="dxa"/>
            <w:right w:w="62" w:type="dxa"/>
          </w:tblCellMar>
          <w:tblLook w:val="0000"/>
        </w:tblPrEx>
        <w:tc>
          <w:tcPr>
            <w:tcW w:w="245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4" w:type="dxa"/>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t>C</w:t>
            </w:r>
          </w:p>
        </w:tc>
        <w:tc>
          <w:tcPr>
            <w:tcW w:w="6536" w:type="dxa"/>
            <w:gridSpan w:val="2"/>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t>Setting functional controls to regulatory and customer’s requirements.</w:t>
            </w:r>
          </w:p>
        </w:tc>
      </w:tr>
      <w:tr w:rsidTr="00AB661B">
        <w:tblPrEx>
          <w:tblW w:w="10971" w:type="dxa"/>
          <w:tblLayout w:type="fixed"/>
          <w:tblCellMar>
            <w:left w:w="62" w:type="dxa"/>
            <w:right w:w="62" w:type="dxa"/>
          </w:tblCellMar>
          <w:tblLook w:val="0000"/>
        </w:tblPrEx>
        <w:tc>
          <w:tcPr>
            <w:tcW w:w="245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4" w:type="dxa"/>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t>D</w:t>
            </w:r>
          </w:p>
        </w:tc>
        <w:tc>
          <w:tcPr>
            <w:tcW w:w="6536" w:type="dxa"/>
            <w:gridSpan w:val="2"/>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t>Testing functional operation.</w:t>
            </w:r>
          </w:p>
        </w:tc>
      </w:tr>
      <w:tr w:rsidTr="00AB661B">
        <w:tblPrEx>
          <w:tblW w:w="10971" w:type="dxa"/>
          <w:tblLayout w:type="fixed"/>
          <w:tblCellMar>
            <w:left w:w="62" w:type="dxa"/>
            <w:right w:w="62" w:type="dxa"/>
          </w:tblCellMar>
          <w:tblLook w:val="0000"/>
        </w:tblPrEx>
        <w:tc>
          <w:tcPr>
            <w:tcW w:w="245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4" w:type="dxa"/>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t>E</w:t>
            </w:r>
          </w:p>
        </w:tc>
        <w:tc>
          <w:tcPr>
            <w:tcW w:w="6536" w:type="dxa"/>
            <w:gridSpan w:val="2"/>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t>Completing necessary documentation including handing over equipment maintenance and operating instructions documents to the customer.</w:t>
            </w:r>
          </w:p>
        </w:tc>
      </w:tr>
      <w:tr w:rsidTr="00AB661B">
        <w:tblPrEx>
          <w:tblW w:w="10971" w:type="dxa"/>
          <w:tblLayout w:type="fixed"/>
          <w:tblCellMar>
            <w:left w:w="62" w:type="dxa"/>
            <w:right w:w="62" w:type="dxa"/>
          </w:tblCellMar>
          <w:tblLook w:val="0000"/>
        </w:tblPrEx>
        <w:tc>
          <w:tcPr>
            <w:tcW w:w="245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4" w:type="dxa"/>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t>F</w:t>
            </w:r>
          </w:p>
        </w:tc>
        <w:tc>
          <w:tcPr>
            <w:tcW w:w="6536" w:type="dxa"/>
            <w:gridSpan w:val="2"/>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t>Dealing with unplanned events by drawing on essential knowledge and skills to provide appropriate solutions incorpora</w:t>
            </w:r>
            <w:r w:rsidRPr="005E0294">
              <w:t>ted in a holistic assessment with the above listed items.</w:t>
            </w:r>
          </w:p>
        </w:tc>
      </w:tr>
      <w:tr w:rsidTr="00AB661B">
        <w:tblPrEx>
          <w:tblW w:w="10971" w:type="dxa"/>
          <w:tblLayout w:type="fixed"/>
          <w:tblCellMar>
            <w:left w:w="62" w:type="dxa"/>
            <w:right w:w="62" w:type="dxa"/>
          </w:tblCellMar>
          <w:tblLook w:val="0000"/>
        </w:tblPrEx>
        <w:tc>
          <w:tcPr>
            <w:tcW w:w="245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20" w:type="dxa"/>
            <w:gridSpan w:val="3"/>
            <w:tcBorders>
              <w:top w:val="nil"/>
              <w:left w:val="nil"/>
              <w:bottom w:val="nil"/>
              <w:right w:val="nil"/>
            </w:tcBorders>
            <w:tcMar>
              <w:top w:w="0" w:type="dxa"/>
              <w:left w:w="62" w:type="dxa"/>
              <w:bottom w:w="0" w:type="dxa"/>
              <w:right w:w="62" w:type="dxa"/>
            </w:tcMar>
          </w:tcPr>
          <w:p w:rsidR="00000000" w:rsidRPr="005E0294" w:rsidP="005E0294">
            <w:pPr>
              <w:pStyle w:val="BodyText"/>
            </w:pPr>
            <w:r w:rsidRPr="005E0294">
              <w:t xml:space="preserve">Note: </w:t>
            </w:r>
            <w:r w:rsidRPr="005E0294">
              <w:br/>
              <w:t>Successful completion of relevant vendor training may be used to contribute to evidence on which competency is deemed. In these cases the alignment of outcomes of vendor training with perf</w:t>
            </w:r>
            <w:r w:rsidRPr="005E0294">
              <w:t>ormance criteria and critical aspects of evidence shall be clearly identified.</w:t>
            </w:r>
          </w:p>
        </w:tc>
      </w:tr>
    </w:tbl>
    <w:p w:rsidR="00000000" w:rsidRPr="005E0294" w:rsidP="005E0294">
      <w:pPr>
        <w:pStyle w:val="BodyText"/>
      </w:pPr>
    </w:p>
    <w:tbl>
      <w:tblPr>
        <w:tblW w:w="0" w:type="auto"/>
        <w:tblLayout w:type="fixed"/>
        <w:tblCellMar>
          <w:left w:w="62" w:type="dxa"/>
          <w:right w:w="62" w:type="dxa"/>
        </w:tblCellMar>
        <w:tblLook w:val="0000"/>
      </w:tblPr>
      <w:tblGrid>
        <w:gridCol w:w="1890"/>
        <w:gridCol w:w="6570"/>
      </w:tblGrid>
      <w:tr w:rsidTr="00AB661B">
        <w:tblPrEx>
          <w:tblW w:w="0" w:type="auto"/>
          <w:tblLayout w:type="fixed"/>
          <w:tblCellMar>
            <w:left w:w="62" w:type="dxa"/>
            <w:right w:w="62" w:type="dxa"/>
          </w:tblCellMar>
          <w:tblLook w:val="0000"/>
        </w:tblPrEx>
        <w:trPr>
          <w:trHeight w:val="648"/>
        </w:trPr>
        <w:tc>
          <w:tcPr>
            <w:tcW w:w="1890" w:type="dxa"/>
            <w:tcBorders>
              <w:top w:val="nil"/>
              <w:left w:val="nil"/>
              <w:bottom w:val="nil"/>
              <w:right w:val="nil"/>
            </w:tcBorders>
            <w:tcMar>
              <w:top w:w="0" w:type="dxa"/>
              <w:left w:w="62" w:type="dxa"/>
              <w:bottom w:w="0" w:type="dxa"/>
              <w:right w:w="62" w:type="dxa"/>
            </w:tcMar>
          </w:tcPr>
          <w:p w:rsidR="00000000" w:rsidRPr="005E0294" w:rsidP="005E0294">
            <w:pPr>
              <w:pStyle w:val="BodyText"/>
            </w:pPr>
            <w:r w:rsidRPr="005E0294">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rPr>
                <w:rStyle w:val="SpecialBold"/>
              </w:rPr>
              <w:t>9.3)</w:t>
            </w:r>
          </w:p>
        </w:tc>
      </w:tr>
      <w:tr w:rsidTr="00AB661B">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E0294" w:rsidP="005E0294">
            <w:pPr>
              <w:pStyle w:val="BodyText"/>
            </w:pPr>
            <w:r w:rsidRPr="005E0294">
              <w:t>This unit should be assessed as it relates to norm</w:t>
            </w:r>
            <w:r w:rsidRPr="005E0294">
              <w:t>al work practice using procedures, information and resources typical of a workplace. This should include:</w:t>
            </w:r>
          </w:p>
          <w:p w:rsidR="00000000" w:rsidRPr="005E0294" w:rsidP="005E0294">
            <w:pPr>
              <w:pStyle w:val="ListBullet"/>
            </w:pPr>
            <w:r w:rsidRPr="005E0294">
              <w:t>OHS policy and work procedures and instructions.</w:t>
            </w:r>
          </w:p>
          <w:p w:rsidR="00000000" w:rsidRPr="005E0294" w:rsidP="005E0294">
            <w:pPr>
              <w:pStyle w:val="ListBullet"/>
            </w:pPr>
            <w:r w:rsidRPr="005E0294">
              <w:t>Suitable work environment, facilities, equipment and materials to undertake actual work as prescribed by this unit.</w:t>
            </w:r>
          </w:p>
          <w:p w:rsidR="00000000" w:rsidRPr="005E0294" w:rsidP="005E0294">
            <w:pPr>
              <w:pStyle w:val="BodyText"/>
            </w:pPr>
            <w:r w:rsidRPr="005E0294">
              <w:t>These should be part of the formal learning/assessment environment.</w:t>
            </w:r>
          </w:p>
          <w:p w:rsidR="00000000" w:rsidRPr="005E0294" w:rsidP="005E0294">
            <w:pPr>
              <w:pStyle w:val="BodyText"/>
            </w:pPr>
            <w:r w:rsidRPr="005E0294">
              <w:t>Note:</w:t>
            </w:r>
          </w:p>
          <w:p w:rsidR="00000000" w:rsidRPr="005E0294" w:rsidP="005E0294">
            <w:pPr>
              <w:pStyle w:val="BodyText"/>
            </w:pPr>
            <w:r w:rsidRPr="005E0294">
              <w:t>Where simulation is considered a suitable strategy for assessment,</w:t>
            </w:r>
            <w:r w:rsidRPr="005E0294">
              <w:t xml:space="preserve"> conditions must be authentic and as far as possible reproduce and replicate the workplace and be consistent with the approved industry simulation policy.</w:t>
            </w:r>
          </w:p>
          <w:p w:rsidR="00000000" w:rsidRPr="005E0294" w:rsidP="005E0294">
            <w:pPr>
              <w:pStyle w:val="BodyText"/>
            </w:pPr>
            <w:r w:rsidRPr="005E0294">
              <w:t>The resources used for assessment should reflect current industry practices in relation to setting up</w:t>
            </w:r>
            <w:r w:rsidRPr="005E0294">
              <w:t xml:space="preserve"> and testing gaming/games equipment.</w:t>
            </w:r>
          </w:p>
        </w:tc>
      </w:tr>
    </w:tbl>
    <w:p w:rsidR="00000000" w:rsidRPr="005E0294" w:rsidP="005E0294">
      <w:pPr>
        <w:pStyle w:val="BodyText"/>
      </w:pPr>
    </w:p>
    <w:tbl>
      <w:tblPr>
        <w:tblW w:w="0" w:type="auto"/>
        <w:tblLayout w:type="fixed"/>
        <w:tblCellMar>
          <w:left w:w="62" w:type="dxa"/>
          <w:right w:w="62" w:type="dxa"/>
        </w:tblCellMar>
        <w:tblLook w:val="0000"/>
      </w:tblPr>
      <w:tblGrid>
        <w:gridCol w:w="1890"/>
        <w:gridCol w:w="6570"/>
      </w:tblGrid>
      <w:tr w:rsidTr="00AB661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E0294" w:rsidP="005E0294">
            <w:pPr>
              <w:pStyle w:val="BodyText"/>
            </w:pPr>
            <w:r w:rsidRPr="005E0294">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rPr>
                <w:rStyle w:val="SpecialBold"/>
              </w:rPr>
              <w:t>9.4)</w:t>
            </w:r>
          </w:p>
        </w:tc>
      </w:tr>
      <w:tr w:rsidTr="00AB661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E0294" w:rsidP="005E0294">
            <w:pPr>
              <w:pStyle w:val="BodyText"/>
            </w:pPr>
            <w:r w:rsidRPr="005E0294">
              <w:t>This unit shall be assessed by methods given in Volume 1, Part 3 ‘Assessment Guidelines’.</w:t>
            </w:r>
          </w:p>
          <w:p w:rsidR="00000000" w:rsidRPr="005E0294" w:rsidP="005E0294">
            <w:pPr>
              <w:pStyle w:val="BodyText"/>
            </w:pPr>
            <w:r w:rsidRPr="005E0294">
              <w:t xml:space="preserve">Note: </w:t>
            </w:r>
          </w:p>
          <w:p w:rsidR="00000000" w:rsidRPr="005E0294" w:rsidP="005E0294">
            <w:pPr>
              <w:pStyle w:val="BodyText"/>
            </w:pPr>
            <w:r w:rsidRPr="005E0294">
              <w:t>Competent performance with inherent safe working practices is expected in the industry to which this unit applies. This requires that the specified essential knowledge and associated skills are assessed in a structured environment which is primarily intend</w:t>
            </w:r>
            <w:r w:rsidRPr="005E0294">
              <w:t>ed for learning/assessment and incorporates all necessary equipment and facilities for learners to develop and demonstrate the essential knowledge and skills described in this unit.</w:t>
            </w:r>
          </w:p>
        </w:tc>
      </w:tr>
    </w:tbl>
    <w:p w:rsidR="00000000" w:rsidRPr="005E0294" w:rsidP="005E0294">
      <w:pPr>
        <w:pStyle w:val="BodyText"/>
      </w:pPr>
    </w:p>
    <w:tbl>
      <w:tblPr>
        <w:tblW w:w="0" w:type="auto"/>
        <w:tblLayout w:type="fixed"/>
        <w:tblCellMar>
          <w:left w:w="62" w:type="dxa"/>
          <w:right w:w="62" w:type="dxa"/>
        </w:tblCellMar>
        <w:tblLook w:val="0000"/>
      </w:tblPr>
      <w:tblGrid>
        <w:gridCol w:w="1890"/>
        <w:gridCol w:w="6570"/>
      </w:tblGrid>
      <w:tr w:rsidTr="00AB661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E0294" w:rsidP="005E0294">
            <w:pPr>
              <w:pStyle w:val="BodyText"/>
            </w:pPr>
            <w:r w:rsidRPr="005E0294">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rPr>
                <w:rStyle w:val="SpecialBold"/>
              </w:rPr>
              <w:t>9.5)</w:t>
            </w:r>
          </w:p>
        </w:tc>
      </w:tr>
      <w:tr w:rsidTr="00AB661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E0294" w:rsidP="005E0294">
            <w:pPr>
              <w:pStyle w:val="BodyText"/>
            </w:pPr>
            <w:r w:rsidRPr="005E0294">
              <w:t>There are</w:t>
            </w:r>
            <w:r w:rsidRPr="005E0294">
              <w:t xml:space="preserve"> no concurrent assessment recommendations for this unit.</w:t>
            </w:r>
          </w:p>
          <w:p w:rsidR="00000000" w:rsidRPr="005E0294" w:rsidP="005E0294">
            <w:pPr>
              <w:pStyle w:val="BodyText"/>
            </w:pPr>
            <w:r w:rsidRPr="005E0294">
              <w:t>The critical aspects of occupational health and safety covered in unit UEENEEE101A and other discipline specific occupational health and safety units shall be incorporated in relation to this unit.</w:t>
            </w:r>
          </w:p>
        </w:tc>
      </w:tr>
    </w:tbl>
    <w:p w:rsidR="00000000" w:rsidRPr="005E0294" w:rsidP="005E0294">
      <w:pPr>
        <w:pStyle w:val="BodyText"/>
      </w:pPr>
    </w:p>
    <w:p w:rsidR="00000000" w:rsidRPr="005E0294" w:rsidP="005E0294">
      <w:pPr>
        <w:pStyle w:val="AllowPageBreak"/>
      </w:pPr>
    </w:p>
    <w:p w:rsidR="00000000" w:rsidRPr="005E0294" w:rsidP="005E0294">
      <w:pPr>
        <w:pStyle w:val="Heading1"/>
      </w:pPr>
      <w:bookmarkStart w:id="11" w:name="O_421376"/>
      <w:bookmarkEnd w:id="11"/>
      <w:r w:rsidRPr="005E0294">
        <w:t>Range Statement</w:t>
      </w:r>
    </w:p>
    <w:tbl>
      <w:tblPr>
        <w:tblW w:w="0" w:type="auto"/>
        <w:tblLayout w:type="fixed"/>
        <w:tblCellMar>
          <w:left w:w="62" w:type="dxa"/>
          <w:right w:w="62" w:type="dxa"/>
        </w:tblCellMar>
        <w:tblLook w:val="0000"/>
      </w:tblPr>
      <w:tblGrid>
        <w:gridCol w:w="8460"/>
      </w:tblGrid>
      <w:tr w:rsidTr="00AB661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rPr>
                <w:rStyle w:val="SpecialBold"/>
              </w:rPr>
              <w:t>RANGE STATEMENT</w:t>
            </w:r>
          </w:p>
        </w:tc>
      </w:tr>
      <w:tr w:rsidTr="00AB661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E0294" w:rsidP="005E0294">
            <w:pPr>
              <w:pStyle w:val="BodyText"/>
            </w:pPr>
            <w:r w:rsidRPr="005E0294">
              <w:rPr>
                <w:rStyle w:val="SpecialBold"/>
              </w:rPr>
              <w:t>10)</w:t>
            </w:r>
            <w:r w:rsidRPr="005E0294">
              <w:t xml:space="preserve"> This relates to the unit as a whole providing the range of contexts and conditions to which </w:t>
            </w:r>
            <w:r w:rsidRPr="005E0294">
              <w:t>the performance criteria apply. It allows for different work environments and situations that will affect performance.</w:t>
            </w:r>
          </w:p>
          <w:p w:rsidR="00000000" w:rsidRPr="005E0294" w:rsidP="005E0294">
            <w:pPr>
              <w:pStyle w:val="BodyText"/>
            </w:pPr>
            <w:r w:rsidRPr="005E0294">
              <w:t xml:space="preserve">This unit shall be in relation to setting up and testing a representative range of gaming machines connected to a network and commercial </w:t>
            </w:r>
            <w:r w:rsidRPr="005E0294">
              <w:t>games machines to customer and regulatory requirement.</w:t>
            </w:r>
          </w:p>
          <w:p w:rsidR="00000000" w:rsidRPr="005E0294" w:rsidP="005E0294">
            <w:pPr>
              <w:pStyle w:val="BodyText"/>
            </w:pPr>
            <w:r w:rsidRPr="005E0294">
              <w:t>Generic terms used throughout this Vocational Standard shall be regarded as part of the Range Statement in which competency is demonstrated. The definition of these and other terms that apply are given</w:t>
            </w:r>
            <w:r w:rsidRPr="005E0294">
              <w:t xml:space="preserve"> in Volume 2, Part 2.1.</w:t>
            </w:r>
          </w:p>
        </w:tc>
      </w:tr>
    </w:tbl>
    <w:p w:rsidR="00000000" w:rsidRPr="005E0294" w:rsidP="005E0294">
      <w:pPr>
        <w:pStyle w:val="BodyText"/>
      </w:pPr>
    </w:p>
    <w:p w:rsidR="00000000" w:rsidRPr="005E0294" w:rsidP="005E0294">
      <w:pPr>
        <w:pStyle w:val="AllowPageBreak"/>
      </w:pPr>
    </w:p>
    <w:p w:rsidR="00000000" w:rsidRPr="005E0294" w:rsidP="005E0294">
      <w:pPr>
        <w:pStyle w:val="Heading1"/>
      </w:pPr>
      <w:bookmarkStart w:id="12" w:name="O_421382"/>
      <w:bookmarkEnd w:id="12"/>
      <w:r w:rsidRPr="005E0294">
        <w:t>Unit Sector(s)</w:t>
      </w:r>
    </w:p>
    <w:p w:rsidR="00000000" w:rsidRPr="005E0294" w:rsidP="005E0294">
      <w:pPr>
        <w:pStyle w:val="BodyText"/>
      </w:pPr>
      <w:r w:rsidRPr="005E0294">
        <w:t>Not applicable.</w:t>
      </w:r>
    </w:p>
    <w:p w:rsidR="00000000" w:rsidRPr="005E0294" w:rsidP="005E0294">
      <w:pPr>
        <w:pStyle w:val="AllowPageBreak"/>
      </w:pPr>
    </w:p>
    <w:p w:rsidR="00000000" w:rsidRPr="005E0294" w:rsidP="005E0294">
      <w:pPr>
        <w:pStyle w:val="Heading1"/>
      </w:pPr>
      <w:bookmarkStart w:id="13" w:name="O_421364"/>
      <w:bookmarkEnd w:id="13"/>
      <w:r w:rsidRPr="005E0294">
        <w:t>Competency Field</w:t>
      </w:r>
    </w:p>
    <w:tbl>
      <w:tblPr>
        <w:tblW w:w="0" w:type="auto"/>
        <w:tblLayout w:type="fixed"/>
        <w:tblCellMar>
          <w:left w:w="62" w:type="dxa"/>
          <w:right w:w="62" w:type="dxa"/>
        </w:tblCellMar>
        <w:tblLook w:val="0000"/>
      </w:tblPr>
      <w:tblGrid>
        <w:gridCol w:w="2700"/>
        <w:gridCol w:w="5760"/>
      </w:tblGrid>
      <w:tr w:rsidTr="00AB661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E0294" w:rsidP="005E0294">
            <w:pPr>
              <w:pStyle w:val="BodyText"/>
            </w:pPr>
            <w:r w:rsidRPr="005E029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E0294">
            <w:pPr>
              <w:pStyle w:val="BodyText"/>
              <w:rPr>
                <w:lang w:val="en-NZ"/>
              </w:rPr>
            </w:pPr>
            <w:r w:rsidRPr="005E0294">
              <w:rPr>
                <w:rStyle w:val="SpecialBold"/>
              </w:rPr>
              <w:t xml:space="preserve">11) </w:t>
            </w:r>
          </w:p>
        </w:tc>
      </w:tr>
      <w:tr w:rsidTr="00AB66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E0294" w:rsidP="005E0294">
            <w:pPr>
              <w:pStyle w:val="BodyText"/>
            </w:pPr>
            <w:r w:rsidRPr="005E0294">
              <w:t>Electronics</w:t>
            </w:r>
          </w:p>
        </w:tc>
      </w:tr>
    </w:tbl>
    <w:p w:rsidR="00000000" w:rsidRPr="005E0294" w:rsidP="005E0294">
      <w:pPr>
        <w:pStyle w:val="BodyText"/>
      </w:pPr>
    </w:p>
    <w:p w:rsidR="00000000" w:rsidRPr="005E0294" w:rsidP="005E0294"/>
    <w:sectPr w:rsidSect="005E02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2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661B" w:rsidP="00AB66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2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61B" w:rsidP="005E02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B661B" w:rsidP="005E02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B661B" w:rsidP="005E02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2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661B" w:rsidP="00AB661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2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61B" w:rsidP="005E0294">
    <w:pPr>
      <w:pStyle w:val="Header"/>
      <w:framePr w:wrap="around"/>
    </w:pPr>
    <w:r>
      <w:fldChar w:fldCharType="begin"/>
    </w:r>
    <w:r>
      <w:instrText xml:space="preserve"> TITLE   \* MERGEFORMAT </w:instrText>
    </w:r>
    <w:r>
      <w:fldChar w:fldCharType="separate"/>
    </w:r>
    <w:r>
      <w:t>UEENEEH109A Set up and test gaming and game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B661B" w:rsidP="005E029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109C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C4FA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96E2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29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E0294"/>
    <w:pPr>
      <w:spacing w:before="360" w:after="60"/>
      <w:outlineLvl w:val="0"/>
    </w:pPr>
    <w:rPr>
      <w:sz w:val="32"/>
    </w:rPr>
  </w:style>
  <w:style w:type="paragraph" w:styleId="Heading2">
    <w:name w:val="heading 2"/>
    <w:basedOn w:val="HeadingBase"/>
    <w:next w:val="BodyText"/>
    <w:link w:val="Heading2Char"/>
    <w:qFormat/>
    <w:rsid w:val="005E0294"/>
    <w:pPr>
      <w:keepLines/>
      <w:spacing w:before="240" w:after="120"/>
      <w:outlineLvl w:val="1"/>
    </w:pPr>
    <w:rPr>
      <w:sz w:val="28"/>
      <w:szCs w:val="40"/>
    </w:rPr>
  </w:style>
  <w:style w:type="paragraph" w:styleId="Heading3">
    <w:name w:val="heading 3"/>
    <w:basedOn w:val="HeadingBase"/>
    <w:next w:val="BodyText"/>
    <w:link w:val="Heading3Char"/>
    <w:qFormat/>
    <w:rsid w:val="005E0294"/>
    <w:pPr>
      <w:spacing w:before="180" w:after="120"/>
      <w:outlineLvl w:val="2"/>
    </w:pPr>
    <w:rPr>
      <w:spacing w:val="-10"/>
      <w:kern w:val="32"/>
    </w:rPr>
  </w:style>
  <w:style w:type="paragraph" w:styleId="Heading4">
    <w:name w:val="heading 4"/>
    <w:basedOn w:val="HeadingBase"/>
    <w:next w:val="BodyText"/>
    <w:link w:val="Heading4Char"/>
    <w:qFormat/>
    <w:rsid w:val="005E0294"/>
    <w:pPr>
      <w:spacing w:before="160" w:after="120"/>
      <w:outlineLvl w:val="3"/>
    </w:pPr>
    <w:rPr>
      <w:sz w:val="22"/>
    </w:rPr>
  </w:style>
  <w:style w:type="paragraph" w:styleId="Heading5">
    <w:name w:val="heading 5"/>
    <w:basedOn w:val="HeadingBase"/>
    <w:next w:val="Normal"/>
    <w:link w:val="Heading5Char"/>
    <w:qFormat/>
    <w:rsid w:val="005E0294"/>
    <w:pPr>
      <w:spacing w:before="80"/>
      <w:outlineLvl w:val="4"/>
    </w:pPr>
    <w:rPr>
      <w:color w:val="918585"/>
      <w:sz w:val="20"/>
    </w:rPr>
  </w:style>
  <w:style w:type="paragraph" w:styleId="Heading6">
    <w:name w:val="heading 6"/>
    <w:basedOn w:val="HeadingBase"/>
    <w:next w:val="Normal"/>
    <w:link w:val="Heading6Char"/>
    <w:qFormat/>
    <w:rsid w:val="005E0294"/>
    <w:pPr>
      <w:spacing w:before="60"/>
      <w:outlineLvl w:val="5"/>
    </w:pPr>
    <w:rPr>
      <w:color w:val="918585"/>
      <w:sz w:val="20"/>
    </w:rPr>
  </w:style>
  <w:style w:type="paragraph" w:styleId="Heading7">
    <w:name w:val="heading 7"/>
    <w:basedOn w:val="Normal"/>
    <w:next w:val="Normal"/>
    <w:link w:val="Heading7Char"/>
    <w:qFormat/>
    <w:rsid w:val="005E0294"/>
    <w:pPr>
      <w:ind w:left="720"/>
      <w:outlineLvl w:val="6"/>
    </w:pPr>
    <w:rPr>
      <w:i/>
    </w:rPr>
  </w:style>
  <w:style w:type="paragraph" w:styleId="Heading8">
    <w:name w:val="heading 8"/>
    <w:basedOn w:val="Normal"/>
    <w:next w:val="Normal"/>
    <w:link w:val="Heading8Char"/>
    <w:qFormat/>
    <w:rsid w:val="005E0294"/>
    <w:pPr>
      <w:ind w:left="720"/>
      <w:outlineLvl w:val="7"/>
    </w:pPr>
    <w:rPr>
      <w:i/>
    </w:rPr>
  </w:style>
  <w:style w:type="paragraph" w:styleId="Heading9">
    <w:name w:val="heading 9"/>
    <w:basedOn w:val="Normal"/>
    <w:next w:val="Normal"/>
    <w:link w:val="Heading9Char"/>
    <w:qFormat/>
    <w:rsid w:val="005E0294"/>
    <w:pPr>
      <w:ind w:left="720"/>
      <w:outlineLvl w:val="8"/>
    </w:pPr>
    <w:rPr>
      <w:i/>
    </w:rPr>
  </w:style>
  <w:style w:type="character" w:default="1" w:styleId="DefaultParagraphFont">
    <w:name w:val="Default Paragraph Font"/>
    <w:uiPriority w:val="1"/>
    <w:unhideWhenUsed/>
    <w:rsid w:val="005E02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0294"/>
  </w:style>
  <w:style w:type="character" w:customStyle="1" w:styleId="Heading1Char">
    <w:name w:val="Heading 1 Char"/>
    <w:basedOn w:val="DefaultParagraphFont"/>
    <w:link w:val="Heading1"/>
    <w:rsid w:val="005E0294"/>
    <w:rPr>
      <w:rFonts w:ascii="Times New Roman" w:eastAsia="Times New Roman" w:hAnsi="Times New Roman" w:cs="Times New Roman"/>
      <w:b/>
      <w:sz w:val="32"/>
      <w:szCs w:val="20"/>
      <w:lang w:eastAsia="en-US"/>
    </w:rPr>
  </w:style>
  <w:style w:type="paragraph" w:styleId="BodyText">
    <w:name w:val="Body Text"/>
    <w:basedOn w:val="Normal"/>
    <w:link w:val="BodyTextChar"/>
    <w:rsid w:val="005E02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0294"/>
    <w:rPr>
      <w:rFonts w:ascii="Times New Roman" w:eastAsia="Times New Roman" w:hAnsi="Times New Roman" w:cs="Times New Roman"/>
      <w:sz w:val="24"/>
      <w:lang w:val="en-US" w:eastAsia="en-US"/>
    </w:rPr>
  </w:style>
  <w:style w:type="paragraph" w:styleId="Footer">
    <w:name w:val="footer"/>
    <w:basedOn w:val="Normal"/>
    <w:link w:val="FooterChar"/>
    <w:rsid w:val="005E02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0294"/>
    <w:rPr>
      <w:rFonts w:ascii="Times New Roman" w:eastAsia="Times New Roman" w:hAnsi="Times New Roman" w:cs="Times New Roman"/>
      <w:sz w:val="16"/>
      <w:lang w:val="en-US" w:eastAsia="en-US"/>
    </w:rPr>
  </w:style>
  <w:style w:type="paragraph" w:styleId="ListBullet">
    <w:name w:val="List Bullet"/>
    <w:basedOn w:val="List"/>
    <w:rsid w:val="005E0294"/>
    <w:pPr>
      <w:numPr>
        <w:numId w:val="13"/>
      </w:numPr>
      <w:tabs>
        <w:tab w:val="clear" w:pos="340"/>
      </w:tabs>
      <w:spacing w:before="40" w:after="40"/>
    </w:pPr>
  </w:style>
  <w:style w:type="character" w:customStyle="1" w:styleId="SpecialBold">
    <w:name w:val="Special Bold"/>
    <w:basedOn w:val="DefaultParagraphFont"/>
    <w:rsid w:val="005E0294"/>
    <w:rPr>
      <w:b/>
      <w:spacing w:val="0"/>
    </w:rPr>
  </w:style>
  <w:style w:type="paragraph" w:styleId="ListBullet2">
    <w:name w:val="List Bullet 2"/>
    <w:basedOn w:val="List2"/>
    <w:rsid w:val="005E0294"/>
    <w:pPr>
      <w:numPr>
        <w:numId w:val="14"/>
      </w:numPr>
      <w:tabs>
        <w:tab w:val="clear" w:pos="680"/>
      </w:tabs>
    </w:pPr>
  </w:style>
  <w:style w:type="paragraph" w:styleId="Header">
    <w:name w:val="header"/>
    <w:basedOn w:val="Normal"/>
    <w:link w:val="HeaderChar"/>
    <w:rsid w:val="005E02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029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E0294"/>
    <w:pPr>
      <w:spacing w:before="240" w:after="120"/>
      <w:outlineLvl w:val="0"/>
    </w:pPr>
    <w:rPr>
      <w:rFonts w:ascii="Times New Roman" w:hAnsi="Times New Roman"/>
      <w:b/>
      <w:sz w:val="28"/>
    </w:rPr>
  </w:style>
  <w:style w:type="paragraph" w:customStyle="1" w:styleId="AllowPageBreak">
    <w:name w:val="AllowPageBreak"/>
    <w:rsid w:val="005E02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02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02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02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02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02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029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E029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E0294"/>
    <w:rPr>
      <w:rFonts w:ascii="Courier New" w:eastAsia="Times New Roman" w:hAnsi="Courier New" w:cs="Times New Roman"/>
      <w:i/>
      <w:szCs w:val="20"/>
      <w:lang w:val="en-US" w:eastAsia="en-US"/>
    </w:rPr>
  </w:style>
  <w:style w:type="paragraph" w:customStyle="1" w:styleId="HeadingBase">
    <w:name w:val="Heading Base"/>
    <w:rsid w:val="005E02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0294"/>
    <w:pPr>
      <w:tabs>
        <w:tab w:val="right" w:leader="dot" w:pos="9072"/>
      </w:tabs>
      <w:ind w:left="567"/>
    </w:pPr>
    <w:rPr>
      <w:szCs w:val="22"/>
    </w:rPr>
  </w:style>
  <w:style w:type="paragraph" w:customStyle="1" w:styleId="TOCBase">
    <w:name w:val="TOC Base"/>
    <w:rsid w:val="005E02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0294"/>
    <w:pPr>
      <w:tabs>
        <w:tab w:val="right" w:leader="dot" w:pos="9072"/>
      </w:tabs>
      <w:spacing w:before="40" w:after="40"/>
      <w:ind w:left="284"/>
    </w:pPr>
    <w:rPr>
      <w:rFonts w:ascii="Times New Roman" w:hAnsi="Times New Roman"/>
    </w:rPr>
  </w:style>
  <w:style w:type="paragraph" w:styleId="TOC1">
    <w:name w:val="toc 1"/>
    <w:basedOn w:val="TOCBase"/>
    <w:next w:val="Normal"/>
    <w:rsid w:val="005E02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0294"/>
    <w:pPr>
      <w:spacing w:before="5040"/>
      <w:jc w:val="center"/>
    </w:pPr>
    <w:rPr>
      <w:sz w:val="48"/>
      <w:szCs w:val="72"/>
      <w:lang w:val="en-US"/>
    </w:rPr>
  </w:style>
  <w:style w:type="character" w:customStyle="1" w:styleId="TitleChar">
    <w:name w:val="Title Char"/>
    <w:basedOn w:val="DefaultParagraphFont"/>
    <w:link w:val="Title"/>
    <w:rsid w:val="005E02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0294"/>
    <w:pPr>
      <w:tabs>
        <w:tab w:val="left" w:pos="3600"/>
        <w:tab w:val="left" w:pos="3958"/>
      </w:tabs>
    </w:pPr>
  </w:style>
  <w:style w:type="paragraph" w:styleId="List">
    <w:name w:val="List"/>
    <w:basedOn w:val="BodyText"/>
    <w:next w:val="BodyText"/>
    <w:rsid w:val="005E0294"/>
    <w:pPr>
      <w:tabs>
        <w:tab w:val="left" w:pos="340"/>
      </w:tabs>
      <w:spacing w:before="60" w:after="60"/>
      <w:ind w:left="340" w:hanging="340"/>
    </w:pPr>
  </w:style>
  <w:style w:type="paragraph" w:customStyle="1" w:styleId="Note">
    <w:name w:val="Note"/>
    <w:basedOn w:val="BodyText"/>
    <w:rsid w:val="005E02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0294"/>
    <w:pPr>
      <w:framePr w:wrap="auto" w:hAnchor="text" w:y="6049"/>
    </w:pPr>
    <w:rPr>
      <w:color w:val="000000"/>
      <w:sz w:val="40"/>
    </w:rPr>
  </w:style>
  <w:style w:type="paragraph" w:customStyle="1" w:styleId="TOCTitle">
    <w:name w:val="TOCTitle"/>
    <w:basedOn w:val="Heading1"/>
    <w:rsid w:val="005E0294"/>
    <w:pPr>
      <w:spacing w:after="240"/>
      <w:jc w:val="center"/>
      <w:outlineLvl w:val="9"/>
    </w:pPr>
    <w:rPr>
      <w:caps/>
    </w:rPr>
  </w:style>
  <w:style w:type="paragraph" w:customStyle="1" w:styleId="Version">
    <w:name w:val="Version"/>
    <w:rsid w:val="005E02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0294"/>
    <w:pPr>
      <w:keepNext w:val="0"/>
      <w:tabs>
        <w:tab w:val="right" w:pos="4176"/>
      </w:tabs>
      <w:ind w:left="198" w:hanging="198"/>
    </w:pPr>
    <w:rPr>
      <w:rFonts w:ascii="Garamond" w:hAnsi="Garamond"/>
    </w:rPr>
  </w:style>
  <w:style w:type="paragraph" w:styleId="IndexHeading">
    <w:name w:val="index heading"/>
    <w:basedOn w:val="Normal"/>
    <w:next w:val="Index1"/>
    <w:semiHidden/>
    <w:rsid w:val="005E0294"/>
    <w:pPr>
      <w:spacing w:before="120" w:after="120"/>
    </w:pPr>
    <w:rPr>
      <w:rFonts w:ascii="Arial" w:hAnsi="Arial"/>
      <w:b/>
      <w:color w:val="918585"/>
      <w:sz w:val="24"/>
    </w:rPr>
  </w:style>
  <w:style w:type="paragraph" w:customStyle="1" w:styleId="Chapter">
    <w:name w:val="Chapter"/>
    <w:basedOn w:val="Normal"/>
    <w:rsid w:val="005E0294"/>
    <w:pPr>
      <w:spacing w:before="240"/>
    </w:pPr>
    <w:rPr>
      <w:rFonts w:ascii="Times New Roman" w:hAnsi="Times New Roman"/>
      <w:smallCaps/>
      <w:spacing w:val="80"/>
      <w:sz w:val="28"/>
    </w:rPr>
  </w:style>
  <w:style w:type="paragraph" w:customStyle="1" w:styleId="InChapter">
    <w:name w:val="InChapter"/>
    <w:basedOn w:val="Heading3"/>
    <w:rsid w:val="005E0294"/>
    <w:pPr>
      <w:spacing w:after="240"/>
      <w:outlineLvl w:val="9"/>
    </w:pPr>
    <w:rPr>
      <w:noProof/>
    </w:rPr>
  </w:style>
  <w:style w:type="paragraph" w:styleId="Index2">
    <w:name w:val="index 2"/>
    <w:basedOn w:val="Normal"/>
    <w:next w:val="Normal"/>
    <w:semiHidden/>
    <w:rsid w:val="005E0294"/>
    <w:pPr>
      <w:tabs>
        <w:tab w:val="right" w:pos="4176"/>
      </w:tabs>
      <w:ind w:left="568" w:hanging="284"/>
    </w:pPr>
    <w:rPr>
      <w:rFonts w:ascii="Garamond" w:hAnsi="Garamond"/>
    </w:rPr>
  </w:style>
  <w:style w:type="paragraph" w:customStyle="1" w:styleId="Byline">
    <w:name w:val="Byline"/>
    <w:rsid w:val="005E02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0294"/>
    <w:pPr>
      <w:tabs>
        <w:tab w:val="clear" w:pos="3600"/>
        <w:tab w:val="clear" w:pos="3958"/>
      </w:tabs>
      <w:jc w:val="right"/>
    </w:pPr>
  </w:style>
  <w:style w:type="character" w:styleId="Emphasis">
    <w:name w:val="Emphasis"/>
    <w:basedOn w:val="DefaultParagraphFont"/>
    <w:qFormat/>
    <w:rsid w:val="005E0294"/>
    <w:rPr>
      <w:i/>
    </w:rPr>
  </w:style>
  <w:style w:type="paragraph" w:styleId="Caption">
    <w:name w:val="caption"/>
    <w:basedOn w:val="BodyText"/>
    <w:next w:val="Normal"/>
    <w:qFormat/>
    <w:rsid w:val="005E0294"/>
    <w:pPr>
      <w:framePr w:w="2268" w:hSpace="181" w:vSpace="181" w:wrap="around" w:vAnchor="text" w:hAnchor="page" w:x="1135" w:y="285" w:anchorLock="1"/>
    </w:pPr>
    <w:rPr>
      <w:i/>
    </w:rPr>
  </w:style>
  <w:style w:type="paragraph" w:customStyle="1" w:styleId="MiniTOCTitle">
    <w:name w:val="MiniTOCTitle"/>
    <w:basedOn w:val="Heading4"/>
    <w:rsid w:val="005E0294"/>
    <w:pPr>
      <w:spacing w:before="240"/>
      <w:outlineLvl w:val="9"/>
    </w:pPr>
    <w:rPr>
      <w:noProof/>
      <w:sz w:val="24"/>
    </w:rPr>
  </w:style>
  <w:style w:type="paragraph" w:customStyle="1" w:styleId="MiniTOCItem">
    <w:name w:val="MiniTOCItem"/>
    <w:basedOn w:val="ListBullet"/>
    <w:rsid w:val="005E0294"/>
    <w:pPr>
      <w:numPr>
        <w:numId w:val="0"/>
      </w:numPr>
      <w:tabs>
        <w:tab w:val="right" w:leader="dot" w:pos="6521"/>
      </w:tabs>
      <w:spacing w:before="0" w:after="0"/>
    </w:pPr>
  </w:style>
  <w:style w:type="paragraph" w:customStyle="1" w:styleId="TOFTitle">
    <w:name w:val="TOFTitle"/>
    <w:basedOn w:val="TOCTitle"/>
    <w:rsid w:val="005E0294"/>
  </w:style>
  <w:style w:type="paragraph" w:styleId="TableofFigures">
    <w:name w:val="table of figures"/>
    <w:basedOn w:val="Normal"/>
    <w:next w:val="Normal"/>
    <w:semiHidden/>
    <w:rsid w:val="005E0294"/>
    <w:pPr>
      <w:tabs>
        <w:tab w:val="right" w:leader="dot" w:pos="9072"/>
      </w:tabs>
      <w:ind w:left="970" w:hanging="403"/>
    </w:pPr>
    <w:rPr>
      <w:rFonts w:ascii="Times New Roman" w:hAnsi="Times New Roman"/>
      <w:b/>
    </w:rPr>
  </w:style>
  <w:style w:type="paragraph" w:styleId="ListNumber">
    <w:name w:val="List Number"/>
    <w:basedOn w:val="List"/>
    <w:rsid w:val="005E0294"/>
    <w:pPr>
      <w:numPr>
        <w:numId w:val="11"/>
      </w:numPr>
    </w:pPr>
  </w:style>
  <w:style w:type="character" w:customStyle="1" w:styleId="WingdingSymbols">
    <w:name w:val="Wingding Symbols"/>
    <w:rsid w:val="005E0294"/>
    <w:rPr>
      <w:rFonts w:ascii="Wingdings" w:hAnsi="Wingdings"/>
    </w:rPr>
  </w:style>
  <w:style w:type="paragraph" w:customStyle="1" w:styleId="TableHeading">
    <w:name w:val="Table Heading"/>
    <w:basedOn w:val="HeadingBase"/>
    <w:rsid w:val="005E0294"/>
    <w:pPr>
      <w:keepLines/>
      <w:pBdr>
        <w:bottom w:val="single" w:sz="6" w:space="1" w:color="918585"/>
      </w:pBdr>
      <w:spacing w:before="240"/>
    </w:pPr>
  </w:style>
  <w:style w:type="character" w:customStyle="1" w:styleId="HotSpot">
    <w:name w:val="HotSpot"/>
    <w:rsid w:val="005E0294"/>
    <w:rPr>
      <w:color w:val="0033CC"/>
      <w:u w:val="none"/>
    </w:rPr>
  </w:style>
  <w:style w:type="paragraph" w:customStyle="1" w:styleId="BodyTextRight">
    <w:name w:val="Body Text Right"/>
    <w:basedOn w:val="BodyText"/>
    <w:rsid w:val="005E0294"/>
    <w:pPr>
      <w:spacing w:before="0" w:after="0"/>
      <w:jc w:val="right"/>
    </w:pPr>
  </w:style>
  <w:style w:type="paragraph" w:styleId="Index3">
    <w:name w:val="index 3"/>
    <w:basedOn w:val="ListNumber2"/>
    <w:next w:val="Normal"/>
    <w:semiHidden/>
    <w:rsid w:val="005E0294"/>
    <w:pPr>
      <w:numPr>
        <w:numId w:val="0"/>
      </w:numPr>
      <w:tabs>
        <w:tab w:val="right" w:leader="dot" w:pos="4176"/>
      </w:tabs>
    </w:pPr>
  </w:style>
  <w:style w:type="paragraph" w:styleId="ListNumber2">
    <w:name w:val="List Number 2"/>
    <w:basedOn w:val="List2"/>
    <w:rsid w:val="005E0294"/>
    <w:pPr>
      <w:numPr>
        <w:numId w:val="10"/>
      </w:numPr>
      <w:tabs>
        <w:tab w:val="clear" w:pos="1060"/>
      </w:tabs>
    </w:pPr>
  </w:style>
  <w:style w:type="paragraph" w:customStyle="1" w:styleId="MarginNote">
    <w:name w:val="Margin Note"/>
    <w:basedOn w:val="BodyText"/>
    <w:rsid w:val="005E02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02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029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E0294"/>
    <w:rPr>
      <w:sz w:val="32"/>
    </w:rPr>
  </w:style>
  <w:style w:type="paragraph" w:customStyle="1" w:styleId="HeadingProcedure">
    <w:name w:val="Heading Procedure"/>
    <w:basedOn w:val="HeadingBase"/>
    <w:next w:val="Normal"/>
    <w:rsid w:val="005E0294"/>
    <w:pPr>
      <w:tabs>
        <w:tab w:val="left" w:pos="0"/>
      </w:tabs>
      <w:spacing w:before="120" w:after="60"/>
    </w:pPr>
    <w:rPr>
      <w:i/>
      <w:color w:val="918585"/>
      <w:sz w:val="22"/>
    </w:rPr>
  </w:style>
  <w:style w:type="paragraph" w:customStyle="1" w:styleId="TableBodyText">
    <w:name w:val="Table Body Text"/>
    <w:basedOn w:val="BodyText"/>
    <w:rsid w:val="005E0294"/>
    <w:pPr>
      <w:spacing w:before="60" w:after="60"/>
    </w:pPr>
  </w:style>
  <w:style w:type="paragraph" w:styleId="ListContinue">
    <w:name w:val="List Continue"/>
    <w:basedOn w:val="List"/>
    <w:rsid w:val="005E0294"/>
    <w:pPr>
      <w:ind w:firstLine="0"/>
    </w:pPr>
  </w:style>
  <w:style w:type="paragraph" w:customStyle="1" w:styleId="ListNote">
    <w:name w:val="List Note"/>
    <w:basedOn w:val="List"/>
    <w:rsid w:val="005E0294"/>
    <w:pPr>
      <w:pBdr>
        <w:top w:val="single" w:sz="6" w:space="2" w:color="918585"/>
        <w:bottom w:val="single" w:sz="6" w:space="2" w:color="918585"/>
      </w:pBdr>
      <w:tabs>
        <w:tab w:val="left" w:pos="1021"/>
      </w:tabs>
      <w:ind w:firstLine="0"/>
    </w:pPr>
  </w:style>
  <w:style w:type="paragraph" w:customStyle="1" w:styleId="Warning">
    <w:name w:val="Warning"/>
    <w:basedOn w:val="BodyText"/>
    <w:rsid w:val="005E0294"/>
    <w:pPr>
      <w:shd w:val="clear" w:color="auto" w:fill="D9D9D9"/>
      <w:tabs>
        <w:tab w:val="left" w:pos="992"/>
      </w:tabs>
      <w:ind w:left="119" w:right="119"/>
    </w:pPr>
    <w:rPr>
      <w:sz w:val="20"/>
    </w:rPr>
  </w:style>
  <w:style w:type="paragraph" w:customStyle="1" w:styleId="MarginIcons">
    <w:name w:val="Margin Icons"/>
    <w:basedOn w:val="BodyText"/>
    <w:rsid w:val="005E02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0294"/>
    <w:rPr>
      <w:rFonts w:ascii="Courier New" w:hAnsi="Courier New"/>
    </w:rPr>
  </w:style>
  <w:style w:type="paragraph" w:customStyle="1" w:styleId="NoteBullet">
    <w:name w:val="Note Bullet"/>
    <w:basedOn w:val="Note"/>
    <w:rsid w:val="005E0294"/>
    <w:pPr>
      <w:tabs>
        <w:tab w:val="clear" w:pos="680"/>
      </w:tabs>
      <w:spacing w:before="60" w:after="60"/>
    </w:pPr>
  </w:style>
  <w:style w:type="paragraph" w:customStyle="1" w:styleId="SubHeading2">
    <w:name w:val="SubHeading2"/>
    <w:basedOn w:val="HeadingBase"/>
    <w:rsid w:val="005E0294"/>
    <w:pPr>
      <w:spacing w:before="240" w:after="60"/>
    </w:pPr>
    <w:rPr>
      <w:sz w:val="20"/>
    </w:rPr>
  </w:style>
  <w:style w:type="paragraph" w:customStyle="1" w:styleId="SubHeading1">
    <w:name w:val="SubHeading1"/>
    <w:basedOn w:val="HeadingBase"/>
    <w:rsid w:val="005E0294"/>
    <w:pPr>
      <w:spacing w:before="240" w:after="60"/>
    </w:pPr>
    <w:rPr>
      <w:color w:val="918585"/>
      <w:sz w:val="22"/>
    </w:rPr>
  </w:style>
  <w:style w:type="paragraph" w:customStyle="1" w:styleId="SideHeading">
    <w:name w:val="Side Heading"/>
    <w:basedOn w:val="HeadingBase"/>
    <w:rsid w:val="005E02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0294"/>
    <w:pPr>
      <w:numPr>
        <w:numId w:val="12"/>
      </w:numPr>
    </w:pPr>
  </w:style>
  <w:style w:type="paragraph" w:styleId="PlainText">
    <w:name w:val="Plain Text"/>
    <w:basedOn w:val="Normal"/>
    <w:link w:val="PlainTextChar"/>
    <w:rsid w:val="005E0294"/>
    <w:rPr>
      <w:sz w:val="20"/>
    </w:rPr>
  </w:style>
  <w:style w:type="character" w:customStyle="1" w:styleId="PlainTextChar">
    <w:name w:val="Plain Text Char"/>
    <w:basedOn w:val="DefaultParagraphFont"/>
    <w:link w:val="PlainText"/>
    <w:rsid w:val="005E029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E0294"/>
    <w:rPr>
      <w:b/>
      <w:smallCaps/>
    </w:rPr>
  </w:style>
  <w:style w:type="paragraph" w:customStyle="1" w:styleId="TableListNumber">
    <w:name w:val="Table List Number"/>
    <w:basedOn w:val="ListNumber"/>
    <w:rsid w:val="005E0294"/>
    <w:pPr>
      <w:numPr>
        <w:numId w:val="0"/>
      </w:numPr>
    </w:pPr>
  </w:style>
  <w:style w:type="paragraph" w:styleId="TOC4">
    <w:name w:val="toc 4"/>
    <w:basedOn w:val="TOCBase"/>
    <w:next w:val="Normal"/>
    <w:semiHidden/>
    <w:rsid w:val="005E0294"/>
    <w:pPr>
      <w:tabs>
        <w:tab w:val="right" w:leader="dot" w:pos="9071"/>
      </w:tabs>
      <w:ind w:left="1701"/>
    </w:pPr>
  </w:style>
  <w:style w:type="paragraph" w:customStyle="1" w:styleId="ListAlpha">
    <w:name w:val="List Alpha"/>
    <w:basedOn w:val="List"/>
    <w:rsid w:val="005E0294"/>
    <w:pPr>
      <w:numPr>
        <w:numId w:val="9"/>
      </w:numPr>
    </w:pPr>
  </w:style>
  <w:style w:type="paragraph" w:customStyle="1" w:styleId="ListAlpha2">
    <w:name w:val="List Alpha 2"/>
    <w:basedOn w:val="List2"/>
    <w:rsid w:val="005E0294"/>
    <w:pPr>
      <w:numPr>
        <w:numId w:val="8"/>
      </w:numPr>
    </w:pPr>
  </w:style>
  <w:style w:type="paragraph" w:styleId="List2">
    <w:name w:val="List 2"/>
    <w:basedOn w:val="BodyText"/>
    <w:rsid w:val="005E0294"/>
    <w:pPr>
      <w:tabs>
        <w:tab w:val="left" w:pos="680"/>
      </w:tabs>
      <w:spacing w:before="60" w:after="60"/>
      <w:ind w:left="680" w:hanging="340"/>
    </w:pPr>
  </w:style>
  <w:style w:type="paragraph" w:styleId="List3">
    <w:name w:val="List 3"/>
    <w:basedOn w:val="BodyText"/>
    <w:rsid w:val="005E0294"/>
    <w:pPr>
      <w:tabs>
        <w:tab w:val="left" w:pos="1021"/>
      </w:tabs>
      <w:spacing w:before="60" w:after="60"/>
      <w:ind w:left="1020" w:hanging="340"/>
    </w:pPr>
  </w:style>
  <w:style w:type="paragraph" w:styleId="List4">
    <w:name w:val="List 4"/>
    <w:basedOn w:val="BodyText"/>
    <w:rsid w:val="005E0294"/>
    <w:pPr>
      <w:tabs>
        <w:tab w:val="left" w:pos="1361"/>
      </w:tabs>
      <w:spacing w:before="60" w:after="60"/>
      <w:ind w:left="1361" w:hanging="340"/>
    </w:pPr>
  </w:style>
  <w:style w:type="paragraph" w:styleId="List5">
    <w:name w:val="List 5"/>
    <w:basedOn w:val="BodyText"/>
    <w:rsid w:val="005E0294"/>
    <w:pPr>
      <w:tabs>
        <w:tab w:val="left" w:pos="1701"/>
      </w:tabs>
      <w:spacing w:before="60" w:after="60"/>
      <w:ind w:left="1701" w:hanging="340"/>
    </w:pPr>
  </w:style>
  <w:style w:type="paragraph" w:styleId="ListBullet3">
    <w:name w:val="List Bullet 3"/>
    <w:basedOn w:val="List3"/>
    <w:rsid w:val="005E0294"/>
    <w:pPr>
      <w:numPr>
        <w:numId w:val="15"/>
      </w:numPr>
      <w:tabs>
        <w:tab w:val="clear" w:pos="1021"/>
      </w:tabs>
      <w:ind w:left="1037" w:hanging="357"/>
    </w:pPr>
  </w:style>
  <w:style w:type="paragraph" w:styleId="ListBullet4">
    <w:name w:val="List Bullet 4"/>
    <w:basedOn w:val="List4"/>
    <w:rsid w:val="005E0294"/>
    <w:pPr>
      <w:numPr>
        <w:numId w:val="3"/>
      </w:numPr>
    </w:pPr>
  </w:style>
  <w:style w:type="paragraph" w:styleId="ListBullet5">
    <w:name w:val="List Bullet 5"/>
    <w:basedOn w:val="List5"/>
    <w:rsid w:val="005E0294"/>
    <w:pPr>
      <w:numPr>
        <w:numId w:val="4"/>
      </w:numPr>
    </w:pPr>
  </w:style>
  <w:style w:type="paragraph" w:styleId="ListContinue2">
    <w:name w:val="List Continue 2"/>
    <w:basedOn w:val="List2"/>
    <w:rsid w:val="005E0294"/>
    <w:pPr>
      <w:ind w:firstLine="0"/>
    </w:pPr>
  </w:style>
  <w:style w:type="paragraph" w:styleId="ListContinue3">
    <w:name w:val="List Continue 3"/>
    <w:basedOn w:val="List3"/>
    <w:rsid w:val="005E0294"/>
    <w:pPr>
      <w:ind w:left="1021" w:firstLine="0"/>
    </w:pPr>
  </w:style>
  <w:style w:type="paragraph" w:styleId="ListContinue4">
    <w:name w:val="List Continue 4"/>
    <w:basedOn w:val="List4"/>
    <w:rsid w:val="005E0294"/>
    <w:pPr>
      <w:ind w:firstLine="0"/>
    </w:pPr>
  </w:style>
  <w:style w:type="paragraph" w:styleId="ListContinue5">
    <w:name w:val="List Continue 5"/>
    <w:basedOn w:val="List5"/>
    <w:rsid w:val="005E0294"/>
    <w:pPr>
      <w:ind w:firstLine="0"/>
    </w:pPr>
  </w:style>
  <w:style w:type="paragraph" w:styleId="ListNumber3">
    <w:name w:val="List Number 3"/>
    <w:basedOn w:val="List3"/>
    <w:rsid w:val="005E0294"/>
    <w:pPr>
      <w:numPr>
        <w:numId w:val="5"/>
      </w:numPr>
    </w:pPr>
  </w:style>
  <w:style w:type="paragraph" w:styleId="ListNumber4">
    <w:name w:val="List Number 4"/>
    <w:basedOn w:val="List4"/>
    <w:rsid w:val="005E0294"/>
    <w:pPr>
      <w:numPr>
        <w:numId w:val="6"/>
      </w:numPr>
    </w:pPr>
  </w:style>
  <w:style w:type="paragraph" w:styleId="ListNumber5">
    <w:name w:val="List Number 5"/>
    <w:basedOn w:val="List5"/>
    <w:rsid w:val="005E0294"/>
    <w:pPr>
      <w:numPr>
        <w:numId w:val="7"/>
      </w:numPr>
    </w:pPr>
  </w:style>
  <w:style w:type="paragraph" w:styleId="BlockText">
    <w:name w:val="Block Text"/>
    <w:basedOn w:val="Normal"/>
    <w:rsid w:val="005E0294"/>
    <w:pPr>
      <w:spacing w:after="120"/>
      <w:ind w:left="1440" w:right="1440"/>
    </w:pPr>
  </w:style>
  <w:style w:type="character" w:customStyle="1" w:styleId="Subscript">
    <w:name w:val="Subscript"/>
    <w:basedOn w:val="DefaultParagraphFont"/>
    <w:rsid w:val="005E0294"/>
    <w:rPr>
      <w:sz w:val="16"/>
      <w:vertAlign w:val="subscript"/>
    </w:rPr>
  </w:style>
  <w:style w:type="character" w:customStyle="1" w:styleId="Superscript">
    <w:name w:val="Superscript"/>
    <w:basedOn w:val="DefaultParagraphFont"/>
    <w:rsid w:val="005E0294"/>
    <w:rPr>
      <w:sz w:val="16"/>
      <w:vertAlign w:val="superscript"/>
    </w:rPr>
  </w:style>
  <w:style w:type="character" w:customStyle="1" w:styleId="Symbols">
    <w:name w:val="Symbols"/>
    <w:basedOn w:val="DefaultParagraphFont"/>
    <w:rsid w:val="005E0294"/>
    <w:rPr>
      <w:rFonts w:ascii="Symbol" w:hAnsi="Symbol"/>
    </w:rPr>
  </w:style>
  <w:style w:type="character" w:customStyle="1" w:styleId="MenuOptions">
    <w:name w:val="Menu Options"/>
    <w:basedOn w:val="DefaultParagraphFont"/>
    <w:rsid w:val="005E0294"/>
    <w:rPr>
      <w:rFonts w:ascii="Arial Narrow" w:hAnsi="Arial Narrow"/>
      <w:smallCaps/>
    </w:rPr>
  </w:style>
  <w:style w:type="character" w:customStyle="1" w:styleId="Buttons">
    <w:name w:val="Buttons"/>
    <w:basedOn w:val="DefaultParagraphFont"/>
    <w:rsid w:val="005E0294"/>
    <w:rPr>
      <w:b/>
    </w:rPr>
  </w:style>
  <w:style w:type="character" w:customStyle="1" w:styleId="Underlined">
    <w:name w:val="Underlined"/>
    <w:basedOn w:val="DefaultParagraphFont"/>
    <w:rsid w:val="005E0294"/>
    <w:rPr>
      <w:u w:val="single"/>
    </w:rPr>
  </w:style>
  <w:style w:type="paragraph" w:customStyle="1" w:styleId="TableBodyTextRight">
    <w:name w:val="Table Body Text Right"/>
    <w:basedOn w:val="TableBodyText"/>
    <w:rsid w:val="005E0294"/>
    <w:pPr>
      <w:widowControl w:val="0"/>
      <w:autoSpaceDE w:val="0"/>
      <w:autoSpaceDN w:val="0"/>
      <w:adjustRightInd w:val="0"/>
      <w:jc w:val="right"/>
    </w:pPr>
    <w:rPr>
      <w:rFonts w:cs="Arial"/>
      <w:szCs w:val="18"/>
    </w:rPr>
  </w:style>
  <w:style w:type="paragraph" w:customStyle="1" w:styleId="CopyrightText">
    <w:name w:val="Copyright Text"/>
    <w:basedOn w:val="BodyText"/>
    <w:rsid w:val="005E0294"/>
    <w:rPr>
      <w:sz w:val="18"/>
    </w:rPr>
  </w:style>
  <w:style w:type="paragraph" w:customStyle="1" w:styleId="BodySmallRight">
    <w:name w:val="Body Small Right"/>
    <w:basedOn w:val="BodyTextRight"/>
    <w:rsid w:val="005E0294"/>
    <w:rPr>
      <w:sz w:val="18"/>
      <w:szCs w:val="18"/>
    </w:rPr>
  </w:style>
  <w:style w:type="paragraph" w:customStyle="1" w:styleId="MarginEdition">
    <w:name w:val="Margin Edition"/>
    <w:basedOn w:val="MarginNote"/>
    <w:rsid w:val="005E0294"/>
    <w:pPr>
      <w:spacing w:before="0" w:after="0"/>
    </w:pPr>
    <w:rPr>
      <w:rFonts w:ascii="Times New Roman" w:hAnsi="Times New Roman"/>
      <w:color w:val="999999"/>
    </w:rPr>
  </w:style>
  <w:style w:type="paragraph" w:customStyle="1" w:styleId="Spacer">
    <w:name w:val="Spacer"/>
    <w:basedOn w:val="Normal"/>
    <w:rsid w:val="005E0294"/>
    <w:rPr>
      <w:sz w:val="2"/>
      <w:szCs w:val="2"/>
    </w:rPr>
  </w:style>
  <w:style w:type="character" w:customStyle="1" w:styleId="Small">
    <w:name w:val="Small"/>
    <w:basedOn w:val="DefaultParagraphFont"/>
    <w:rsid w:val="005E0294"/>
    <w:rPr>
      <w:sz w:val="16"/>
    </w:rPr>
  </w:style>
  <w:style w:type="paragraph" w:customStyle="1" w:styleId="WideTable">
    <w:name w:val="Wide Table"/>
    <w:basedOn w:val="Normal"/>
    <w:rsid w:val="005E0294"/>
    <w:pPr>
      <w:ind w:left="-1418"/>
    </w:pPr>
    <w:rPr>
      <w:sz w:val="2"/>
      <w:szCs w:val="2"/>
    </w:rPr>
  </w:style>
  <w:style w:type="character" w:styleId="PageNumber">
    <w:name w:val="page number"/>
    <w:basedOn w:val="DefaultParagraphFont"/>
    <w:rsid w:val="005E0294"/>
  </w:style>
  <w:style w:type="paragraph" w:styleId="Quote">
    <w:name w:val="Quote"/>
    <w:basedOn w:val="Heading1"/>
    <w:link w:val="QuoteChar"/>
    <w:qFormat/>
    <w:rsid w:val="005E0294"/>
    <w:rPr>
      <w:b w:val="0"/>
      <w:sz w:val="72"/>
      <w:szCs w:val="72"/>
      <w:lang w:val="en-NZ"/>
    </w:rPr>
  </w:style>
  <w:style w:type="character" w:customStyle="1" w:styleId="QuoteChar">
    <w:name w:val="Quote Char"/>
    <w:basedOn w:val="DefaultParagraphFont"/>
    <w:link w:val="Quote"/>
    <w:rsid w:val="005E02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0294"/>
    <w:pPr>
      <w:pageBreakBefore/>
    </w:pPr>
  </w:style>
  <w:style w:type="paragraph" w:customStyle="1" w:styleId="Border">
    <w:name w:val="Border"/>
    <w:basedOn w:val="Normal"/>
    <w:qFormat/>
    <w:rsid w:val="005E02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0294"/>
    <w:rPr>
      <w:b/>
      <w:bCs/>
      <w:i/>
      <w:iCs/>
      <w:color w:val="auto"/>
    </w:rPr>
  </w:style>
  <w:style w:type="paragraph" w:styleId="IntenseQuote">
    <w:name w:val="Intense Quote"/>
    <w:basedOn w:val="Normal"/>
    <w:next w:val="Normal"/>
    <w:link w:val="IntenseQuoteChar"/>
    <w:uiPriority w:val="30"/>
    <w:qFormat/>
    <w:rsid w:val="005E02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029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E0294"/>
    <w:rPr>
      <w:smallCaps/>
      <w:color w:val="auto"/>
      <w:u w:val="single"/>
    </w:rPr>
  </w:style>
  <w:style w:type="character" w:styleId="IntenseReference">
    <w:name w:val="Intense Reference"/>
    <w:basedOn w:val="DefaultParagraphFont"/>
    <w:uiPriority w:val="32"/>
    <w:qFormat/>
    <w:rsid w:val="005E0294"/>
    <w:rPr>
      <w:b/>
      <w:bCs/>
      <w:smallCaps/>
      <w:color w:val="auto"/>
      <w:spacing w:val="5"/>
      <w:u w:val="single"/>
    </w:rPr>
  </w:style>
  <w:style w:type="paragraph" w:customStyle="1" w:styleId="2ColumnHeading">
    <w:name w:val="2Column Heading"/>
    <w:basedOn w:val="BodyText"/>
    <w:qFormat/>
    <w:rsid w:val="005E0294"/>
    <w:pPr>
      <w:spacing w:after="60"/>
      <w:ind w:left="-2268"/>
    </w:pPr>
    <w:rPr>
      <w:b/>
    </w:rPr>
  </w:style>
  <w:style w:type="paragraph" w:customStyle="1" w:styleId="Heading1TOC">
    <w:name w:val="Heading1 TOC"/>
    <w:basedOn w:val="Normal"/>
    <w:qFormat/>
    <w:rsid w:val="005E0294"/>
    <w:pPr>
      <w:spacing w:before="240" w:after="120"/>
    </w:pPr>
    <w:rPr>
      <w:rFonts w:ascii="Times New Roman" w:hAnsi="Times New Roman"/>
      <w:b/>
      <w:sz w:val="32"/>
    </w:rPr>
  </w:style>
  <w:style w:type="paragraph" w:customStyle="1" w:styleId="Heading2TOC">
    <w:name w:val="Heading2 TOC"/>
    <w:basedOn w:val="Normal"/>
    <w:qFormat/>
    <w:rsid w:val="005E0294"/>
    <w:pPr>
      <w:spacing w:before="240" w:after="60"/>
    </w:pPr>
    <w:rPr>
      <w:rFonts w:ascii="Times New Roman" w:hAnsi="Times New Roman"/>
      <w:b/>
      <w:sz w:val="28"/>
    </w:rPr>
  </w:style>
  <w:style w:type="character" w:customStyle="1" w:styleId="Underline">
    <w:name w:val="Underline"/>
    <w:basedOn w:val="DefaultParagraphFont"/>
    <w:qFormat/>
    <w:rsid w:val="005E0294"/>
    <w:rPr>
      <w:u w:val="single"/>
    </w:rPr>
  </w:style>
  <w:style w:type="character" w:customStyle="1" w:styleId="BoldandItalics">
    <w:name w:val="Bold and Italics"/>
    <w:qFormat/>
    <w:rsid w:val="005E0294"/>
    <w:rPr>
      <w:b/>
      <w:i/>
      <w:u w:val="none"/>
    </w:rPr>
  </w:style>
  <w:style w:type="paragraph" w:styleId="BalloonText">
    <w:name w:val="Balloon Text"/>
    <w:basedOn w:val="Normal"/>
    <w:link w:val="BalloonTextChar"/>
    <w:rsid w:val="005E0294"/>
    <w:rPr>
      <w:rFonts w:ascii="Tahoma" w:hAnsi="Tahoma" w:cs="Tahoma"/>
      <w:sz w:val="16"/>
      <w:szCs w:val="16"/>
    </w:rPr>
  </w:style>
  <w:style w:type="character" w:customStyle="1" w:styleId="BalloonTextChar">
    <w:name w:val="Balloon Text Char"/>
    <w:basedOn w:val="DefaultParagraphFont"/>
    <w:link w:val="BalloonText"/>
    <w:rsid w:val="005E029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E02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029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2283</Words>
  <Characters>13793</Characters>
  <Application>Microsoft Office Word</Application>
  <DocSecurity>0</DocSecurity>
  <Lines>506</Lines>
  <Paragraphs>231</Paragraphs>
  <ScaleCrop>false</ScaleCrop>
  <Company>Author-it Software Corporation Ltd.</Company>
  <LinksUpToDate>false</LinksUpToDate>
  <CharactersWithSpaces>15974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UEENEEH109A Set up and test gaming and game equipment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2012-05-26T11:16:00Z</dcterms:created>
  <dcterms:modified xsi:type="dcterms:W3CDTF">2012-05-26T11:16:00Z</dcterms:modified>
</cp:coreProperties>
</file>