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C58" w:rsidP="00FB5C58">
      <w:pPr>
        <w:pStyle w:val="Title"/>
      </w:pPr>
      <w:r>
        <w:fldChar w:fldCharType="begin"/>
      </w:r>
      <w:r>
        <w:instrText xml:space="preserve"> TITLE   \* MERGEFORMAT </w:instrText>
      </w:r>
      <w:r>
        <w:fldChar w:fldCharType="separate"/>
      </w:r>
      <w:r>
        <w:t>UEENEEH108A Assemble and install reception antennae and signal distribution equipment</w:t>
      </w:r>
      <w:r>
        <w:fldChar w:fldCharType="end"/>
      </w:r>
    </w:p>
    <w:p w:rsidR="00FB5C58" w:rsidP="00FB5C58">
      <w:pPr>
        <w:pStyle w:val="Version"/>
        <w:sectPr w:rsidSect="007261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61F1" w:rsidP="007261F1">
      <w:pPr>
        <w:pStyle w:val="SuperHeading"/>
      </w:pPr>
      <w:r w:rsidRPr="007261F1">
        <w:t>UEENEEH108A Assemble and install reception antennae and signal distribution equipment</w:t>
      </w:r>
    </w:p>
    <w:p w:rsidR="00000000" w:rsidRPr="007261F1" w:rsidP="007261F1">
      <w:pPr>
        <w:pStyle w:val="Heading1"/>
      </w:pPr>
      <w:bookmarkStart w:id="1" w:name="O_586875"/>
      <w:bookmarkEnd w:id="1"/>
      <w:r w:rsidRPr="007261F1">
        <w:t>Modification History</w:t>
      </w:r>
    </w:p>
    <w:p w:rsidR="00000000" w:rsidRPr="007261F1" w:rsidP="007261F1">
      <w:pPr>
        <w:pStyle w:val="BodyText"/>
      </w:pPr>
      <w:r w:rsidRPr="007261F1">
        <w:t>Not applicable.</w:t>
      </w:r>
    </w:p>
    <w:p w:rsidR="00000000" w:rsidRPr="007261F1" w:rsidP="007261F1">
      <w:pPr>
        <w:pStyle w:val="AllowPageBreak"/>
      </w:pPr>
    </w:p>
    <w:p w:rsidR="00000000" w:rsidRPr="007261F1" w:rsidP="007261F1">
      <w:pPr>
        <w:pStyle w:val="Heading1"/>
      </w:pPr>
      <w:bookmarkStart w:id="2" w:name="O_586874"/>
      <w:bookmarkEnd w:id="2"/>
      <w:r w:rsidRPr="007261F1">
        <w:t>Unit Descriptor</w:t>
      </w:r>
    </w:p>
    <w:tbl>
      <w:tblPr>
        <w:tblW w:w="0" w:type="auto"/>
        <w:tblLayout w:type="fixed"/>
        <w:tblCellMar>
          <w:left w:w="62" w:type="dxa"/>
          <w:right w:w="62" w:type="dxa"/>
        </w:tblCellMar>
        <w:tblLook w:val="0000"/>
      </w:tblPr>
      <w:tblGrid>
        <w:gridCol w:w="2700"/>
        <w:gridCol w:w="5760"/>
      </w:tblGrid>
      <w:tr w:rsidTr="00FB5C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1)</w:t>
            </w:r>
            <w:r w:rsidRPr="007261F1">
              <w:t xml:space="preserve"> </w:t>
            </w:r>
            <w:r w:rsidRPr="007261F1">
              <w:rPr>
                <w:rStyle w:val="SpecialBold"/>
              </w:rPr>
              <w:t>Scope:</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61F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1.1) Descriptor</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This unit covers the installation, positioning and securing of terrestrial and satellite arrays and dishes and associated amplifiers and the reticulation of cables and connection of multiple access outlets and associated equipment. It encompasses safe work</w:t>
            </w:r>
            <w:r w:rsidRPr="007261F1">
              <w:t>ing practices, selection of antennae and distribution components, installation techniques, use of testing devices and following written and oral instruction and procedures.</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3" w:name="O_586873"/>
      <w:bookmarkEnd w:id="3"/>
      <w:r w:rsidRPr="007261F1">
        <w:t>Application of the Unit</w:t>
      </w:r>
    </w:p>
    <w:tbl>
      <w:tblPr>
        <w:tblW w:w="0" w:type="auto"/>
        <w:tblLayout w:type="fixed"/>
        <w:tblCellMar>
          <w:left w:w="62" w:type="dxa"/>
          <w:right w:w="62" w:type="dxa"/>
        </w:tblCellMar>
        <w:tblLook w:val="0000"/>
      </w:tblPr>
      <w:tblGrid>
        <w:gridCol w:w="2672"/>
        <w:gridCol w:w="5699"/>
      </w:tblGrid>
      <w:tr w:rsidTr="00FB5C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2)</w:t>
            </w:r>
          </w:p>
        </w:tc>
      </w:tr>
      <w:tr w:rsidTr="00FB5C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This unit is intended for competency development in entry-level employment based programs incorporated in approved contracts of training or approved training programs.</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4" w:name="O_586872"/>
      <w:bookmarkEnd w:id="4"/>
      <w:r w:rsidRPr="007261F1">
        <w:t>Licensing/Regulatory Information</w:t>
      </w:r>
    </w:p>
    <w:tbl>
      <w:tblPr>
        <w:tblW w:w="0" w:type="auto"/>
        <w:tblLayout w:type="fixed"/>
        <w:tblCellMar>
          <w:left w:w="62" w:type="dxa"/>
          <w:right w:w="62" w:type="dxa"/>
        </w:tblCellMar>
        <w:tblLook w:val="0000"/>
      </w:tblPr>
      <w:tblGrid>
        <w:gridCol w:w="2700"/>
        <w:gridCol w:w="5760"/>
      </w:tblGrid>
      <w:tr w:rsidTr="00FB5C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 xml:space="preserve">3) </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The skills</w:t>
            </w:r>
            <w:r w:rsidRPr="007261F1">
              <w:t xml:space="preserve"> and knowledge described in this unit do not require a license to practice in the workplace. However, practice in this unit is subject to regulations directly related to occupational health and safety and where applicable contracts of training such as appr</w:t>
            </w:r>
            <w:r w:rsidRPr="007261F1">
              <w:t>enticeships.</w:t>
            </w:r>
          </w:p>
          <w:p w:rsidR="00000000" w:rsidRPr="007261F1" w:rsidP="007261F1">
            <w:pPr>
              <w:pStyle w:val="BodyText"/>
            </w:pPr>
            <w:r w:rsidRPr="007261F1">
              <w:t xml:space="preserve">Note: </w:t>
            </w:r>
          </w:p>
          <w:p w:rsidR="00000000" w:rsidRPr="007261F1" w:rsidP="007261F1">
            <w:pPr>
              <w:pStyle w:val="BodyText"/>
            </w:pPr>
            <w:r w:rsidRPr="007261F1">
              <w:t>1. Compliance with permits may be required in various jurisdictions and typically relates to the operation of plant, machinery and equipment such as elevating work platforms, powder operated fixing tools, power operated tools, vehicles, road signage and tr</w:t>
            </w:r>
            <w:r w:rsidRPr="007261F1">
              <w:t>affic control, lifting equipment and the like. Permits may also be required for some work environments such as confined spaces, working aloft, near live electrical apparatus and site rehabilitation.</w:t>
            </w:r>
          </w:p>
          <w:p w:rsidR="00000000" w:rsidRPr="007261F1" w:rsidP="007261F1">
            <w:pPr>
              <w:pStyle w:val="BodyText"/>
            </w:pPr>
            <w:r w:rsidRPr="007261F1">
              <w:t>2. Compliance may be required in various jurisdictions re</w:t>
            </w:r>
            <w:r w:rsidRPr="007261F1">
              <w:t>lating to currency in First Aid, confined space, lifting and risk safety measures.</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5" w:name="O_586871"/>
      <w:bookmarkEnd w:id="5"/>
      <w:r w:rsidRPr="007261F1">
        <w:t>Pre-Requisites</w:t>
      </w:r>
    </w:p>
    <w:tbl>
      <w:tblPr>
        <w:tblW w:w="0" w:type="auto"/>
        <w:tblLayout w:type="fixed"/>
        <w:tblCellMar>
          <w:left w:w="62" w:type="dxa"/>
          <w:right w:w="62" w:type="dxa"/>
        </w:tblCellMar>
        <w:tblLook w:val="0000"/>
      </w:tblPr>
      <w:tblGrid>
        <w:gridCol w:w="2700"/>
        <w:gridCol w:w="1440"/>
        <w:gridCol w:w="4320"/>
      </w:tblGrid>
      <w:tr w:rsidTr="00FB5C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 xml:space="preserve">4) </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4.1)</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Granting competency in this unit shall be made only after competency in the following unit(s) has/have been confirmed.</w:t>
            </w:r>
          </w:p>
        </w:tc>
      </w:tr>
      <w:tr w:rsidTr="00FB5C5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UEENEEE101A</w:t>
            </w:r>
          </w:p>
        </w:tc>
        <w:tc>
          <w:tcPr>
            <w:tcW w:w="432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Apply Occupational Health and Safety regulations, codes and practices in the workplace</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Fabricate, assemble </w:t>
            </w:r>
            <w:r w:rsidRPr="007261F1">
              <w:t>and dismantle utilities industry components</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UEENEEE105A</w:t>
            </w:r>
          </w:p>
        </w:tc>
        <w:tc>
          <w:tcPr>
            <w:tcW w:w="432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Fix and secure electrotechnology equipment</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UEENEEE107A </w:t>
            </w:r>
          </w:p>
        </w:tc>
        <w:tc>
          <w:tcPr>
            <w:tcW w:w="432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Use drawings, diagrams, schedules, standards, codes and specifications</w:t>
            </w:r>
          </w:p>
        </w:tc>
      </w:tr>
    </w:tbl>
    <w:p w:rsidR="00000000" w:rsidRPr="007261F1" w:rsidP="007261F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B5C5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 xml:space="preserve">4.2) </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Participants are best equipped to achieve competency in this unit if they have reading, writing and numeracy skills </w:t>
            </w:r>
            <w:r w:rsidRPr="007261F1">
              <w:t>indicated by the following scales. Description of each scale is given in Volume 2, Part 3 ‘Literacy and Numeracy’</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Reading</w:t>
            </w:r>
          </w:p>
        </w:tc>
        <w:tc>
          <w:tcPr>
            <w:tcW w:w="81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3</w:t>
            </w:r>
          </w:p>
        </w:tc>
        <w:tc>
          <w:tcPr>
            <w:tcW w:w="99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Writing</w:t>
            </w: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3</w:t>
            </w:r>
          </w:p>
        </w:tc>
        <w:tc>
          <w:tcPr>
            <w:tcW w:w="12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Numeracy</w:t>
            </w:r>
          </w:p>
        </w:tc>
        <w:tc>
          <w:tcPr>
            <w:tcW w:w="72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3</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6" w:name="O_586870"/>
      <w:bookmarkEnd w:id="6"/>
      <w:r w:rsidRPr="007261F1">
        <w:t>Employability Skills Information</w:t>
      </w:r>
    </w:p>
    <w:tbl>
      <w:tblPr>
        <w:tblW w:w="0" w:type="auto"/>
        <w:tblLayout w:type="fixed"/>
        <w:tblCellMar>
          <w:left w:w="62" w:type="dxa"/>
          <w:right w:w="62" w:type="dxa"/>
        </w:tblCellMar>
        <w:tblLook w:val="0000"/>
      </w:tblPr>
      <w:tblGrid>
        <w:gridCol w:w="2700"/>
        <w:gridCol w:w="5760"/>
      </w:tblGrid>
      <w:tr w:rsidTr="00FB5C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 xml:space="preserve">5) </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This unit contains Employability Skills</w:t>
            </w:r>
          </w:p>
          <w:p w:rsidR="00000000" w:rsidRPr="007261F1" w:rsidP="007261F1">
            <w:pPr>
              <w:pStyle w:val="BodyText"/>
            </w:pPr>
            <w:r w:rsidRPr="007261F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261F1">
              <w:t>requirements.</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7" w:name="O_586869"/>
      <w:bookmarkEnd w:id="7"/>
      <w:r w:rsidRPr="007261F1">
        <w:t>Elements and Performance Criteria Pre-Content</w:t>
      </w:r>
    </w:p>
    <w:tbl>
      <w:tblPr>
        <w:tblW w:w="0" w:type="auto"/>
        <w:tblLayout w:type="fixed"/>
        <w:tblCellMar>
          <w:left w:w="62" w:type="dxa"/>
          <w:right w:w="62" w:type="dxa"/>
        </w:tblCellMar>
        <w:tblLook w:val="0000"/>
      </w:tblPr>
      <w:tblGrid>
        <w:gridCol w:w="2700"/>
        <w:gridCol w:w="5760"/>
      </w:tblGrid>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6)</w:t>
            </w:r>
            <w:r w:rsidRPr="007261F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Performance Criteria describe the required performance needed to demonstrate achievement of the element. Assessment of performance is to be consistent with the Evidence Guide.</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8" w:name="O_586868"/>
      <w:bookmarkEnd w:id="8"/>
      <w:r w:rsidRPr="007261F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FB5C5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PERFORMANCE CRITER</w:t>
            </w:r>
            <w:r w:rsidRPr="007261F1">
              <w:rPr>
                <w:rStyle w:val="SpecialBold"/>
              </w:rPr>
              <w:t>IA</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w:t>
            </w:r>
          </w:p>
        </w:tc>
        <w:tc>
          <w:tcPr>
            <w:tcW w:w="2340" w:type="dxa"/>
            <w:vMerge w:val="restart"/>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Prepare to install and set-up reception antennae and signal distribution systems.</w:t>
            </w: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1.1</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OHS procedures for a given work area are identified, obtained and understood through established routines.</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1.2</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Established OHS risk control measures are follo</w:t>
            </w:r>
            <w:r w:rsidRPr="007261F1">
              <w:t>wed in preparation for the work.</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1.3</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Safety hazards, which have not previously been identified, are reported and advise on risk control measures, are sought from the work supervisor.</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1.4</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The nature and location of the work is obtained from work supervisor or other appropriate person to establish the scope of work to be undertaken.</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1.5</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Advice is sought from the work supervisor and/or other appropriate person to ensure the work is co-ordi</w:t>
            </w:r>
            <w:r w:rsidRPr="007261F1">
              <w:t xml:space="preserve">nated effectively with others. </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1.6</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Sources of materials that may be required for the work are established in accordance with established routines.</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1.7</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Tools, equipment and testing devices needed to carry out the work are obtained and checked for c</w:t>
            </w:r>
            <w:r w:rsidRPr="007261F1">
              <w:t>orrect operation and safety.</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w:t>
            </w:r>
          </w:p>
        </w:tc>
        <w:tc>
          <w:tcPr>
            <w:tcW w:w="2340" w:type="dxa"/>
            <w:vMerge w:val="restart"/>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Install reception antennae and signal distribution systems.</w:t>
            </w: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2.1</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Established OHS risk control measures for carrying out the work are followed.</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2.2</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Circuits/components are checked as being isolated where necessary in strict accordance OHS requirements and procedures.</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2.3</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The optimum location for an antenna to be installed is determine from signal tests and limitation imposed by the customer and reg</w:t>
            </w:r>
            <w:r w:rsidRPr="007261F1">
              <w:t>ulation.</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2.4</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Accessories are installed straight and square in the required locations and within acceptable tolerances.</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2.5</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Cables and conductors are terminated at accessories in accordance with manufacture’</w:t>
            </w:r>
            <w:r w:rsidRPr="007261F1">
              <w:t xml:space="preserve">s specifications and regulatory requirements. </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2.6</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Procedures for referring non-routine events to immediate supervisor for directions are followed.</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2.7</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The installation is carried out efficiently without waste of materials or damage to apparatus, cir</w:t>
            </w:r>
            <w:r w:rsidRPr="007261F1">
              <w:t>cuits or the surrounding environment and using sustainable energy practices.</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3</w:t>
            </w:r>
          </w:p>
        </w:tc>
        <w:tc>
          <w:tcPr>
            <w:tcW w:w="2340" w:type="dxa"/>
            <w:vMerge w:val="restart"/>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Set-up reception antennae and signal distribution systems and report.</w:t>
            </w: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3.1</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OHS work completion risk control measures and procedures are followed.</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3.2</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Adjustments are made to the antenna and the system to optimise reception at each outlet.</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3.3</w:t>
            </w:r>
          </w:p>
        </w:tc>
        <w:tc>
          <w:tcPr>
            <w:tcW w:w="48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Work site is cleaned and made safe in accordance with established procedures.</w:t>
            </w:r>
          </w:p>
        </w:tc>
      </w:tr>
      <w:tr w:rsidTr="00FB5C5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3.4</w:t>
            </w:r>
          </w:p>
        </w:tc>
        <w:tc>
          <w:tcPr>
            <w:tcW w:w="48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Work supervisor is notified of the completion of the installation work in accordance with established routines.</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9" w:name="O_586867"/>
      <w:bookmarkEnd w:id="9"/>
      <w:r w:rsidRPr="007261F1">
        <w:t>Required Skills and Knowledge</w:t>
      </w:r>
    </w:p>
    <w:tbl>
      <w:tblPr>
        <w:tblW w:w="0" w:type="auto"/>
        <w:tblLayout w:type="fixed"/>
        <w:tblCellMar>
          <w:left w:w="62" w:type="dxa"/>
          <w:right w:w="62" w:type="dxa"/>
        </w:tblCellMar>
        <w:tblLook w:val="0000"/>
      </w:tblPr>
      <w:tblGrid>
        <w:gridCol w:w="8460"/>
      </w:tblGrid>
      <w:tr w:rsidTr="00FB5C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REQUIRED SKILLS AND KNOWLEDGE</w:t>
            </w:r>
          </w:p>
        </w:tc>
      </w:tr>
      <w:tr w:rsidTr="00FB5C5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8)</w:t>
            </w:r>
            <w:r w:rsidRPr="007261F1">
              <w:t xml:space="preserve"> This describes the essential skills and knowledge and their level, required for this unit.</w:t>
            </w:r>
          </w:p>
          <w:p w:rsidR="00000000" w:rsidRPr="007261F1" w:rsidP="007261F1">
            <w:pPr>
              <w:pStyle w:val="BodyText"/>
            </w:pPr>
            <w:r w:rsidRPr="007261F1">
              <w:t xml:space="preserve">Evidence shall show that knowledge has been acquired of safe working practices and assembling and erecting reception antennae and signal distribution equipment. </w:t>
            </w:r>
          </w:p>
          <w:p w:rsidR="00000000" w:rsidRPr="007261F1" w:rsidP="007261F1">
            <w:pPr>
              <w:pStyle w:val="BodyText"/>
            </w:pPr>
            <w:r w:rsidRPr="007261F1">
              <w:t>Al</w:t>
            </w:r>
            <w:r w:rsidRPr="007261F1">
              <w:t>l knowledge and skills detailed in this unit should be contextualised to current industry practices and technologies.</w:t>
            </w:r>
          </w:p>
          <w:p w:rsidR="00000000" w:rsidRPr="007261F1" w:rsidP="007261F1">
            <w:pPr>
              <w:pStyle w:val="BodyText"/>
            </w:pPr>
            <w:r w:rsidRPr="007261F1">
              <w:rPr>
                <w:rStyle w:val="SpecialBold"/>
              </w:rPr>
              <w:t>KS01-EH108A</w:t>
            </w:r>
            <w:r w:rsidRPr="007261F1">
              <w:rPr>
                <w:rStyle w:val="SpecialBold"/>
              </w:rPr>
              <w:tab/>
              <w:t xml:space="preserve">               Antenna assembly and installation</w:t>
            </w:r>
          </w:p>
          <w:p w:rsidR="00000000" w:rsidRPr="007261F1" w:rsidP="007261F1">
            <w:pPr>
              <w:pStyle w:val="BodyText"/>
            </w:pPr>
            <w:r w:rsidRPr="007261F1">
              <w:t>Evidence shall show an understanding of antenna assembly and installation, ap</w:t>
            </w:r>
            <w:r w:rsidRPr="007261F1">
              <w:t>plying safe working practices and relevant Standards, Codes and Regulations to an extent indicated by the following aspects:</w:t>
            </w:r>
          </w:p>
          <w:p w:rsidR="00000000" w:rsidRPr="007261F1" w:rsidP="007261F1">
            <w:pPr>
              <w:pStyle w:val="BodyText"/>
            </w:pPr>
            <w:r w:rsidRPr="007261F1">
              <w:t>T1.</w:t>
            </w:r>
            <w:r w:rsidRPr="007261F1">
              <w:tab/>
              <w:t>signal reception</w:t>
            </w:r>
            <w:r w:rsidRPr="007261F1">
              <w:tab/>
            </w:r>
          </w:p>
          <w:p w:rsidR="00000000" w:rsidRPr="007261F1" w:rsidP="007261F1">
            <w:pPr>
              <w:pStyle w:val="ListBullet"/>
            </w:pPr>
            <w:r w:rsidRPr="007261F1">
              <w:t>Inadequate / optimum / excessive signal level</w:t>
            </w:r>
          </w:p>
          <w:p w:rsidR="00000000" w:rsidRPr="007261F1" w:rsidP="007261F1">
            <w:pPr>
              <w:pStyle w:val="ListBullet"/>
            </w:pPr>
            <w:r w:rsidRPr="007261F1">
              <w:t>Multipath transmission</w:t>
            </w:r>
          </w:p>
          <w:p w:rsidR="00000000" w:rsidRPr="007261F1" w:rsidP="007261F1">
            <w:pPr>
              <w:pStyle w:val="ListBullet"/>
            </w:pPr>
            <w:r w:rsidRPr="007261F1">
              <w:t>Interference</w:t>
            </w:r>
          </w:p>
          <w:p w:rsidR="00000000" w:rsidRPr="007261F1" w:rsidP="007261F1">
            <w:pPr>
              <w:pStyle w:val="BodyText"/>
            </w:pPr>
            <w:r w:rsidRPr="007261F1">
              <w:t>T2.</w:t>
            </w:r>
            <w:r w:rsidRPr="007261F1">
              <w:tab/>
              <w:t>TV antennas</w:t>
            </w:r>
            <w:r w:rsidRPr="007261F1">
              <w:tab/>
            </w:r>
          </w:p>
          <w:p w:rsidR="00000000" w:rsidRPr="007261F1" w:rsidP="007261F1">
            <w:pPr>
              <w:pStyle w:val="ListBullet"/>
            </w:pPr>
            <w:r w:rsidRPr="007261F1">
              <w:t>Types</w:t>
            </w:r>
          </w:p>
          <w:p w:rsidR="00000000" w:rsidRPr="007261F1" w:rsidP="007261F1">
            <w:pPr>
              <w:pStyle w:val="ListBullet"/>
            </w:pPr>
            <w:r w:rsidRPr="007261F1">
              <w:t>Operating characteristics</w:t>
            </w:r>
          </w:p>
          <w:p w:rsidR="00000000" w:rsidRPr="007261F1" w:rsidP="007261F1">
            <w:pPr>
              <w:pStyle w:val="ListBullet"/>
            </w:pPr>
            <w:r w:rsidRPr="007261F1">
              <w:t>TV antenna terminology</w:t>
            </w:r>
          </w:p>
          <w:p w:rsidR="00000000" w:rsidRPr="007261F1" w:rsidP="007261F1">
            <w:pPr>
              <w:pStyle w:val="ListBullet"/>
            </w:pPr>
            <w:r w:rsidRPr="007261F1">
              <w:t>Multiple antennas</w:t>
            </w:r>
          </w:p>
          <w:p w:rsidR="00000000" w:rsidRPr="007261F1" w:rsidP="007261F1">
            <w:pPr>
              <w:pStyle w:val="ListBullet"/>
            </w:pPr>
            <w:r w:rsidRPr="007261F1">
              <w:t>Assembly and installation</w:t>
            </w:r>
          </w:p>
          <w:p w:rsidR="00000000" w:rsidRPr="007261F1" w:rsidP="007261F1">
            <w:pPr>
              <w:pStyle w:val="BodyText"/>
            </w:pPr>
            <w:r w:rsidRPr="007261F1">
              <w:t>T3.</w:t>
            </w:r>
            <w:r w:rsidRPr="007261F1">
              <w:tab/>
              <w:t>Transmission lines</w:t>
            </w:r>
            <w:r w:rsidRPr="007261F1">
              <w:tab/>
            </w:r>
          </w:p>
          <w:p w:rsidR="00000000" w:rsidRPr="007261F1" w:rsidP="007261F1">
            <w:pPr>
              <w:pStyle w:val="ListBullet"/>
            </w:pPr>
            <w:r w:rsidRPr="007261F1">
              <w:t>Types</w:t>
            </w:r>
          </w:p>
          <w:p w:rsidR="00000000" w:rsidRPr="007261F1" w:rsidP="007261F1">
            <w:pPr>
              <w:pStyle w:val="ListBullet"/>
            </w:pPr>
            <w:r w:rsidRPr="007261F1">
              <w:t>Characteristic impedance</w:t>
            </w:r>
          </w:p>
          <w:p w:rsidR="00000000" w:rsidRPr="007261F1" w:rsidP="007261F1">
            <w:pPr>
              <w:pStyle w:val="ListBullet"/>
            </w:pPr>
            <w:r w:rsidRPr="007261F1">
              <w:t>Attenuation</w:t>
            </w:r>
          </w:p>
          <w:p w:rsidR="00000000" w:rsidRPr="007261F1" w:rsidP="007261F1">
            <w:pPr>
              <w:pStyle w:val="ListBullet"/>
            </w:pPr>
            <w:r w:rsidRPr="007261F1">
              <w:t>Bandwidth</w:t>
            </w:r>
          </w:p>
          <w:p w:rsidR="00000000" w:rsidRPr="007261F1" w:rsidP="007261F1">
            <w:pPr>
              <w:pStyle w:val="ListBullet"/>
            </w:pPr>
            <w:r w:rsidRPr="007261F1">
              <w:t>Standing waves</w:t>
            </w:r>
          </w:p>
          <w:p w:rsidR="00000000" w:rsidRPr="007261F1" w:rsidP="007261F1">
            <w:pPr>
              <w:pStyle w:val="ListBullet"/>
            </w:pPr>
            <w:r w:rsidRPr="007261F1">
              <w:t>Installation</w:t>
            </w:r>
          </w:p>
          <w:p w:rsidR="00000000" w:rsidRPr="007261F1" w:rsidP="007261F1">
            <w:pPr>
              <w:pStyle w:val="BodyText"/>
            </w:pPr>
            <w:r w:rsidRPr="007261F1">
              <w:t>T4.</w:t>
            </w:r>
            <w:r w:rsidRPr="007261F1">
              <w:tab/>
              <w:t>Antenna distribution systems</w:t>
            </w:r>
            <w:r w:rsidRPr="007261F1">
              <w:tab/>
            </w:r>
          </w:p>
          <w:p w:rsidR="00000000" w:rsidRPr="007261F1" w:rsidP="007261F1">
            <w:pPr>
              <w:pStyle w:val="ListBullet"/>
            </w:pPr>
            <w:r w:rsidRPr="007261F1">
              <w:t>Identical and adjacent</w:t>
            </w:r>
            <w:r w:rsidRPr="007261F1">
              <w:t xml:space="preserve"> channel interference</w:t>
            </w:r>
          </w:p>
          <w:p w:rsidR="00000000" w:rsidRPr="007261F1" w:rsidP="007261F1">
            <w:pPr>
              <w:pStyle w:val="ListBullet"/>
            </w:pPr>
            <w:r w:rsidRPr="007261F1">
              <w:t>Masthead/distribution amplifiers</w:t>
            </w:r>
          </w:p>
          <w:p w:rsidR="00000000" w:rsidRPr="007261F1" w:rsidP="007261F1">
            <w:pPr>
              <w:pStyle w:val="ListBullet"/>
            </w:pPr>
            <w:r w:rsidRPr="007261F1">
              <w:t>Diplexors</w:t>
            </w:r>
          </w:p>
          <w:p w:rsidR="00000000" w:rsidRPr="007261F1" w:rsidP="007261F1">
            <w:pPr>
              <w:pStyle w:val="ListBullet"/>
            </w:pPr>
            <w:r w:rsidRPr="007261F1">
              <w:t>Triplexors</w:t>
            </w:r>
          </w:p>
          <w:p w:rsidR="00000000" w:rsidRPr="007261F1" w:rsidP="007261F1">
            <w:pPr>
              <w:pStyle w:val="ListBullet"/>
            </w:pPr>
            <w:r w:rsidRPr="007261F1">
              <w:t>Splitters and couplers</w:t>
            </w:r>
          </w:p>
          <w:p w:rsidR="00000000" w:rsidRPr="007261F1" w:rsidP="007261F1">
            <w:pPr>
              <w:pStyle w:val="ListBullet"/>
            </w:pPr>
            <w:r w:rsidRPr="007261F1">
              <w:t>“T” networks and existing loop wired networks</w:t>
            </w:r>
          </w:p>
          <w:p w:rsidR="00000000" w:rsidRPr="007261F1" w:rsidP="007261F1">
            <w:pPr>
              <w:pStyle w:val="ListBullet"/>
            </w:pPr>
            <w:r w:rsidRPr="007261F1">
              <w:t xml:space="preserve">practical small distribution system design </w:t>
            </w:r>
          </w:p>
          <w:p w:rsidR="00000000" w:rsidRPr="007261F1" w:rsidP="007261F1">
            <w:pPr>
              <w:pStyle w:val="ListBullet"/>
            </w:pPr>
            <w:r w:rsidRPr="007261F1">
              <w:t>Field strength meters</w:t>
            </w:r>
          </w:p>
          <w:p w:rsidR="00000000" w:rsidRPr="007261F1" w:rsidP="007261F1">
            <w:pPr>
              <w:pStyle w:val="ListBullet"/>
            </w:pPr>
            <w:r w:rsidRPr="007261F1">
              <w:t>Attenuators</w:t>
            </w:r>
          </w:p>
          <w:p w:rsidR="00000000" w:rsidRPr="007261F1" w:rsidP="007261F1">
            <w:pPr>
              <w:pStyle w:val="ListBullet"/>
            </w:pPr>
            <w:r w:rsidRPr="007261F1">
              <w:t>VCR output injection</w:t>
            </w:r>
          </w:p>
          <w:p w:rsidR="00000000" w:rsidRPr="007261F1" w:rsidP="007261F1">
            <w:pPr>
              <w:pStyle w:val="ListBullet"/>
            </w:pPr>
            <w:r w:rsidRPr="007261F1">
              <w:t>Installation</w:t>
            </w:r>
          </w:p>
          <w:p w:rsidR="00000000" w:rsidRPr="007261F1" w:rsidP="007261F1">
            <w:pPr>
              <w:pStyle w:val="BodyText"/>
            </w:pPr>
            <w:r w:rsidRPr="007261F1">
              <w:t>T5.</w:t>
            </w:r>
            <w:r w:rsidRPr="007261F1">
              <w:tab/>
              <w:t>Satellite receivers</w:t>
            </w:r>
            <w:r w:rsidRPr="007261F1">
              <w:tab/>
            </w:r>
          </w:p>
          <w:p w:rsidR="00000000" w:rsidRPr="007261F1" w:rsidP="007261F1">
            <w:pPr>
              <w:pStyle w:val="ListBullet"/>
            </w:pPr>
            <w:r w:rsidRPr="007261F1">
              <w:t>Block diagram</w:t>
            </w:r>
          </w:p>
          <w:p w:rsidR="00000000" w:rsidRPr="007261F1" w:rsidP="007261F1">
            <w:pPr>
              <w:pStyle w:val="ListBullet"/>
            </w:pPr>
            <w:r w:rsidRPr="007261F1">
              <w:t>Operating characteristics</w:t>
            </w:r>
          </w:p>
          <w:p w:rsidR="00000000" w:rsidRPr="007261F1" w:rsidP="007261F1">
            <w:pPr>
              <w:pStyle w:val="ListBullet"/>
            </w:pPr>
            <w:r w:rsidRPr="007261F1">
              <w:t>Installation</w:t>
            </w:r>
          </w:p>
          <w:p w:rsidR="00000000" w:rsidRPr="007261F1" w:rsidP="007261F1">
            <w:pPr>
              <w:pStyle w:val="BodyText"/>
            </w:pPr>
            <w:r w:rsidRPr="007261F1">
              <w:t>T6.</w:t>
            </w:r>
            <w:r w:rsidRPr="007261F1">
              <w:tab/>
              <w:t>Antenna fault-finding</w:t>
            </w:r>
            <w:r w:rsidRPr="007261F1">
              <w:tab/>
            </w:r>
          </w:p>
          <w:p w:rsidR="00000000" w:rsidRPr="007261F1" w:rsidP="007261F1">
            <w:pPr>
              <w:pStyle w:val="ListBullet"/>
            </w:pPr>
            <w:r w:rsidRPr="007261F1">
              <w:t>Common faults</w:t>
            </w:r>
          </w:p>
          <w:p w:rsidR="00000000" w:rsidRPr="007261F1" w:rsidP="007261F1">
            <w:pPr>
              <w:pStyle w:val="ListBullet"/>
            </w:pPr>
            <w:r w:rsidRPr="007261F1">
              <w:t>Fault finding and repair</w:t>
            </w:r>
          </w:p>
          <w:p w:rsidR="00000000" w:rsidRPr="007261F1" w:rsidP="007261F1">
            <w:pPr>
              <w:pStyle w:val="ListBullet"/>
            </w:pPr>
            <w:r w:rsidRPr="007261F1">
              <w:t>Testing</w:t>
            </w:r>
          </w:p>
          <w:p w:rsidR="00000000" w:rsidRPr="007261F1" w:rsidP="007261F1">
            <w:pPr>
              <w:pStyle w:val="BodyText"/>
            </w:pPr>
            <w:r w:rsidRPr="007261F1">
              <w:t>T7        Electronic safe working practices</w:t>
            </w:r>
          </w:p>
          <w:p w:rsidR="00000000" w:rsidRPr="007261F1" w:rsidP="007261F1">
            <w:pPr>
              <w:pStyle w:val="ListBullet"/>
            </w:pPr>
            <w:r w:rsidRPr="007261F1">
              <w:t>Risk management and assessment of risk encompassing:</w:t>
            </w:r>
          </w:p>
          <w:p w:rsidR="00000000" w:rsidRPr="007261F1" w:rsidP="007261F1">
            <w:pPr>
              <w:pStyle w:val="ListBullet2"/>
            </w:pPr>
            <w:r w:rsidRPr="007261F1">
              <w:t>Pr</w:t>
            </w:r>
            <w:r w:rsidRPr="007261F1">
              <w:t>inciple and purpose of risk management, and</w:t>
            </w:r>
          </w:p>
          <w:p w:rsidR="00000000" w:rsidRPr="007261F1" w:rsidP="007261F1">
            <w:pPr>
              <w:pStyle w:val="ListBullet2"/>
            </w:pPr>
            <w:r w:rsidRPr="007261F1">
              <w:t>Processes for conducting a risk assessment</w:t>
            </w:r>
          </w:p>
          <w:p w:rsidR="00000000" w:rsidRPr="007261F1" w:rsidP="007261F1">
            <w:pPr>
              <w:pStyle w:val="ListBullet"/>
            </w:pPr>
            <w:r w:rsidRPr="007261F1">
              <w:t>Hazards associated with low-voltage, extra-low voltage and high-currents encompassing:</w:t>
            </w:r>
          </w:p>
          <w:p w:rsidR="00000000" w:rsidRPr="007261F1" w:rsidP="007261F1">
            <w:pPr>
              <w:pStyle w:val="ListBullet2"/>
            </w:pPr>
            <w:r w:rsidRPr="007261F1">
              <w:t>Parts of an electronic systems and equipment that operate at low-voltage a</w:t>
            </w:r>
            <w:r w:rsidRPr="007261F1">
              <w:t xml:space="preserve">nd extra-low voltage, </w:t>
            </w:r>
          </w:p>
          <w:p w:rsidR="00000000" w:rsidRPr="007261F1" w:rsidP="007261F1">
            <w:pPr>
              <w:pStyle w:val="ListBullet2"/>
            </w:pPr>
            <w:r w:rsidRPr="007261F1">
              <w:t>Parts of an electronic systems and equipment where high-currents are likely.</w:t>
            </w:r>
          </w:p>
          <w:p w:rsidR="00000000" w:rsidRPr="007261F1" w:rsidP="007261F1">
            <w:pPr>
              <w:pStyle w:val="ListBullet"/>
            </w:pPr>
            <w:r w:rsidRPr="007261F1">
              <w:t>Risks and control measures associated with high-voltage encompassing:</w:t>
            </w:r>
          </w:p>
          <w:p w:rsidR="00000000" w:rsidRPr="007261F1" w:rsidP="007261F1">
            <w:pPr>
              <w:pStyle w:val="ListBullet2"/>
            </w:pPr>
            <w:r w:rsidRPr="007261F1">
              <w:t>Parts of an electronic systems and equipment that operate at high-voltage,</w:t>
            </w:r>
          </w:p>
          <w:p w:rsidR="00000000" w:rsidRPr="007261F1" w:rsidP="007261F1">
            <w:pPr>
              <w:pStyle w:val="ListBullet2"/>
            </w:pPr>
            <w:r w:rsidRPr="007261F1">
              <w:t>The terms</w:t>
            </w:r>
            <w:r w:rsidRPr="007261F1">
              <w:t xml:space="preserve"> used - ‘touch voltage’, ‘step voltage’, ‘induced voltage’ and ‘creepage’ as they relate to the hazards of high-voltage, and</w:t>
            </w:r>
          </w:p>
          <w:p w:rsidR="00000000" w:rsidRPr="007261F1" w:rsidP="007261F1">
            <w:pPr>
              <w:pStyle w:val="ListBullet2"/>
            </w:pPr>
            <w:r w:rsidRPr="007261F1">
              <w:t>Control measures used for dealing with the hazards of high-voltage.</w:t>
            </w:r>
          </w:p>
          <w:p w:rsidR="00000000" w:rsidRPr="007261F1" w:rsidP="007261F1">
            <w:pPr>
              <w:pStyle w:val="ListBullet"/>
            </w:pPr>
            <w:r w:rsidRPr="007261F1">
              <w:t>Risks and control measures associated with low voltage encompa</w:t>
            </w:r>
            <w:r w:rsidRPr="007261F1">
              <w:t>ssing:</w:t>
            </w:r>
          </w:p>
          <w:p w:rsidR="00000000" w:rsidRPr="007261F1" w:rsidP="007261F1">
            <w:pPr>
              <w:pStyle w:val="ListBullet2"/>
            </w:pPr>
            <w:r w:rsidRPr="007261F1">
              <w:t>Risks associated with installation, fault finding, maintenance and repair.</w:t>
            </w:r>
          </w:p>
          <w:p w:rsidR="00000000" w:rsidRPr="007261F1" w:rsidP="007261F1">
            <w:pPr>
              <w:pStyle w:val="ListBullet2"/>
            </w:pPr>
            <w:r w:rsidRPr="007261F1">
              <w:t>Control measures before, while and after working on electronic systems or equipment</w:t>
            </w:r>
          </w:p>
          <w:p w:rsidR="00000000" w:rsidRPr="007261F1" w:rsidP="007261F1">
            <w:pPr>
              <w:pStyle w:val="ListBullet2"/>
            </w:pPr>
            <w:r w:rsidRPr="007261F1">
              <w:t>Isolation and tagging-off procedures.</w:t>
            </w:r>
          </w:p>
          <w:p w:rsidR="00000000" w:rsidRPr="007261F1" w:rsidP="007261F1">
            <w:pPr>
              <w:pStyle w:val="ListBullet2"/>
            </w:pPr>
            <w:r w:rsidRPr="007261F1">
              <w:t>Risks and restrictions in working live.</w:t>
            </w:r>
          </w:p>
          <w:p w:rsidR="00000000" w:rsidRPr="007261F1" w:rsidP="007261F1">
            <w:pPr>
              <w:pStyle w:val="ListBullet2"/>
            </w:pPr>
            <w:r w:rsidRPr="007261F1">
              <w:t>Control measures for working live.</w:t>
            </w:r>
          </w:p>
          <w:p w:rsidR="00000000" w:rsidRPr="007261F1" w:rsidP="007261F1">
            <w:pPr>
              <w:pStyle w:val="ListBullet"/>
            </w:pPr>
            <w:r w:rsidRPr="007261F1">
              <w:t>Safety, selection, use, maintenance and care of test equipment encompassing:</w:t>
            </w:r>
          </w:p>
          <w:p w:rsidR="00000000" w:rsidRPr="007261F1" w:rsidP="007261F1">
            <w:pPr>
              <w:pStyle w:val="ListBullet2"/>
            </w:pPr>
            <w:r w:rsidRPr="007261F1">
              <w:t>Safety characteristics of electrical testing devices,</w:t>
            </w:r>
          </w:p>
          <w:p w:rsidR="00000000" w:rsidRPr="007261F1" w:rsidP="007261F1">
            <w:pPr>
              <w:pStyle w:val="ListBullet2"/>
            </w:pPr>
            <w:r w:rsidRPr="007261F1">
              <w:t>Chemical cleaning solvents, glues and joining wastes used in electronics,</w:t>
            </w:r>
          </w:p>
          <w:p w:rsidR="00000000" w:rsidRPr="007261F1" w:rsidP="007261F1">
            <w:pPr>
              <w:pStyle w:val="ListBullet2"/>
            </w:pPr>
            <w:r w:rsidRPr="007261F1">
              <w:t>Safe use of el</w:t>
            </w:r>
            <w:r w:rsidRPr="007261F1">
              <w:t>ectrical testing device, and</w:t>
            </w:r>
          </w:p>
          <w:p w:rsidR="00000000" w:rsidRPr="007261F1" w:rsidP="007261F1">
            <w:pPr>
              <w:pStyle w:val="ListBullet2"/>
            </w:pPr>
            <w:r w:rsidRPr="007261F1">
              <w:t>Checks and storage methods for maintaining the safety of testing devices.</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10" w:name="O_586866"/>
      <w:bookmarkEnd w:id="10"/>
      <w:r w:rsidRPr="007261F1">
        <w:t>Evidence Guide</w:t>
      </w:r>
    </w:p>
    <w:tbl>
      <w:tblPr>
        <w:tblW w:w="0" w:type="auto"/>
        <w:tblLayout w:type="fixed"/>
        <w:tblCellMar>
          <w:left w:w="62" w:type="dxa"/>
          <w:right w:w="62" w:type="dxa"/>
        </w:tblCellMar>
        <w:tblLook w:val="0000"/>
      </w:tblPr>
      <w:tblGrid>
        <w:gridCol w:w="8460"/>
      </w:tblGrid>
      <w:tr w:rsidTr="00FB5C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EVIDENCE GUIDE</w:t>
            </w:r>
          </w:p>
        </w:tc>
      </w:tr>
      <w:tr w:rsidTr="00FB5C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9)</w:t>
            </w:r>
            <w:r w:rsidRPr="007261F1">
              <w:t xml:space="preserve"> The evidence guide provides advice on assessment and must be read in conjunction with the Performance Criteria, Required Skills and Knowledge, the Range Statement and the Assessment Guidelines for this Training Package. .</w:t>
            </w:r>
          </w:p>
          <w:p w:rsidR="00000000" w:rsidRPr="007261F1" w:rsidP="007261F1">
            <w:pPr>
              <w:pStyle w:val="BodyText"/>
            </w:pPr>
            <w:r w:rsidRPr="007261F1">
              <w:t>The Evidence Guide forms an integ</w:t>
            </w:r>
            <w:r w:rsidRPr="007261F1">
              <w:t>ral part of this unit. It must be used in conjunction with all parts of the unit and performed in accordance with the Assessment Guidelines of this Training Package.</w:t>
            </w:r>
          </w:p>
        </w:tc>
      </w:tr>
    </w:tbl>
    <w:p w:rsidR="00000000" w:rsidRPr="007261F1" w:rsidP="007261F1">
      <w:pPr>
        <w:pStyle w:val="BodyText"/>
      </w:pPr>
    </w:p>
    <w:tbl>
      <w:tblPr>
        <w:tblW w:w="0" w:type="auto"/>
        <w:tblLayout w:type="fixed"/>
        <w:tblCellMar>
          <w:left w:w="62" w:type="dxa"/>
          <w:right w:w="62" w:type="dxa"/>
        </w:tblCellMar>
        <w:tblLook w:val="0000"/>
      </w:tblPr>
      <w:tblGrid>
        <w:gridCol w:w="1890"/>
        <w:gridCol w:w="6570"/>
      </w:tblGrid>
      <w:tr w:rsidTr="00FB5C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9.1)</w:t>
            </w:r>
          </w:p>
        </w:tc>
      </w:tr>
      <w:tr w:rsidTr="00FB5C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Longitudinal competency development approaches to assessment, such as Profiling, require data to be reliably gathered in a form that can be consistently interpreted over time. This approach is best utilised in Apprenticeship programs and reduces assessment</w:t>
            </w:r>
            <w:r w:rsidRPr="007261F1">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7261F1">
              <w:t>cy in a realistically simulated work environment. It is recognised that, in some circumstances, assessment in part or full can occur outside the workplace. However, it must be in accord with industry and regulatory policy.</w:t>
            </w:r>
          </w:p>
          <w:p w:rsidR="00000000" w:rsidRPr="007261F1" w:rsidP="007261F1">
            <w:pPr>
              <w:pStyle w:val="BodyText"/>
            </w:pPr>
            <w:r w:rsidRPr="007261F1">
              <w:t>Methods chosen for a particular a</w:t>
            </w:r>
            <w:r w:rsidRPr="007261F1">
              <w:t>ssessment will be influenced by various factors. These include the extent of the assessment, the most effective locations for the assessment activities to take place, access to physical resources, additional safety measures that may be required and the cri</w:t>
            </w:r>
            <w:r w:rsidRPr="007261F1">
              <w:t>tical nature of the competencies being assessed.</w:t>
            </w:r>
          </w:p>
          <w:p w:rsidR="00000000" w:rsidRPr="007261F1" w:rsidP="007261F1">
            <w:pPr>
              <w:pStyle w:val="BodyText"/>
            </w:pPr>
            <w:r w:rsidRPr="007261F1">
              <w:t>The critical safety nature of working with electricity, electrical equipment, gas or any other hazardous substance/material carries risk in deeming a person competent. Sources of evidence need to be ‘rich’ i</w:t>
            </w:r>
            <w:r w:rsidRPr="007261F1">
              <w:t>n nature to minimise error in judgment.</w:t>
            </w:r>
          </w:p>
          <w:p w:rsidR="00000000" w:rsidRPr="007261F1" w:rsidP="007261F1">
            <w:pPr>
              <w:pStyle w:val="BodyText"/>
            </w:pPr>
            <w:r w:rsidRPr="007261F1">
              <w:t>Activities associated with normal everyday work influence decisions about how/how much the data gathered will contribute to its ‘richness’. Some skills are more critical to safety and operational requirements while t</w:t>
            </w:r>
            <w:r w:rsidRPr="007261F1">
              <w:t>he same skills may be more or less frequently practised. These points are raised for the assessors to consider when choosing an assessment method and developing assessment instruments. Sample assessment instruments are included for Assessors in the Assessm</w:t>
            </w:r>
            <w:r w:rsidRPr="007261F1">
              <w:t>ent Guidelines of this Training Package.</w:t>
            </w:r>
          </w:p>
        </w:tc>
      </w:tr>
    </w:tbl>
    <w:p w:rsidR="00000000" w:rsidRPr="007261F1" w:rsidP="007261F1">
      <w:pPr>
        <w:pStyle w:val="BodyText"/>
      </w:pPr>
    </w:p>
    <w:tbl>
      <w:tblPr>
        <w:tblW w:w="11100" w:type="dxa"/>
        <w:tblLayout w:type="fixed"/>
        <w:tblCellMar>
          <w:left w:w="62" w:type="dxa"/>
          <w:right w:w="62" w:type="dxa"/>
        </w:tblCellMar>
        <w:tblLook w:val="0000"/>
      </w:tblPr>
      <w:tblGrid>
        <w:gridCol w:w="1890"/>
        <w:gridCol w:w="590"/>
        <w:gridCol w:w="2007"/>
        <w:gridCol w:w="3973"/>
        <w:gridCol w:w="2640"/>
      </w:tblGrid>
      <w:tr w:rsidTr="00FB5C58">
        <w:tblPrEx>
          <w:tblW w:w="11100" w:type="dxa"/>
          <w:tblLayout w:type="fixed"/>
          <w:tblCellMar>
            <w:left w:w="62" w:type="dxa"/>
            <w:right w:w="62" w:type="dxa"/>
          </w:tblCellMar>
          <w:tblLook w:val="0000"/>
        </w:tblPrEx>
        <w:trPr>
          <w:gridAfter w:val="1"/>
          <w:wAfter w:w="2640" w:type="dxa"/>
        </w:trPr>
        <w:tc>
          <w:tcPr>
            <w:tcW w:w="189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9.2)</w:t>
            </w:r>
          </w:p>
        </w:tc>
      </w:tr>
      <w:tr w:rsidTr="00FB5C58">
        <w:tblPrEx>
          <w:tblW w:w="11100" w:type="dxa"/>
          <w:tblLayout w:type="fixed"/>
          <w:tblCellMar>
            <w:left w:w="62" w:type="dxa"/>
            <w:right w:w="62" w:type="dxa"/>
          </w:tblCellMar>
          <w:tblLook w:val="0000"/>
        </w:tblPrEx>
        <w:trPr>
          <w:gridAfter w:val="1"/>
          <w:wAfter w:w="2640" w:type="dxa"/>
          <w:trHeight w:val="725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Before the critical aspects of evidence are considered all prerequisites shall be met.</w:t>
            </w:r>
          </w:p>
          <w:p w:rsidR="00000000" w:rsidRPr="007261F1" w:rsidP="007261F1">
            <w:pPr>
              <w:pStyle w:val="BodyText"/>
            </w:pPr>
            <w:r w:rsidRPr="007261F1">
              <w:t>Evidence for competence in this unit sha</w:t>
            </w:r>
            <w:r w:rsidRPr="007261F1">
              <w:t>ll be considered holistically.  Each Element and associated performance criteria shall be demonstrated on at least two occasions in accordance with the ‘Assessment Guidelines – UEE11’.  Evidence shall also comprise:</w:t>
            </w:r>
          </w:p>
          <w:p w:rsidR="00000000" w:rsidRPr="007261F1" w:rsidP="007261F1">
            <w:pPr>
              <w:pStyle w:val="ListBullet"/>
            </w:pPr>
            <w:r w:rsidRPr="007261F1">
              <w:t>A representative body of work performan</w:t>
            </w:r>
            <w:r w:rsidRPr="007261F1">
              <w:t>ce demonstrated within the timeframes typically expected of the discipline, work function and industrial environment. In particular this shall incorporate evidence that shows a candidate is able to:</w:t>
            </w:r>
          </w:p>
          <w:p w:rsidR="00000000" w:rsidRPr="007261F1" w:rsidP="007261F1">
            <w:pPr>
              <w:pStyle w:val="ListBullet2"/>
            </w:pPr>
            <w:r w:rsidRPr="007261F1">
              <w:t>Implement Occupational Healt</w:t>
            </w:r>
            <w:r w:rsidRPr="007261F1">
              <w:t>h and Safety workplace procedures and practices, including the use of risk control measures as specified in the performance criteria and range statement</w:t>
            </w:r>
          </w:p>
          <w:p w:rsidR="00000000" w:rsidRPr="007261F1" w:rsidP="007261F1">
            <w:pPr>
              <w:pStyle w:val="ListBullet2"/>
            </w:pPr>
            <w:r w:rsidRPr="007261F1">
              <w:t>Apply sustainable energy principles and practices as specified in the performance criteria and range st</w:t>
            </w:r>
            <w:r w:rsidRPr="007261F1">
              <w:t>atement</w:t>
            </w:r>
          </w:p>
          <w:p w:rsidR="00000000" w:rsidRPr="007261F1" w:rsidP="007261F1">
            <w:pPr>
              <w:pStyle w:val="ListBullet2"/>
            </w:pPr>
            <w:r w:rsidRPr="007261F1">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261F1" w:rsidP="007261F1">
            <w:pPr>
              <w:pStyle w:val="ListBullet2"/>
            </w:pPr>
            <w:r w:rsidRPr="007261F1">
              <w:t>Demonstrate an appropriate level of skills enabling employment</w:t>
            </w:r>
          </w:p>
          <w:p w:rsidR="00000000" w:rsidRPr="007261F1" w:rsidP="007261F1">
            <w:pPr>
              <w:pStyle w:val="ListBullet2"/>
            </w:pPr>
            <w:r w:rsidRPr="007261F1">
              <w:t>Conduct work observing the relevant Anti Discrimination legislation, regulations, polices and workplace procedures</w:t>
            </w:r>
          </w:p>
          <w:p w:rsidR="00000000" w:rsidRPr="007261F1" w:rsidP="007261F1">
            <w:pPr>
              <w:pStyle w:val="ListBullet"/>
            </w:pPr>
            <w:r w:rsidRPr="007261F1">
              <w:t>Demonstrated consistent performance across a representative range of context</w:t>
            </w:r>
            <w:r w:rsidRPr="007261F1">
              <w:t>s from the prescribed items below:</w:t>
            </w:r>
          </w:p>
          <w:p w:rsidR="00000000" w:rsidP="007261F1">
            <w:pPr>
              <w:pStyle w:val="ListBullet2"/>
              <w:rPr>
                <w:lang w:val="en-NZ"/>
              </w:rPr>
            </w:pPr>
            <w:r w:rsidRPr="007261F1">
              <w:t>Assemble and erect reception antennae and signal distribution equipment as described in 8) and including:</w:t>
            </w:r>
          </w:p>
        </w:tc>
      </w:tr>
      <w:tr w:rsidTr="00FB5C58">
        <w:tblPrEx>
          <w:tblW w:w="11100" w:type="dxa"/>
          <w:tblLayout w:type="fixed"/>
          <w:tblCellMar>
            <w:left w:w="62" w:type="dxa"/>
            <w:right w:w="62" w:type="dxa"/>
          </w:tblCellMar>
          <w:tblLook w:val="0000"/>
        </w:tblPrEx>
        <w:tc>
          <w:tcPr>
            <w:tcW w:w="2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7"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A</w:t>
            </w:r>
          </w:p>
        </w:tc>
        <w:tc>
          <w:tcPr>
            <w:tcW w:w="6613"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Reading and interpreting drawings of circuit arrangements and component locations.</w:t>
            </w:r>
          </w:p>
        </w:tc>
      </w:tr>
      <w:tr w:rsidTr="00FB5C58">
        <w:tblPrEx>
          <w:tblW w:w="11100" w:type="dxa"/>
          <w:tblLayout w:type="fixed"/>
          <w:tblCellMar>
            <w:left w:w="62" w:type="dxa"/>
            <w:right w:w="62" w:type="dxa"/>
          </w:tblCellMar>
          <w:tblLook w:val="0000"/>
        </w:tblPrEx>
        <w:tc>
          <w:tcPr>
            <w:tcW w:w="2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7"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B</w:t>
            </w:r>
          </w:p>
        </w:tc>
        <w:tc>
          <w:tcPr>
            <w:tcW w:w="6613"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Placing and securing antenna and accessories accurately.</w:t>
            </w:r>
          </w:p>
        </w:tc>
      </w:tr>
      <w:tr w:rsidTr="00FB5C58">
        <w:tblPrEx>
          <w:tblW w:w="11100" w:type="dxa"/>
          <w:tblLayout w:type="fixed"/>
          <w:tblCellMar>
            <w:left w:w="62" w:type="dxa"/>
            <w:right w:w="62" w:type="dxa"/>
          </w:tblCellMar>
          <w:tblLook w:val="0000"/>
        </w:tblPrEx>
        <w:tc>
          <w:tcPr>
            <w:tcW w:w="2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7"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C</w:t>
            </w:r>
          </w:p>
        </w:tc>
        <w:tc>
          <w:tcPr>
            <w:tcW w:w="6613"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Maintaining fire integrity.</w:t>
            </w:r>
          </w:p>
        </w:tc>
      </w:tr>
      <w:tr w:rsidTr="00FB5C58">
        <w:tblPrEx>
          <w:tblW w:w="11100" w:type="dxa"/>
          <w:tblLayout w:type="fixed"/>
          <w:tblCellMar>
            <w:left w:w="62" w:type="dxa"/>
            <w:right w:w="62" w:type="dxa"/>
          </w:tblCellMar>
          <w:tblLook w:val="0000"/>
        </w:tblPrEx>
        <w:tc>
          <w:tcPr>
            <w:tcW w:w="2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7"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D</w:t>
            </w:r>
          </w:p>
        </w:tc>
        <w:tc>
          <w:tcPr>
            <w:tcW w:w="6613"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Terminating cable and conductors correctly.</w:t>
            </w:r>
          </w:p>
        </w:tc>
      </w:tr>
      <w:tr w:rsidTr="00FB5C58">
        <w:tblPrEx>
          <w:tblW w:w="11100" w:type="dxa"/>
          <w:tblLayout w:type="fixed"/>
          <w:tblCellMar>
            <w:left w:w="62" w:type="dxa"/>
            <w:right w:w="62" w:type="dxa"/>
          </w:tblCellMar>
          <w:tblLook w:val="0000"/>
        </w:tblPrEx>
        <w:tc>
          <w:tcPr>
            <w:tcW w:w="2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7"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E</w:t>
            </w:r>
          </w:p>
        </w:tc>
        <w:tc>
          <w:tcPr>
            <w:tcW w:w="6613"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Adjusting for optimum reception at each outlet.</w:t>
            </w:r>
          </w:p>
        </w:tc>
      </w:tr>
      <w:tr w:rsidTr="00FB5C58">
        <w:tblPrEx>
          <w:tblW w:w="11100" w:type="dxa"/>
          <w:tblLayout w:type="fixed"/>
          <w:tblCellMar>
            <w:left w:w="62" w:type="dxa"/>
            <w:right w:w="62" w:type="dxa"/>
          </w:tblCellMar>
          <w:tblLook w:val="0000"/>
        </w:tblPrEx>
        <w:tc>
          <w:tcPr>
            <w:tcW w:w="2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7"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F</w:t>
            </w:r>
          </w:p>
        </w:tc>
        <w:tc>
          <w:tcPr>
            <w:tcW w:w="6613"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Dealing with unplanned events by drawing on essential knowledge and skills to provide appropriate solutions incorporated in a holistic assessment with the above listed items.</w:t>
            </w:r>
          </w:p>
        </w:tc>
      </w:tr>
      <w:tr w:rsidTr="00FB5C58">
        <w:tblPrEx>
          <w:tblW w:w="11100" w:type="dxa"/>
          <w:tblLayout w:type="fixed"/>
          <w:tblCellMar>
            <w:left w:w="62" w:type="dxa"/>
            <w:right w:w="62" w:type="dxa"/>
          </w:tblCellMar>
          <w:tblLook w:val="0000"/>
        </w:tblPrEx>
        <w:tc>
          <w:tcPr>
            <w:tcW w:w="2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0" w:type="dxa"/>
            <w:gridSpan w:val="3"/>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 xml:space="preserve">Note: </w:t>
            </w:r>
          </w:p>
          <w:p w:rsidR="00000000" w:rsidRPr="007261F1" w:rsidP="007261F1">
            <w:pPr>
              <w:pStyle w:val="BodyText"/>
            </w:pPr>
            <w:r w:rsidRPr="007261F1">
              <w:t>Successful completion of relevant vendor training may be used to contri</w:t>
            </w:r>
            <w:r w:rsidRPr="007261F1">
              <w:t>bute to evidence on which competency is deemed. In these cases the alignment of outcomes of vendor training with performance criteria and critical aspects of evidence shall be clearly identified.</w:t>
            </w:r>
          </w:p>
        </w:tc>
      </w:tr>
    </w:tbl>
    <w:p w:rsidR="00000000" w:rsidRPr="007261F1" w:rsidP="007261F1">
      <w:pPr>
        <w:pStyle w:val="BodyText"/>
      </w:pPr>
    </w:p>
    <w:tbl>
      <w:tblPr>
        <w:tblW w:w="0" w:type="auto"/>
        <w:tblLayout w:type="fixed"/>
        <w:tblCellMar>
          <w:left w:w="62" w:type="dxa"/>
          <w:right w:w="62" w:type="dxa"/>
        </w:tblCellMar>
        <w:tblLook w:val="0000"/>
      </w:tblPr>
      <w:tblGrid>
        <w:gridCol w:w="1890"/>
        <w:gridCol w:w="6570"/>
      </w:tblGrid>
      <w:tr w:rsidTr="00FB5C5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9.3)</w:t>
            </w:r>
          </w:p>
        </w:tc>
      </w:tr>
      <w:tr w:rsidTr="00FB5C5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This unit should be assessed as it relates to normal work practice using procedures, information and resources typical of a workplace. This should include:</w:t>
            </w:r>
          </w:p>
          <w:p w:rsidR="00000000" w:rsidRPr="007261F1" w:rsidP="007261F1">
            <w:pPr>
              <w:pStyle w:val="ListBullet"/>
            </w:pPr>
            <w:r w:rsidRPr="007261F1">
              <w:t>OHS policy and work procedures and instructions.</w:t>
            </w:r>
          </w:p>
          <w:p w:rsidR="00000000" w:rsidRPr="007261F1" w:rsidP="007261F1">
            <w:pPr>
              <w:pStyle w:val="ListBullet"/>
            </w:pPr>
            <w:r w:rsidRPr="007261F1">
              <w:t>Suitable work environment, facilities, equipment and materials to undertake actual work as prescribed by this unit.</w:t>
            </w:r>
          </w:p>
          <w:p w:rsidR="00000000" w:rsidRPr="007261F1" w:rsidP="007261F1">
            <w:pPr>
              <w:pStyle w:val="BodyText"/>
            </w:pPr>
            <w:r w:rsidRPr="007261F1">
              <w:t>These should be part of the formal learning/assessment environment.</w:t>
            </w:r>
          </w:p>
          <w:p w:rsidR="00000000" w:rsidRPr="007261F1" w:rsidP="007261F1">
            <w:pPr>
              <w:pStyle w:val="BodyText"/>
            </w:pPr>
            <w:r w:rsidRPr="007261F1">
              <w:t>Note:</w:t>
            </w:r>
          </w:p>
          <w:p w:rsidR="00000000" w:rsidRPr="007261F1" w:rsidP="007261F1">
            <w:pPr>
              <w:pStyle w:val="BodyText"/>
            </w:pPr>
            <w:r w:rsidRPr="007261F1">
              <w:t>Where simulation is considered a suitable strategy for assessment,</w:t>
            </w:r>
            <w:r w:rsidRPr="007261F1">
              <w:t xml:space="preserve"> conditions must be authentic and as far as possible reproduce and replicate the workplace and be consistent with the approved industry simulation policy.</w:t>
            </w:r>
          </w:p>
          <w:p w:rsidR="00000000" w:rsidRPr="007261F1" w:rsidP="007261F1">
            <w:pPr>
              <w:pStyle w:val="BodyText"/>
            </w:pPr>
            <w:r w:rsidRPr="007261F1">
              <w:t>The resources used for assessment should reflect current industry practices in relation to assembling</w:t>
            </w:r>
            <w:r w:rsidRPr="007261F1">
              <w:t xml:space="preserve"> and erecting reception antennae and signal distribution equipment.</w:t>
            </w:r>
          </w:p>
        </w:tc>
      </w:tr>
    </w:tbl>
    <w:p w:rsidR="00000000" w:rsidRPr="007261F1" w:rsidP="007261F1">
      <w:pPr>
        <w:pStyle w:val="BodyText"/>
      </w:pPr>
    </w:p>
    <w:tbl>
      <w:tblPr>
        <w:tblW w:w="0" w:type="auto"/>
        <w:tblLayout w:type="fixed"/>
        <w:tblCellMar>
          <w:left w:w="62" w:type="dxa"/>
          <w:right w:w="62" w:type="dxa"/>
        </w:tblCellMar>
        <w:tblLook w:val="0000"/>
      </w:tblPr>
      <w:tblGrid>
        <w:gridCol w:w="1890"/>
        <w:gridCol w:w="6570"/>
      </w:tblGrid>
      <w:tr w:rsidTr="00FB5C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9.4)</w:t>
            </w:r>
          </w:p>
        </w:tc>
      </w:tr>
      <w:tr w:rsidTr="00FB5C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This unit shall be assessed by methods given in Volume 1, Part 3 ‘Assessment Guidelines’.</w:t>
            </w:r>
          </w:p>
          <w:p w:rsidR="00000000" w:rsidRPr="007261F1" w:rsidP="007261F1">
            <w:pPr>
              <w:pStyle w:val="BodyText"/>
            </w:pPr>
            <w:r w:rsidRPr="007261F1">
              <w:t xml:space="preserve">Note: </w:t>
            </w:r>
          </w:p>
          <w:p w:rsidR="00000000" w:rsidRPr="007261F1" w:rsidP="007261F1">
            <w:pPr>
              <w:pStyle w:val="BodyText"/>
            </w:pPr>
            <w:r w:rsidRPr="007261F1">
              <w:t>Competent performance with inherent safe working practices is expected in the industry to which this unit applies. This requires that the specified essential knowledge and associated skills are assessed in a structured environment which is primarily intend</w:t>
            </w:r>
            <w:r w:rsidRPr="007261F1">
              <w:t>ed for learning/assessment and incorporates all necessary equipment and facilities for learners to develop and demonstrate the essential knowledge and skills described in this unit.</w:t>
            </w:r>
          </w:p>
        </w:tc>
      </w:tr>
    </w:tbl>
    <w:p w:rsidR="00000000" w:rsidRPr="007261F1" w:rsidP="007261F1">
      <w:pPr>
        <w:pStyle w:val="BodyText"/>
      </w:pPr>
    </w:p>
    <w:tbl>
      <w:tblPr>
        <w:tblW w:w="0" w:type="auto"/>
        <w:tblLayout w:type="fixed"/>
        <w:tblCellMar>
          <w:left w:w="62" w:type="dxa"/>
          <w:right w:w="62" w:type="dxa"/>
        </w:tblCellMar>
        <w:tblLook w:val="0000"/>
      </w:tblPr>
      <w:tblGrid>
        <w:gridCol w:w="1443"/>
        <w:gridCol w:w="447"/>
        <w:gridCol w:w="6195"/>
        <w:gridCol w:w="375"/>
      </w:tblGrid>
      <w:tr w:rsidTr="00FB5C5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9.5)</w:t>
            </w:r>
          </w:p>
        </w:tc>
      </w:tr>
      <w:tr w:rsidTr="00FB5C5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For op</w:t>
            </w:r>
            <w:r w:rsidRPr="007261F1">
              <w:t>timisation of training and assessment effort, competency development in this unit may be arranged concurrently with unit:</w:t>
            </w:r>
          </w:p>
        </w:tc>
      </w:tr>
      <w:tr w:rsidTr="00FB5C58">
        <w:tblPrEx>
          <w:tblW w:w="0" w:type="auto"/>
          <w:tblLayout w:type="fixed"/>
          <w:tblCellMar>
            <w:left w:w="62" w:type="dxa"/>
            <w:right w:w="62" w:type="dxa"/>
          </w:tblCellMar>
          <w:tblLook w:val="0000"/>
        </w:tblPrEx>
        <w:trPr>
          <w:gridAfter w:val="1"/>
          <w:wAfter w:w="375" w:type="dxa"/>
        </w:trPr>
        <w:tc>
          <w:tcPr>
            <w:tcW w:w="1443"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UEENEEE102A </w:t>
            </w:r>
          </w:p>
        </w:tc>
        <w:tc>
          <w:tcPr>
            <w:tcW w:w="6642"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Fabricate, assemble and dismantle utilities industry components                                               </w:t>
            </w:r>
          </w:p>
        </w:tc>
      </w:tr>
      <w:tr w:rsidTr="00FB5C58">
        <w:tblPrEx>
          <w:tblW w:w="0" w:type="auto"/>
          <w:tblLayout w:type="fixed"/>
          <w:tblCellMar>
            <w:left w:w="62" w:type="dxa"/>
            <w:right w:w="62" w:type="dxa"/>
          </w:tblCellMar>
          <w:tblLook w:val="0000"/>
        </w:tblPrEx>
        <w:trPr>
          <w:gridAfter w:val="1"/>
          <w:wAfter w:w="375" w:type="dxa"/>
        </w:trPr>
        <w:tc>
          <w:tcPr>
            <w:tcW w:w="1443"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UEENEEE105A                                 </w:t>
            </w:r>
          </w:p>
        </w:tc>
        <w:tc>
          <w:tcPr>
            <w:tcW w:w="6642"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Fix and secure electrotechnology equipment   </w:t>
            </w:r>
          </w:p>
        </w:tc>
      </w:tr>
      <w:tr w:rsidTr="00FB5C58">
        <w:tblPrEx>
          <w:tblW w:w="0" w:type="auto"/>
          <w:tblLayout w:type="fixed"/>
          <w:tblCellMar>
            <w:left w:w="62" w:type="dxa"/>
            <w:right w:w="62" w:type="dxa"/>
          </w:tblCellMar>
          <w:tblLook w:val="0000"/>
        </w:tblPrEx>
        <w:trPr>
          <w:gridAfter w:val="1"/>
          <w:wAfter w:w="375" w:type="dxa"/>
        </w:trPr>
        <w:tc>
          <w:tcPr>
            <w:tcW w:w="1443"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UEENEEE107A </w:t>
            </w:r>
          </w:p>
        </w:tc>
        <w:tc>
          <w:tcPr>
            <w:tcW w:w="6642" w:type="dxa"/>
            <w:gridSpan w:val="2"/>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 xml:space="preserve">Use drawings, diagrams, schedules, standards, codes and specifications                                  </w:t>
            </w:r>
          </w:p>
        </w:tc>
      </w:tr>
      <w:tr w:rsidTr="00FB5C58">
        <w:tblPrEx>
          <w:tblW w:w="0" w:type="auto"/>
          <w:tblLayout w:type="fixed"/>
          <w:tblCellMar>
            <w:left w:w="62" w:type="dxa"/>
            <w:right w:w="62" w:type="dxa"/>
          </w:tblCellMar>
          <w:tblLook w:val="0000"/>
        </w:tblPrEx>
        <w:trPr>
          <w:gridAfter w:val="1"/>
          <w:wAfter w:w="375" w:type="dxa"/>
        </w:trPr>
        <w:tc>
          <w:tcPr>
            <w:tcW w:w="1443"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t>UEENEEE108A</w:t>
            </w:r>
          </w:p>
        </w:tc>
        <w:tc>
          <w:tcPr>
            <w:tcW w:w="6642" w:type="dxa"/>
            <w:gridSpan w:val="2"/>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Lay wiring/cabling and terminate accessories for extra-low voltage (ELV) circuits</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11" w:name="O_586865"/>
      <w:bookmarkEnd w:id="11"/>
      <w:r w:rsidRPr="007261F1">
        <w:t>Range Statement</w:t>
      </w:r>
    </w:p>
    <w:tbl>
      <w:tblPr>
        <w:tblW w:w="0" w:type="auto"/>
        <w:tblLayout w:type="fixed"/>
        <w:tblCellMar>
          <w:left w:w="62" w:type="dxa"/>
          <w:right w:w="62" w:type="dxa"/>
        </w:tblCellMar>
        <w:tblLook w:val="0000"/>
      </w:tblPr>
      <w:tblGrid>
        <w:gridCol w:w="8460"/>
      </w:tblGrid>
      <w:tr w:rsidTr="00FB5C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RANGE STATEMENT</w:t>
            </w:r>
          </w:p>
        </w:tc>
      </w:tr>
      <w:tr w:rsidTr="00FB5C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10)</w:t>
            </w:r>
            <w:r w:rsidRPr="007261F1">
              <w:t xml:space="preserve"> This relates to the unit as a whole providing the range of contexts and conditions to which the performance criteria </w:t>
            </w:r>
            <w:r w:rsidRPr="007261F1">
              <w:t>apply. It allows for different work environments and situations that will affect performance.</w:t>
            </w:r>
          </w:p>
          <w:p w:rsidR="00000000" w:rsidRPr="007261F1" w:rsidP="007261F1">
            <w:pPr>
              <w:pStyle w:val="BodyText"/>
            </w:pPr>
            <w:r w:rsidRPr="007261F1">
              <w:t>This unit shall be demonstrated by installing, connecting and setting up a typically representative reception antennae and signal distribution systems on at least</w:t>
            </w:r>
            <w:r w:rsidRPr="007261F1">
              <w:t xml:space="preserve"> two occasions. </w:t>
            </w:r>
          </w:p>
          <w:p w:rsidR="00000000" w:rsidRPr="007261F1" w:rsidP="007261F1">
            <w:pPr>
              <w:pStyle w:val="BodyText"/>
            </w:pPr>
            <w:r w:rsidRPr="007261F1">
              <w:t>Systems are to consist of multiple outlets for multiple users.</w:t>
            </w:r>
          </w:p>
          <w:p w:rsidR="00000000" w:rsidRPr="007261F1" w:rsidP="007261F1">
            <w:pPr>
              <w:pStyle w:val="BodyText"/>
            </w:pPr>
            <w:r w:rsidRPr="007261F1">
              <w:t>Generic terms used throughout this Vocational Standard shall be regarded as part of the Range Statement in which competency is demonstrated. The definition of these and other t</w:t>
            </w:r>
            <w:r w:rsidRPr="007261F1">
              <w:t>erms that apply are given in Volume 2, Part 2.1.</w:t>
            </w:r>
          </w:p>
        </w:tc>
      </w:tr>
    </w:tbl>
    <w:p w:rsidR="00000000" w:rsidRPr="007261F1" w:rsidP="007261F1">
      <w:pPr>
        <w:pStyle w:val="BodyText"/>
      </w:pPr>
    </w:p>
    <w:p w:rsidR="00000000" w:rsidRPr="007261F1" w:rsidP="007261F1">
      <w:pPr>
        <w:pStyle w:val="AllowPageBreak"/>
      </w:pPr>
    </w:p>
    <w:p w:rsidR="00000000" w:rsidRPr="007261F1" w:rsidP="007261F1">
      <w:pPr>
        <w:pStyle w:val="Heading1"/>
      </w:pPr>
      <w:bookmarkStart w:id="12" w:name="O_586864"/>
      <w:bookmarkEnd w:id="12"/>
      <w:r w:rsidRPr="007261F1">
        <w:t>Unit Sector(s)</w:t>
      </w:r>
    </w:p>
    <w:p w:rsidR="00000000" w:rsidRPr="007261F1" w:rsidP="007261F1">
      <w:pPr>
        <w:pStyle w:val="BodyText"/>
      </w:pPr>
      <w:r w:rsidRPr="007261F1">
        <w:t>Not applicable.</w:t>
      </w:r>
    </w:p>
    <w:p w:rsidR="00000000" w:rsidRPr="007261F1" w:rsidP="007261F1">
      <w:pPr>
        <w:pStyle w:val="AllowPageBreak"/>
      </w:pPr>
    </w:p>
    <w:p w:rsidR="00000000" w:rsidRPr="007261F1" w:rsidP="007261F1">
      <w:pPr>
        <w:pStyle w:val="Heading1"/>
      </w:pPr>
      <w:bookmarkStart w:id="13" w:name="O_586863"/>
      <w:bookmarkEnd w:id="13"/>
      <w:r w:rsidRPr="007261F1">
        <w:t>Competency Field</w:t>
      </w:r>
    </w:p>
    <w:tbl>
      <w:tblPr>
        <w:tblW w:w="0" w:type="auto"/>
        <w:tblLayout w:type="fixed"/>
        <w:tblCellMar>
          <w:left w:w="62" w:type="dxa"/>
          <w:right w:w="62" w:type="dxa"/>
        </w:tblCellMar>
        <w:tblLook w:val="0000"/>
      </w:tblPr>
      <w:tblGrid>
        <w:gridCol w:w="2700"/>
        <w:gridCol w:w="5760"/>
      </w:tblGrid>
      <w:tr w:rsidTr="00FB5C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261F1">
            <w:pPr>
              <w:pStyle w:val="BodyText"/>
              <w:rPr>
                <w:lang w:val="en-NZ"/>
              </w:rPr>
            </w:pPr>
            <w:r w:rsidRPr="007261F1">
              <w:rPr>
                <w:rStyle w:val="SpecialBold"/>
              </w:rPr>
              <w:t xml:space="preserve">11) </w:t>
            </w:r>
          </w:p>
        </w:tc>
      </w:tr>
      <w:tr w:rsidTr="00FB5C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61F1" w:rsidP="007261F1">
            <w:pPr>
              <w:pStyle w:val="BodyText"/>
            </w:pPr>
            <w:r w:rsidRPr="007261F1">
              <w:t>Electronics</w:t>
            </w:r>
          </w:p>
        </w:tc>
      </w:tr>
    </w:tbl>
    <w:p w:rsidR="00000000" w:rsidRPr="007261F1" w:rsidP="007261F1">
      <w:pPr>
        <w:pStyle w:val="BodyText"/>
      </w:pPr>
    </w:p>
    <w:p w:rsidR="00000000" w:rsidRPr="007261F1" w:rsidP="007261F1"/>
    <w:sectPr w:rsidSect="007261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F1" w:rsidRPr="00FB5C58" w:rsidP="00FB5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58" w:rsidP="00726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B5C58" w:rsidP="007261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B5C58" w:rsidP="00726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F1" w:rsidRPr="00FB5C58" w:rsidP="00FB5C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58" w:rsidRPr="002D2AF8" w:rsidP="007261F1">
    <w:pPr>
      <w:pStyle w:val="Header"/>
      <w:framePr w:wrap="around"/>
    </w:pPr>
    <w:r>
      <w:fldChar w:fldCharType="begin"/>
    </w:r>
    <w:r>
      <w:instrText xml:space="preserve"> TITLE   \* MERGEFORMAT </w:instrText>
    </w:r>
    <w:r>
      <w:fldChar w:fldCharType="separate"/>
    </w:r>
    <w:r>
      <w:t>UEENEEH108A Assemble and install reception antennae and signal distribution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2013</w:t>
    </w:r>
    <w:r>
      <w:fldChar w:fldCharType="end"/>
    </w:r>
  </w:p>
  <w:p w:rsidR="00FB5C58" w:rsidP="00726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E7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CF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42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1F1"/>
    <w:pPr>
      <w:spacing w:before="360" w:after="60"/>
      <w:outlineLvl w:val="0"/>
    </w:pPr>
    <w:rPr>
      <w:sz w:val="32"/>
    </w:rPr>
  </w:style>
  <w:style w:type="paragraph" w:styleId="Heading2">
    <w:name w:val="heading 2"/>
    <w:basedOn w:val="HeadingBase"/>
    <w:next w:val="BodyText"/>
    <w:link w:val="Heading2Char"/>
    <w:qFormat/>
    <w:rsid w:val="007261F1"/>
    <w:pPr>
      <w:keepLines/>
      <w:spacing w:before="240" w:after="120"/>
      <w:outlineLvl w:val="1"/>
    </w:pPr>
    <w:rPr>
      <w:sz w:val="28"/>
      <w:szCs w:val="40"/>
    </w:rPr>
  </w:style>
  <w:style w:type="paragraph" w:styleId="Heading3">
    <w:name w:val="heading 3"/>
    <w:basedOn w:val="HeadingBase"/>
    <w:next w:val="BodyText"/>
    <w:link w:val="Heading3Char"/>
    <w:qFormat/>
    <w:rsid w:val="007261F1"/>
    <w:pPr>
      <w:spacing w:before="180" w:after="120"/>
      <w:outlineLvl w:val="2"/>
    </w:pPr>
    <w:rPr>
      <w:spacing w:val="-10"/>
      <w:kern w:val="32"/>
    </w:rPr>
  </w:style>
  <w:style w:type="paragraph" w:styleId="Heading4">
    <w:name w:val="heading 4"/>
    <w:basedOn w:val="HeadingBase"/>
    <w:next w:val="BodyText"/>
    <w:link w:val="Heading4Char"/>
    <w:qFormat/>
    <w:rsid w:val="007261F1"/>
    <w:pPr>
      <w:spacing w:before="160" w:after="120"/>
      <w:outlineLvl w:val="3"/>
    </w:pPr>
    <w:rPr>
      <w:sz w:val="22"/>
    </w:rPr>
  </w:style>
  <w:style w:type="paragraph" w:styleId="Heading5">
    <w:name w:val="heading 5"/>
    <w:basedOn w:val="HeadingBase"/>
    <w:next w:val="Normal"/>
    <w:link w:val="Heading5Char"/>
    <w:qFormat/>
    <w:rsid w:val="007261F1"/>
    <w:pPr>
      <w:spacing w:before="80"/>
      <w:outlineLvl w:val="4"/>
    </w:pPr>
    <w:rPr>
      <w:color w:val="918585"/>
      <w:sz w:val="20"/>
    </w:rPr>
  </w:style>
  <w:style w:type="paragraph" w:styleId="Heading6">
    <w:name w:val="heading 6"/>
    <w:basedOn w:val="HeadingBase"/>
    <w:next w:val="Normal"/>
    <w:link w:val="Heading6Char"/>
    <w:qFormat/>
    <w:rsid w:val="007261F1"/>
    <w:pPr>
      <w:spacing w:before="60"/>
      <w:outlineLvl w:val="5"/>
    </w:pPr>
    <w:rPr>
      <w:color w:val="918585"/>
      <w:sz w:val="20"/>
    </w:rPr>
  </w:style>
  <w:style w:type="paragraph" w:styleId="Heading7">
    <w:name w:val="heading 7"/>
    <w:basedOn w:val="Normal"/>
    <w:next w:val="Normal"/>
    <w:link w:val="Heading7Char"/>
    <w:qFormat/>
    <w:rsid w:val="007261F1"/>
    <w:pPr>
      <w:ind w:left="720"/>
      <w:outlineLvl w:val="6"/>
    </w:pPr>
    <w:rPr>
      <w:i/>
    </w:rPr>
  </w:style>
  <w:style w:type="paragraph" w:styleId="Heading8">
    <w:name w:val="heading 8"/>
    <w:basedOn w:val="Normal"/>
    <w:next w:val="Normal"/>
    <w:link w:val="Heading8Char"/>
    <w:qFormat/>
    <w:rsid w:val="007261F1"/>
    <w:pPr>
      <w:ind w:left="720"/>
      <w:outlineLvl w:val="7"/>
    </w:pPr>
    <w:rPr>
      <w:i/>
    </w:rPr>
  </w:style>
  <w:style w:type="paragraph" w:styleId="Heading9">
    <w:name w:val="heading 9"/>
    <w:basedOn w:val="Normal"/>
    <w:next w:val="Normal"/>
    <w:link w:val="Heading9Char"/>
    <w:qFormat/>
    <w:rsid w:val="007261F1"/>
    <w:pPr>
      <w:ind w:left="720"/>
      <w:outlineLvl w:val="8"/>
    </w:pPr>
    <w:rPr>
      <w:i/>
    </w:rPr>
  </w:style>
  <w:style w:type="character" w:default="1" w:styleId="DefaultParagraphFont">
    <w:name w:val="Default Paragraph Font"/>
    <w:uiPriority w:val="1"/>
    <w:unhideWhenUsed/>
    <w:rsid w:val="00726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1F1"/>
  </w:style>
  <w:style w:type="character" w:customStyle="1" w:styleId="Heading1Char">
    <w:name w:val="Heading 1 Char"/>
    <w:basedOn w:val="DefaultParagraphFont"/>
    <w:link w:val="Heading1"/>
    <w:rsid w:val="007261F1"/>
    <w:rPr>
      <w:rFonts w:ascii="Times New Roman" w:eastAsia="Times New Roman" w:hAnsi="Times New Roman" w:cs="Times New Roman"/>
      <w:b/>
      <w:sz w:val="32"/>
      <w:szCs w:val="20"/>
      <w:lang w:eastAsia="en-US"/>
    </w:rPr>
  </w:style>
  <w:style w:type="paragraph" w:styleId="BodyText">
    <w:name w:val="Body Text"/>
    <w:basedOn w:val="Normal"/>
    <w:link w:val="BodyTextChar"/>
    <w:rsid w:val="007261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61F1"/>
    <w:rPr>
      <w:rFonts w:ascii="Times New Roman" w:eastAsia="Times New Roman" w:hAnsi="Times New Roman" w:cs="Times New Roman"/>
      <w:sz w:val="24"/>
      <w:lang w:eastAsia="en-US"/>
    </w:rPr>
  </w:style>
  <w:style w:type="paragraph" w:styleId="ListBullet">
    <w:name w:val="List Bullet"/>
    <w:basedOn w:val="List"/>
    <w:rsid w:val="007261F1"/>
    <w:pPr>
      <w:numPr>
        <w:numId w:val="13"/>
      </w:numPr>
      <w:tabs>
        <w:tab w:val="clear" w:pos="340"/>
      </w:tabs>
      <w:spacing w:before="40" w:after="40"/>
    </w:pPr>
  </w:style>
  <w:style w:type="character" w:customStyle="1" w:styleId="SpecialBold">
    <w:name w:val="Special Bold"/>
    <w:basedOn w:val="DefaultParagraphFont"/>
    <w:rsid w:val="007261F1"/>
    <w:rPr>
      <w:b/>
      <w:spacing w:val="0"/>
    </w:rPr>
  </w:style>
  <w:style w:type="paragraph" w:styleId="ListBullet2">
    <w:name w:val="List Bullet 2"/>
    <w:basedOn w:val="List2"/>
    <w:rsid w:val="007261F1"/>
    <w:pPr>
      <w:numPr>
        <w:numId w:val="14"/>
      </w:numPr>
      <w:tabs>
        <w:tab w:val="clear" w:pos="680"/>
      </w:tabs>
    </w:pPr>
  </w:style>
  <w:style w:type="paragraph" w:customStyle="1" w:styleId="SuperHeading">
    <w:name w:val="SuperHeading"/>
    <w:basedOn w:val="Normal"/>
    <w:rsid w:val="007261F1"/>
    <w:pPr>
      <w:spacing w:before="240" w:after="120"/>
      <w:outlineLvl w:val="0"/>
    </w:pPr>
    <w:rPr>
      <w:rFonts w:ascii="Times New Roman" w:hAnsi="Times New Roman"/>
      <w:b/>
      <w:sz w:val="32"/>
    </w:rPr>
  </w:style>
  <w:style w:type="paragraph" w:customStyle="1" w:styleId="AllowPageBreak">
    <w:name w:val="AllowPageBreak"/>
    <w:rsid w:val="00726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1F1"/>
    <w:rPr>
      <w:rFonts w:ascii="Courier New" w:eastAsia="Times New Roman" w:hAnsi="Courier New" w:cs="Times New Roman"/>
      <w:i/>
      <w:szCs w:val="20"/>
      <w:lang w:eastAsia="en-US"/>
    </w:rPr>
  </w:style>
  <w:style w:type="paragraph" w:customStyle="1" w:styleId="HeadingBase">
    <w:name w:val="Heading Base"/>
    <w:rsid w:val="00726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1F1"/>
    <w:pPr>
      <w:tabs>
        <w:tab w:val="right" w:leader="dot" w:pos="9072"/>
      </w:tabs>
      <w:ind w:left="567"/>
    </w:pPr>
    <w:rPr>
      <w:szCs w:val="22"/>
    </w:rPr>
  </w:style>
  <w:style w:type="paragraph" w:customStyle="1" w:styleId="TOCBase">
    <w:name w:val="TOC Base"/>
    <w:rsid w:val="00726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1F1"/>
    <w:pPr>
      <w:tabs>
        <w:tab w:val="right" w:leader="dot" w:pos="9072"/>
      </w:tabs>
      <w:spacing w:before="40" w:after="40"/>
      <w:ind w:left="284"/>
    </w:pPr>
    <w:rPr>
      <w:rFonts w:ascii="Times New Roman" w:hAnsi="Times New Roman"/>
    </w:rPr>
  </w:style>
  <w:style w:type="paragraph" w:styleId="TOC1">
    <w:name w:val="toc 1"/>
    <w:basedOn w:val="TOCBase"/>
    <w:next w:val="Normal"/>
    <w:rsid w:val="00726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1F1"/>
    <w:rPr>
      <w:rFonts w:ascii="Times New Roman" w:eastAsia="Times New Roman" w:hAnsi="Times New Roman" w:cs="Times New Roman"/>
      <w:sz w:val="16"/>
      <w:lang w:eastAsia="en-US"/>
    </w:rPr>
  </w:style>
  <w:style w:type="paragraph" w:styleId="Title">
    <w:name w:val="Title"/>
    <w:basedOn w:val="HeadingBase"/>
    <w:link w:val="TitleChar"/>
    <w:qFormat/>
    <w:rsid w:val="007261F1"/>
    <w:pPr>
      <w:spacing w:before="5040"/>
      <w:jc w:val="center"/>
    </w:pPr>
    <w:rPr>
      <w:sz w:val="48"/>
      <w:szCs w:val="72"/>
      <w:lang w:val="en-US"/>
    </w:rPr>
  </w:style>
  <w:style w:type="character" w:customStyle="1" w:styleId="TitleChar">
    <w:name w:val="Title Char"/>
    <w:basedOn w:val="DefaultParagraphFont"/>
    <w:link w:val="Title"/>
    <w:rsid w:val="00726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1F1"/>
    <w:pPr>
      <w:tabs>
        <w:tab w:val="left" w:pos="3600"/>
        <w:tab w:val="left" w:pos="3958"/>
      </w:tabs>
    </w:pPr>
  </w:style>
  <w:style w:type="paragraph" w:styleId="List">
    <w:name w:val="List"/>
    <w:basedOn w:val="BodyText"/>
    <w:next w:val="BodyText"/>
    <w:rsid w:val="007261F1"/>
    <w:pPr>
      <w:tabs>
        <w:tab w:val="left" w:pos="340"/>
      </w:tabs>
      <w:spacing w:before="60" w:after="60"/>
      <w:ind w:left="340" w:hanging="340"/>
    </w:pPr>
  </w:style>
  <w:style w:type="paragraph" w:customStyle="1" w:styleId="Note">
    <w:name w:val="Note"/>
    <w:basedOn w:val="BodyText"/>
    <w:rsid w:val="00726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1F1"/>
    <w:pPr>
      <w:framePr w:wrap="auto" w:hAnchor="text" w:y="6049"/>
    </w:pPr>
    <w:rPr>
      <w:color w:val="000000"/>
      <w:sz w:val="40"/>
    </w:rPr>
  </w:style>
  <w:style w:type="paragraph" w:customStyle="1" w:styleId="TOCTitle">
    <w:name w:val="TOCTitle"/>
    <w:basedOn w:val="Heading1"/>
    <w:rsid w:val="007261F1"/>
    <w:pPr>
      <w:spacing w:after="240"/>
      <w:jc w:val="center"/>
      <w:outlineLvl w:val="9"/>
    </w:pPr>
    <w:rPr>
      <w:caps/>
    </w:rPr>
  </w:style>
  <w:style w:type="paragraph" w:customStyle="1" w:styleId="Version">
    <w:name w:val="Version"/>
    <w:rsid w:val="00726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1F1"/>
    <w:pPr>
      <w:keepNext w:val="0"/>
      <w:tabs>
        <w:tab w:val="right" w:pos="4176"/>
      </w:tabs>
      <w:ind w:left="198" w:hanging="198"/>
    </w:pPr>
    <w:rPr>
      <w:rFonts w:ascii="Garamond" w:hAnsi="Garamond"/>
    </w:rPr>
  </w:style>
  <w:style w:type="paragraph" w:styleId="IndexHeading">
    <w:name w:val="index heading"/>
    <w:basedOn w:val="Normal"/>
    <w:next w:val="Index1"/>
    <w:semiHidden/>
    <w:rsid w:val="007261F1"/>
    <w:pPr>
      <w:spacing w:before="120" w:after="120"/>
    </w:pPr>
    <w:rPr>
      <w:rFonts w:ascii="Arial" w:hAnsi="Arial"/>
      <w:b/>
      <w:color w:val="918585"/>
      <w:sz w:val="24"/>
    </w:rPr>
  </w:style>
  <w:style w:type="paragraph" w:styleId="Header">
    <w:name w:val="header"/>
    <w:basedOn w:val="Normal"/>
    <w:link w:val="HeaderChar"/>
    <w:rsid w:val="00726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1F1"/>
    <w:rPr>
      <w:rFonts w:ascii="Times New Roman" w:eastAsia="Times New Roman" w:hAnsi="Times New Roman" w:cs="Times New Roman"/>
      <w:sz w:val="16"/>
      <w:szCs w:val="20"/>
      <w:lang w:val="en-GB" w:eastAsia="en-US"/>
    </w:rPr>
  </w:style>
  <w:style w:type="paragraph" w:customStyle="1" w:styleId="Chapter">
    <w:name w:val="Chapter"/>
    <w:basedOn w:val="Normal"/>
    <w:rsid w:val="007261F1"/>
    <w:pPr>
      <w:spacing w:before="240"/>
    </w:pPr>
    <w:rPr>
      <w:rFonts w:ascii="Times New Roman" w:hAnsi="Times New Roman"/>
      <w:smallCaps/>
      <w:spacing w:val="80"/>
      <w:sz w:val="28"/>
    </w:rPr>
  </w:style>
  <w:style w:type="paragraph" w:customStyle="1" w:styleId="InChapter">
    <w:name w:val="InChapter"/>
    <w:basedOn w:val="Heading3"/>
    <w:rsid w:val="007261F1"/>
    <w:pPr>
      <w:spacing w:after="240"/>
      <w:outlineLvl w:val="9"/>
    </w:pPr>
    <w:rPr>
      <w:noProof/>
    </w:rPr>
  </w:style>
  <w:style w:type="paragraph" w:styleId="Index2">
    <w:name w:val="index 2"/>
    <w:basedOn w:val="Normal"/>
    <w:next w:val="Normal"/>
    <w:semiHidden/>
    <w:rsid w:val="007261F1"/>
    <w:pPr>
      <w:tabs>
        <w:tab w:val="right" w:pos="4176"/>
      </w:tabs>
      <w:ind w:left="568" w:hanging="284"/>
    </w:pPr>
    <w:rPr>
      <w:rFonts w:ascii="Garamond" w:hAnsi="Garamond"/>
    </w:rPr>
  </w:style>
  <w:style w:type="paragraph" w:customStyle="1" w:styleId="Byline">
    <w:name w:val="Byline"/>
    <w:rsid w:val="00726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1F1"/>
    <w:pPr>
      <w:tabs>
        <w:tab w:val="clear" w:pos="3600"/>
        <w:tab w:val="clear" w:pos="3958"/>
      </w:tabs>
      <w:jc w:val="right"/>
    </w:pPr>
  </w:style>
  <w:style w:type="character" w:styleId="Emphasis">
    <w:name w:val="Emphasis"/>
    <w:basedOn w:val="DefaultParagraphFont"/>
    <w:qFormat/>
    <w:rsid w:val="007261F1"/>
    <w:rPr>
      <w:i/>
    </w:rPr>
  </w:style>
  <w:style w:type="paragraph" w:styleId="Caption">
    <w:name w:val="caption"/>
    <w:basedOn w:val="BodyText"/>
    <w:next w:val="Normal"/>
    <w:qFormat/>
    <w:rsid w:val="007261F1"/>
    <w:pPr>
      <w:framePr w:w="2268" w:hSpace="181" w:vSpace="181" w:wrap="around" w:vAnchor="text" w:hAnchor="page" w:x="1135" w:y="285" w:anchorLock="1"/>
    </w:pPr>
    <w:rPr>
      <w:i/>
    </w:rPr>
  </w:style>
  <w:style w:type="paragraph" w:customStyle="1" w:styleId="MiniTOCTitle">
    <w:name w:val="MiniTOCTitle"/>
    <w:basedOn w:val="Heading4"/>
    <w:rsid w:val="007261F1"/>
    <w:pPr>
      <w:spacing w:before="240"/>
      <w:outlineLvl w:val="9"/>
    </w:pPr>
    <w:rPr>
      <w:noProof/>
      <w:sz w:val="24"/>
    </w:rPr>
  </w:style>
  <w:style w:type="paragraph" w:customStyle="1" w:styleId="MiniTOCItem">
    <w:name w:val="MiniTOCItem"/>
    <w:basedOn w:val="ListBullet"/>
    <w:rsid w:val="007261F1"/>
    <w:pPr>
      <w:numPr>
        <w:numId w:val="0"/>
      </w:numPr>
      <w:tabs>
        <w:tab w:val="right" w:leader="dot" w:pos="6521"/>
      </w:tabs>
      <w:spacing w:before="0" w:after="0"/>
    </w:pPr>
  </w:style>
  <w:style w:type="paragraph" w:customStyle="1" w:styleId="TOFTitle">
    <w:name w:val="TOFTitle"/>
    <w:basedOn w:val="TOCTitle"/>
    <w:rsid w:val="007261F1"/>
  </w:style>
  <w:style w:type="paragraph" w:styleId="TableofFigures">
    <w:name w:val="table of figures"/>
    <w:basedOn w:val="Normal"/>
    <w:next w:val="Normal"/>
    <w:semiHidden/>
    <w:rsid w:val="007261F1"/>
    <w:pPr>
      <w:tabs>
        <w:tab w:val="right" w:leader="dot" w:pos="9072"/>
      </w:tabs>
      <w:ind w:left="970" w:hanging="403"/>
    </w:pPr>
    <w:rPr>
      <w:rFonts w:ascii="Times New Roman" w:hAnsi="Times New Roman"/>
      <w:b/>
    </w:rPr>
  </w:style>
  <w:style w:type="paragraph" w:styleId="ListNumber">
    <w:name w:val="List Number"/>
    <w:basedOn w:val="List"/>
    <w:rsid w:val="007261F1"/>
    <w:pPr>
      <w:numPr>
        <w:numId w:val="11"/>
      </w:numPr>
    </w:pPr>
  </w:style>
  <w:style w:type="character" w:customStyle="1" w:styleId="WingdingSymbols">
    <w:name w:val="Wingding Symbols"/>
    <w:rsid w:val="007261F1"/>
    <w:rPr>
      <w:rFonts w:ascii="Wingdings" w:hAnsi="Wingdings"/>
    </w:rPr>
  </w:style>
  <w:style w:type="paragraph" w:customStyle="1" w:styleId="TableHeading">
    <w:name w:val="Table Heading"/>
    <w:basedOn w:val="HeadingBase"/>
    <w:rsid w:val="007261F1"/>
    <w:pPr>
      <w:keepLines/>
      <w:pBdr>
        <w:bottom w:val="single" w:sz="6" w:space="1" w:color="918585"/>
      </w:pBdr>
      <w:spacing w:before="240"/>
    </w:pPr>
  </w:style>
  <w:style w:type="character" w:customStyle="1" w:styleId="HotSpot">
    <w:name w:val="HotSpot"/>
    <w:rsid w:val="007261F1"/>
    <w:rPr>
      <w:color w:val="0033CC"/>
      <w:u w:val="none"/>
    </w:rPr>
  </w:style>
  <w:style w:type="paragraph" w:customStyle="1" w:styleId="BodyTextRight">
    <w:name w:val="Body Text Right"/>
    <w:basedOn w:val="BodyText"/>
    <w:rsid w:val="007261F1"/>
    <w:pPr>
      <w:spacing w:before="0" w:after="0"/>
      <w:jc w:val="right"/>
    </w:pPr>
  </w:style>
  <w:style w:type="paragraph" w:styleId="Index3">
    <w:name w:val="index 3"/>
    <w:basedOn w:val="ListNumber2"/>
    <w:next w:val="Normal"/>
    <w:semiHidden/>
    <w:rsid w:val="007261F1"/>
    <w:pPr>
      <w:numPr>
        <w:numId w:val="0"/>
      </w:numPr>
      <w:tabs>
        <w:tab w:val="right" w:leader="dot" w:pos="4176"/>
      </w:tabs>
    </w:pPr>
  </w:style>
  <w:style w:type="paragraph" w:styleId="ListNumber2">
    <w:name w:val="List Number 2"/>
    <w:basedOn w:val="List2"/>
    <w:rsid w:val="007261F1"/>
    <w:pPr>
      <w:numPr>
        <w:numId w:val="10"/>
      </w:numPr>
      <w:tabs>
        <w:tab w:val="clear" w:pos="1060"/>
      </w:tabs>
    </w:pPr>
  </w:style>
  <w:style w:type="paragraph" w:customStyle="1" w:styleId="MarginNote">
    <w:name w:val="Margin Note"/>
    <w:basedOn w:val="BodyText"/>
    <w:rsid w:val="00726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1F1"/>
    <w:rPr>
      <w:sz w:val="32"/>
    </w:rPr>
  </w:style>
  <w:style w:type="paragraph" w:customStyle="1" w:styleId="HeadingProcedure">
    <w:name w:val="Heading Procedure"/>
    <w:basedOn w:val="HeadingBase"/>
    <w:next w:val="Normal"/>
    <w:rsid w:val="007261F1"/>
    <w:pPr>
      <w:tabs>
        <w:tab w:val="left" w:pos="0"/>
      </w:tabs>
      <w:spacing w:before="120" w:after="60"/>
    </w:pPr>
    <w:rPr>
      <w:i/>
      <w:color w:val="918585"/>
      <w:sz w:val="22"/>
    </w:rPr>
  </w:style>
  <w:style w:type="paragraph" w:customStyle="1" w:styleId="TableBodyText">
    <w:name w:val="Table Body Text"/>
    <w:basedOn w:val="BodyText"/>
    <w:rsid w:val="007261F1"/>
    <w:pPr>
      <w:spacing w:before="60" w:after="60"/>
    </w:pPr>
  </w:style>
  <w:style w:type="paragraph" w:styleId="ListContinue">
    <w:name w:val="List Continue"/>
    <w:basedOn w:val="List"/>
    <w:rsid w:val="007261F1"/>
    <w:pPr>
      <w:ind w:firstLine="0"/>
    </w:pPr>
  </w:style>
  <w:style w:type="paragraph" w:customStyle="1" w:styleId="ListNote">
    <w:name w:val="List Note"/>
    <w:basedOn w:val="List"/>
    <w:rsid w:val="007261F1"/>
    <w:pPr>
      <w:pBdr>
        <w:top w:val="single" w:sz="6" w:space="2" w:color="918585"/>
        <w:bottom w:val="single" w:sz="6" w:space="2" w:color="918585"/>
      </w:pBdr>
      <w:tabs>
        <w:tab w:val="left" w:pos="1021"/>
      </w:tabs>
      <w:ind w:firstLine="0"/>
    </w:pPr>
  </w:style>
  <w:style w:type="paragraph" w:customStyle="1" w:styleId="Warning">
    <w:name w:val="Warning"/>
    <w:basedOn w:val="BodyText"/>
    <w:rsid w:val="007261F1"/>
    <w:pPr>
      <w:shd w:val="clear" w:color="auto" w:fill="D9D9D9"/>
      <w:tabs>
        <w:tab w:val="left" w:pos="992"/>
      </w:tabs>
      <w:ind w:left="119" w:right="119"/>
    </w:pPr>
    <w:rPr>
      <w:sz w:val="20"/>
    </w:rPr>
  </w:style>
  <w:style w:type="paragraph" w:customStyle="1" w:styleId="MarginIcons">
    <w:name w:val="Margin Icons"/>
    <w:basedOn w:val="BodyText"/>
    <w:rsid w:val="00726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1F1"/>
    <w:rPr>
      <w:rFonts w:ascii="Courier New" w:hAnsi="Courier New"/>
    </w:rPr>
  </w:style>
  <w:style w:type="paragraph" w:customStyle="1" w:styleId="NoteBullet">
    <w:name w:val="Note Bullet"/>
    <w:basedOn w:val="Note"/>
    <w:rsid w:val="007261F1"/>
    <w:pPr>
      <w:tabs>
        <w:tab w:val="clear" w:pos="680"/>
      </w:tabs>
      <w:spacing w:before="60" w:after="60"/>
    </w:pPr>
  </w:style>
  <w:style w:type="paragraph" w:customStyle="1" w:styleId="SubHeading2">
    <w:name w:val="SubHeading2"/>
    <w:basedOn w:val="HeadingBase"/>
    <w:rsid w:val="007261F1"/>
    <w:pPr>
      <w:spacing w:before="240" w:after="60"/>
    </w:pPr>
    <w:rPr>
      <w:sz w:val="20"/>
    </w:rPr>
  </w:style>
  <w:style w:type="paragraph" w:customStyle="1" w:styleId="SubHeading1">
    <w:name w:val="SubHeading1"/>
    <w:basedOn w:val="HeadingBase"/>
    <w:rsid w:val="007261F1"/>
    <w:pPr>
      <w:spacing w:before="240" w:after="60"/>
    </w:pPr>
    <w:rPr>
      <w:color w:val="918585"/>
      <w:sz w:val="22"/>
    </w:rPr>
  </w:style>
  <w:style w:type="paragraph" w:customStyle="1" w:styleId="SideHeading">
    <w:name w:val="Side Heading"/>
    <w:basedOn w:val="HeadingBase"/>
    <w:rsid w:val="00726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1F1"/>
    <w:pPr>
      <w:numPr>
        <w:numId w:val="12"/>
      </w:numPr>
    </w:pPr>
  </w:style>
  <w:style w:type="paragraph" w:styleId="PlainText">
    <w:name w:val="Plain Text"/>
    <w:basedOn w:val="Normal"/>
    <w:link w:val="PlainTextChar"/>
    <w:rsid w:val="007261F1"/>
    <w:rPr>
      <w:sz w:val="20"/>
    </w:rPr>
  </w:style>
  <w:style w:type="character" w:customStyle="1" w:styleId="PlainTextChar">
    <w:name w:val="Plain Text Char"/>
    <w:basedOn w:val="DefaultParagraphFont"/>
    <w:link w:val="PlainText"/>
    <w:rsid w:val="007261F1"/>
    <w:rPr>
      <w:rFonts w:ascii="Courier New" w:eastAsia="Times New Roman" w:hAnsi="Courier New" w:cs="Times New Roman"/>
      <w:sz w:val="20"/>
      <w:szCs w:val="20"/>
      <w:lang w:eastAsia="en-US"/>
    </w:rPr>
  </w:style>
  <w:style w:type="character" w:customStyle="1" w:styleId="MenuOption">
    <w:name w:val="Menu Option"/>
    <w:basedOn w:val="DefaultParagraphFont"/>
    <w:rsid w:val="007261F1"/>
    <w:rPr>
      <w:b/>
      <w:smallCaps/>
    </w:rPr>
  </w:style>
  <w:style w:type="paragraph" w:customStyle="1" w:styleId="TableListNumber">
    <w:name w:val="Table List Number"/>
    <w:basedOn w:val="ListNumber"/>
    <w:rsid w:val="007261F1"/>
    <w:pPr>
      <w:numPr>
        <w:numId w:val="0"/>
      </w:numPr>
    </w:pPr>
  </w:style>
  <w:style w:type="paragraph" w:styleId="TOC4">
    <w:name w:val="toc 4"/>
    <w:basedOn w:val="TOCBase"/>
    <w:next w:val="Normal"/>
    <w:semiHidden/>
    <w:rsid w:val="007261F1"/>
    <w:pPr>
      <w:tabs>
        <w:tab w:val="right" w:leader="dot" w:pos="9071"/>
      </w:tabs>
      <w:ind w:left="1701"/>
    </w:pPr>
  </w:style>
  <w:style w:type="paragraph" w:customStyle="1" w:styleId="ListAlpha">
    <w:name w:val="List Alpha"/>
    <w:basedOn w:val="List"/>
    <w:rsid w:val="007261F1"/>
    <w:pPr>
      <w:numPr>
        <w:numId w:val="9"/>
      </w:numPr>
    </w:pPr>
  </w:style>
  <w:style w:type="paragraph" w:customStyle="1" w:styleId="ListAlpha2">
    <w:name w:val="List Alpha 2"/>
    <w:basedOn w:val="List2"/>
    <w:rsid w:val="007261F1"/>
    <w:pPr>
      <w:numPr>
        <w:numId w:val="8"/>
      </w:numPr>
    </w:pPr>
  </w:style>
  <w:style w:type="paragraph" w:styleId="List2">
    <w:name w:val="List 2"/>
    <w:basedOn w:val="BodyText"/>
    <w:rsid w:val="007261F1"/>
    <w:pPr>
      <w:tabs>
        <w:tab w:val="left" w:pos="680"/>
      </w:tabs>
      <w:spacing w:before="60" w:after="60"/>
      <w:ind w:left="680" w:hanging="340"/>
    </w:pPr>
  </w:style>
  <w:style w:type="paragraph" w:styleId="List3">
    <w:name w:val="List 3"/>
    <w:basedOn w:val="BodyText"/>
    <w:rsid w:val="007261F1"/>
    <w:pPr>
      <w:tabs>
        <w:tab w:val="left" w:pos="1021"/>
      </w:tabs>
      <w:spacing w:before="60" w:after="60"/>
      <w:ind w:left="1020" w:hanging="340"/>
    </w:pPr>
  </w:style>
  <w:style w:type="paragraph" w:styleId="List4">
    <w:name w:val="List 4"/>
    <w:basedOn w:val="BodyText"/>
    <w:rsid w:val="007261F1"/>
    <w:pPr>
      <w:tabs>
        <w:tab w:val="left" w:pos="1361"/>
      </w:tabs>
      <w:spacing w:before="60" w:after="60"/>
      <w:ind w:left="1361" w:hanging="340"/>
    </w:pPr>
  </w:style>
  <w:style w:type="paragraph" w:styleId="List5">
    <w:name w:val="List 5"/>
    <w:basedOn w:val="BodyText"/>
    <w:rsid w:val="007261F1"/>
    <w:pPr>
      <w:tabs>
        <w:tab w:val="left" w:pos="1701"/>
      </w:tabs>
      <w:spacing w:before="60" w:after="60"/>
      <w:ind w:left="1701" w:hanging="340"/>
    </w:pPr>
  </w:style>
  <w:style w:type="paragraph" w:styleId="ListBullet3">
    <w:name w:val="List Bullet 3"/>
    <w:basedOn w:val="List3"/>
    <w:rsid w:val="007261F1"/>
    <w:pPr>
      <w:numPr>
        <w:numId w:val="15"/>
      </w:numPr>
      <w:tabs>
        <w:tab w:val="clear" w:pos="1021"/>
      </w:tabs>
      <w:ind w:left="1037" w:hanging="357"/>
    </w:pPr>
  </w:style>
  <w:style w:type="paragraph" w:styleId="ListBullet4">
    <w:name w:val="List Bullet 4"/>
    <w:basedOn w:val="List4"/>
    <w:rsid w:val="007261F1"/>
    <w:pPr>
      <w:numPr>
        <w:numId w:val="3"/>
      </w:numPr>
    </w:pPr>
  </w:style>
  <w:style w:type="paragraph" w:styleId="ListBullet5">
    <w:name w:val="List Bullet 5"/>
    <w:basedOn w:val="List5"/>
    <w:rsid w:val="007261F1"/>
    <w:pPr>
      <w:numPr>
        <w:numId w:val="4"/>
      </w:numPr>
    </w:pPr>
  </w:style>
  <w:style w:type="paragraph" w:styleId="ListContinue2">
    <w:name w:val="List Continue 2"/>
    <w:basedOn w:val="List2"/>
    <w:rsid w:val="007261F1"/>
    <w:pPr>
      <w:ind w:firstLine="0"/>
    </w:pPr>
  </w:style>
  <w:style w:type="paragraph" w:styleId="ListContinue3">
    <w:name w:val="List Continue 3"/>
    <w:basedOn w:val="List3"/>
    <w:rsid w:val="007261F1"/>
    <w:pPr>
      <w:ind w:left="1021" w:firstLine="0"/>
    </w:pPr>
  </w:style>
  <w:style w:type="paragraph" w:styleId="ListContinue4">
    <w:name w:val="List Continue 4"/>
    <w:basedOn w:val="List4"/>
    <w:rsid w:val="007261F1"/>
    <w:pPr>
      <w:ind w:firstLine="0"/>
    </w:pPr>
  </w:style>
  <w:style w:type="paragraph" w:styleId="ListContinue5">
    <w:name w:val="List Continue 5"/>
    <w:basedOn w:val="List5"/>
    <w:rsid w:val="007261F1"/>
    <w:pPr>
      <w:ind w:firstLine="0"/>
    </w:pPr>
  </w:style>
  <w:style w:type="paragraph" w:styleId="ListNumber3">
    <w:name w:val="List Number 3"/>
    <w:basedOn w:val="List3"/>
    <w:rsid w:val="007261F1"/>
    <w:pPr>
      <w:numPr>
        <w:numId w:val="5"/>
      </w:numPr>
    </w:pPr>
  </w:style>
  <w:style w:type="paragraph" w:styleId="ListNumber4">
    <w:name w:val="List Number 4"/>
    <w:basedOn w:val="List4"/>
    <w:rsid w:val="007261F1"/>
    <w:pPr>
      <w:numPr>
        <w:numId w:val="6"/>
      </w:numPr>
    </w:pPr>
  </w:style>
  <w:style w:type="paragraph" w:styleId="ListNumber5">
    <w:name w:val="List Number 5"/>
    <w:basedOn w:val="List5"/>
    <w:rsid w:val="007261F1"/>
    <w:pPr>
      <w:numPr>
        <w:numId w:val="7"/>
      </w:numPr>
    </w:pPr>
  </w:style>
  <w:style w:type="paragraph" w:styleId="BlockText">
    <w:name w:val="Block Text"/>
    <w:basedOn w:val="Normal"/>
    <w:rsid w:val="007261F1"/>
    <w:pPr>
      <w:spacing w:after="120"/>
      <w:ind w:left="1440" w:right="1440"/>
    </w:pPr>
  </w:style>
  <w:style w:type="character" w:customStyle="1" w:styleId="Subscript">
    <w:name w:val="Subscript"/>
    <w:basedOn w:val="DefaultParagraphFont"/>
    <w:rsid w:val="007261F1"/>
    <w:rPr>
      <w:sz w:val="16"/>
      <w:vertAlign w:val="subscript"/>
    </w:rPr>
  </w:style>
  <w:style w:type="character" w:customStyle="1" w:styleId="Superscript">
    <w:name w:val="Superscript"/>
    <w:basedOn w:val="DefaultParagraphFont"/>
    <w:rsid w:val="007261F1"/>
    <w:rPr>
      <w:sz w:val="16"/>
      <w:vertAlign w:val="superscript"/>
    </w:rPr>
  </w:style>
  <w:style w:type="character" w:customStyle="1" w:styleId="Symbols">
    <w:name w:val="Symbols"/>
    <w:basedOn w:val="DefaultParagraphFont"/>
    <w:rsid w:val="007261F1"/>
    <w:rPr>
      <w:rFonts w:ascii="Symbol" w:hAnsi="Symbol"/>
    </w:rPr>
  </w:style>
  <w:style w:type="character" w:customStyle="1" w:styleId="MenuOptions">
    <w:name w:val="Menu Options"/>
    <w:basedOn w:val="DefaultParagraphFont"/>
    <w:rsid w:val="007261F1"/>
    <w:rPr>
      <w:rFonts w:ascii="Arial Narrow" w:hAnsi="Arial Narrow"/>
      <w:smallCaps/>
    </w:rPr>
  </w:style>
  <w:style w:type="character" w:customStyle="1" w:styleId="Buttons">
    <w:name w:val="Buttons"/>
    <w:basedOn w:val="DefaultParagraphFont"/>
    <w:rsid w:val="007261F1"/>
    <w:rPr>
      <w:b/>
    </w:rPr>
  </w:style>
  <w:style w:type="character" w:customStyle="1" w:styleId="Underlined">
    <w:name w:val="Underlined"/>
    <w:basedOn w:val="DefaultParagraphFont"/>
    <w:rsid w:val="007261F1"/>
    <w:rPr>
      <w:u w:val="single"/>
    </w:rPr>
  </w:style>
  <w:style w:type="paragraph" w:customStyle="1" w:styleId="TableBodyTextRight">
    <w:name w:val="Table Body Text Right"/>
    <w:basedOn w:val="TableBodyText"/>
    <w:rsid w:val="007261F1"/>
    <w:pPr>
      <w:widowControl w:val="0"/>
      <w:autoSpaceDE w:val="0"/>
      <w:autoSpaceDN w:val="0"/>
      <w:adjustRightInd w:val="0"/>
      <w:jc w:val="right"/>
    </w:pPr>
    <w:rPr>
      <w:rFonts w:cs="Arial"/>
      <w:szCs w:val="18"/>
    </w:rPr>
  </w:style>
  <w:style w:type="paragraph" w:customStyle="1" w:styleId="CopyrightText">
    <w:name w:val="Copyright Text"/>
    <w:basedOn w:val="BodyText"/>
    <w:rsid w:val="007261F1"/>
    <w:rPr>
      <w:sz w:val="18"/>
    </w:rPr>
  </w:style>
  <w:style w:type="paragraph" w:customStyle="1" w:styleId="BodySmallRight">
    <w:name w:val="Body Small Right"/>
    <w:basedOn w:val="BodyTextRight"/>
    <w:rsid w:val="007261F1"/>
    <w:rPr>
      <w:sz w:val="18"/>
      <w:szCs w:val="18"/>
    </w:rPr>
  </w:style>
  <w:style w:type="paragraph" w:customStyle="1" w:styleId="MarginEdition">
    <w:name w:val="Margin Edition"/>
    <w:basedOn w:val="MarginNote"/>
    <w:rsid w:val="007261F1"/>
    <w:pPr>
      <w:spacing w:before="0" w:after="0"/>
    </w:pPr>
    <w:rPr>
      <w:rFonts w:ascii="Times New Roman" w:hAnsi="Times New Roman"/>
      <w:color w:val="999999"/>
    </w:rPr>
  </w:style>
  <w:style w:type="paragraph" w:customStyle="1" w:styleId="Spacer">
    <w:name w:val="Spacer"/>
    <w:basedOn w:val="Normal"/>
    <w:rsid w:val="007261F1"/>
    <w:rPr>
      <w:sz w:val="2"/>
      <w:szCs w:val="2"/>
    </w:rPr>
  </w:style>
  <w:style w:type="character" w:customStyle="1" w:styleId="Small">
    <w:name w:val="Small"/>
    <w:basedOn w:val="DefaultParagraphFont"/>
    <w:rsid w:val="007261F1"/>
    <w:rPr>
      <w:sz w:val="16"/>
    </w:rPr>
  </w:style>
  <w:style w:type="paragraph" w:customStyle="1" w:styleId="WideTable">
    <w:name w:val="Wide Table"/>
    <w:basedOn w:val="Normal"/>
    <w:rsid w:val="007261F1"/>
    <w:pPr>
      <w:ind w:left="-1418"/>
    </w:pPr>
    <w:rPr>
      <w:sz w:val="2"/>
      <w:szCs w:val="2"/>
    </w:rPr>
  </w:style>
  <w:style w:type="character" w:styleId="PageNumber">
    <w:name w:val="page number"/>
    <w:basedOn w:val="DefaultParagraphFont"/>
    <w:rsid w:val="007261F1"/>
  </w:style>
  <w:style w:type="paragraph" w:styleId="Quote">
    <w:name w:val="Quote"/>
    <w:basedOn w:val="Heading1"/>
    <w:link w:val="QuoteChar"/>
    <w:qFormat/>
    <w:rsid w:val="007261F1"/>
    <w:rPr>
      <w:b w:val="0"/>
      <w:sz w:val="72"/>
      <w:szCs w:val="72"/>
      <w:lang w:val="en-NZ"/>
    </w:rPr>
  </w:style>
  <w:style w:type="character" w:customStyle="1" w:styleId="QuoteChar">
    <w:name w:val="Quote Char"/>
    <w:basedOn w:val="DefaultParagraphFont"/>
    <w:link w:val="Quote"/>
    <w:rsid w:val="00726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1F1"/>
    <w:pPr>
      <w:pageBreakBefore/>
    </w:pPr>
  </w:style>
  <w:style w:type="paragraph" w:customStyle="1" w:styleId="Border">
    <w:name w:val="Border"/>
    <w:basedOn w:val="Normal"/>
    <w:qFormat/>
    <w:rsid w:val="00726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1F1"/>
    <w:rPr>
      <w:b/>
      <w:bCs/>
      <w:i/>
      <w:iCs/>
      <w:color w:val="auto"/>
    </w:rPr>
  </w:style>
  <w:style w:type="paragraph" w:styleId="IntenseQuote">
    <w:name w:val="Intense Quote"/>
    <w:basedOn w:val="Normal"/>
    <w:next w:val="Normal"/>
    <w:link w:val="IntenseQuoteChar"/>
    <w:uiPriority w:val="30"/>
    <w:qFormat/>
    <w:rsid w:val="00726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1F1"/>
    <w:rPr>
      <w:smallCaps/>
      <w:color w:val="auto"/>
      <w:u w:val="single"/>
    </w:rPr>
  </w:style>
  <w:style w:type="character" w:styleId="IntenseReference">
    <w:name w:val="Intense Reference"/>
    <w:basedOn w:val="DefaultParagraphFont"/>
    <w:uiPriority w:val="32"/>
    <w:qFormat/>
    <w:rsid w:val="007261F1"/>
    <w:rPr>
      <w:b/>
      <w:bCs/>
      <w:smallCaps/>
      <w:color w:val="auto"/>
      <w:spacing w:val="5"/>
      <w:u w:val="single"/>
    </w:rPr>
  </w:style>
  <w:style w:type="paragraph" w:customStyle="1" w:styleId="2ColumnHeading">
    <w:name w:val="2Column Heading"/>
    <w:basedOn w:val="BodyText"/>
    <w:qFormat/>
    <w:rsid w:val="007261F1"/>
    <w:pPr>
      <w:spacing w:after="60"/>
      <w:ind w:left="-2268"/>
    </w:pPr>
    <w:rPr>
      <w:b/>
    </w:rPr>
  </w:style>
  <w:style w:type="paragraph" w:customStyle="1" w:styleId="Heading1TOC">
    <w:name w:val="Heading1 TOC"/>
    <w:basedOn w:val="Normal"/>
    <w:qFormat/>
    <w:rsid w:val="007261F1"/>
    <w:pPr>
      <w:spacing w:before="240" w:after="120"/>
    </w:pPr>
    <w:rPr>
      <w:rFonts w:ascii="Times New Roman" w:hAnsi="Times New Roman"/>
      <w:b/>
      <w:sz w:val="32"/>
    </w:rPr>
  </w:style>
  <w:style w:type="paragraph" w:customStyle="1" w:styleId="Heading2TOC">
    <w:name w:val="Heading2 TOC"/>
    <w:basedOn w:val="Normal"/>
    <w:qFormat/>
    <w:rsid w:val="007261F1"/>
    <w:pPr>
      <w:spacing w:before="240" w:after="60"/>
    </w:pPr>
    <w:rPr>
      <w:rFonts w:ascii="Times New Roman" w:hAnsi="Times New Roman"/>
      <w:b/>
      <w:sz w:val="28"/>
    </w:rPr>
  </w:style>
  <w:style w:type="character" w:customStyle="1" w:styleId="Underline">
    <w:name w:val="Underline"/>
    <w:basedOn w:val="DefaultParagraphFont"/>
    <w:qFormat/>
    <w:rsid w:val="007261F1"/>
    <w:rPr>
      <w:u w:val="single"/>
    </w:rPr>
  </w:style>
  <w:style w:type="character" w:customStyle="1" w:styleId="BoldandItalics">
    <w:name w:val="Bold and Italics"/>
    <w:qFormat/>
    <w:rsid w:val="007261F1"/>
    <w:rPr>
      <w:b/>
      <w:i/>
      <w:u w:val="none"/>
    </w:rPr>
  </w:style>
  <w:style w:type="paragraph" w:styleId="BalloonText">
    <w:name w:val="Balloon Text"/>
    <w:basedOn w:val="Normal"/>
    <w:link w:val="BalloonTextChar"/>
    <w:rsid w:val="007261F1"/>
    <w:rPr>
      <w:rFonts w:ascii="Tahoma" w:hAnsi="Tahoma" w:cs="Tahoma"/>
      <w:sz w:val="16"/>
      <w:szCs w:val="16"/>
    </w:rPr>
  </w:style>
  <w:style w:type="character" w:customStyle="1" w:styleId="BalloonTextChar">
    <w:name w:val="Balloon Text Char"/>
    <w:basedOn w:val="DefaultParagraphFont"/>
    <w:link w:val="BalloonText"/>
    <w:rsid w:val="00726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1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6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1F1"/>
    <w:rPr>
      <w:b/>
      <w:color w:val="660033"/>
      <w:spacing w:val="0"/>
    </w:rPr>
  </w:style>
  <w:style w:type="paragraph" w:customStyle="1" w:styleId="Nameditemlist">
    <w:name w:val="Named item list"/>
    <w:basedOn w:val="BodyText"/>
    <w:qFormat/>
    <w:rsid w:val="007261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2240</Words>
  <Characters>13760</Characters>
  <Application>Microsoft Office Word</Application>
  <DocSecurity>0</DocSecurity>
  <Lines>523</Lines>
  <Paragraphs>236</Paragraphs>
  <ScaleCrop>false</ScaleCrop>
  <Company>Author-it Software Corporation Ltd.</Company>
  <LinksUpToDate>false</LinksUpToDate>
  <CharactersWithSpaces>15993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UEENEEH108A Assemble and install reception antennae and signal distribution equipment</dc:title>
  <dc:subject>Approved</dc:subject>
  <dc:creator>E-OZ Training Standards</dc:creator>
  <cp:keywords>Release 2</cp:keywords>
  <dc:description>Review Date: 12 April 2008</dc:description>
  <cp:lastModifiedBy>TPCMS</cp:lastModifiedBy>
  <cp:revision>3</cp:revision>
  <dcterms:created xsi:type="dcterms:W3CDTF">2013-09-05T14:19:22Z</dcterms:created>
  <dcterms:modified xsi:type="dcterms:W3CDTF">2013-09-05T02:48:00Z</dcterms:modified>
</cp:coreProperties>
</file>