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017" w:rsidP="00363017">
      <w:pPr>
        <w:pStyle w:val="Title"/>
      </w:pPr>
      <w:r>
        <w:fldChar w:fldCharType="begin"/>
      </w:r>
      <w:r>
        <w:instrText xml:space="preserve"> TITLE   \* MERGEFORMAT </w:instrText>
      </w:r>
      <w:r>
        <w:fldChar w:fldCharType="separate"/>
      </w:r>
      <w:r>
        <w:t>UEENEEH106A Assemble and set up fixed video/audio components and systems in buildings and premises</w:t>
      </w:r>
      <w:r>
        <w:fldChar w:fldCharType="end"/>
      </w:r>
    </w:p>
    <w:p w:rsidR="00363017" w:rsidP="00363017">
      <w:pPr>
        <w:pStyle w:val="Version"/>
        <w:sectPr w:rsidSect="00AA26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26F4" w:rsidP="00AA26F4">
      <w:pPr>
        <w:pStyle w:val="SuperHeading"/>
      </w:pPr>
      <w:r w:rsidRPr="00AA26F4">
        <w:t>UEENEEH106A Assemble and set up fixed video/audio components and systems in buildings and premises</w:t>
      </w:r>
    </w:p>
    <w:p w:rsidR="00000000" w:rsidRPr="00AA26F4" w:rsidP="00AA26F4">
      <w:pPr>
        <w:pStyle w:val="Heading1"/>
      </w:pPr>
      <w:bookmarkStart w:id="1" w:name="O_586832"/>
      <w:bookmarkEnd w:id="1"/>
      <w:r w:rsidRPr="00AA26F4">
        <w:t>Modification History</w:t>
      </w:r>
    </w:p>
    <w:p w:rsidR="00000000" w:rsidRPr="00AA26F4" w:rsidP="00AA26F4">
      <w:pPr>
        <w:pStyle w:val="BodyText"/>
      </w:pPr>
      <w:r w:rsidRPr="00AA26F4">
        <w:t>Not applicable.</w:t>
      </w:r>
    </w:p>
    <w:p w:rsidR="00000000" w:rsidRPr="00AA26F4" w:rsidP="00AA26F4">
      <w:pPr>
        <w:pStyle w:val="AllowPageBreak"/>
      </w:pPr>
    </w:p>
    <w:p w:rsidR="00000000" w:rsidRPr="00AA26F4" w:rsidP="00AA26F4">
      <w:pPr>
        <w:pStyle w:val="Heading1"/>
      </w:pPr>
      <w:bookmarkStart w:id="2" w:name="O_586831"/>
      <w:bookmarkEnd w:id="2"/>
      <w:r w:rsidRPr="00AA26F4">
        <w:t>Unit Descriptor</w:t>
      </w:r>
    </w:p>
    <w:tbl>
      <w:tblPr>
        <w:tblW w:w="0" w:type="auto"/>
        <w:tblLayout w:type="fixed"/>
        <w:tblCellMar>
          <w:left w:w="62" w:type="dxa"/>
          <w:right w:w="62" w:type="dxa"/>
        </w:tblCellMar>
        <w:tblLook w:val="0000"/>
      </w:tblPr>
      <w:tblGrid>
        <w:gridCol w:w="2700"/>
        <w:gridCol w:w="5760"/>
      </w:tblGrid>
      <w:tr w:rsidTr="00363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1)</w:t>
            </w:r>
            <w:r w:rsidRPr="00AA26F4">
              <w:t xml:space="preserve"> </w:t>
            </w:r>
            <w:r w:rsidRPr="00AA26F4">
              <w:rPr>
                <w:rStyle w:val="SpecialBold"/>
              </w:rPr>
              <w:t>Scope:</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26F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1.1) Descriptor</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This unit covers installing of fixed audio/video components and systems in a residential or business environment. It encompasses safe working practices; secure placement and connection of system components, following written and oral instruction and proced</w:t>
            </w:r>
            <w:r w:rsidRPr="00AA26F4">
              <w:t>ures and customer relations.</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3" w:name="O_586830"/>
      <w:bookmarkEnd w:id="3"/>
      <w:r w:rsidRPr="00AA26F4">
        <w:t>Application of the Unit</w:t>
      </w:r>
    </w:p>
    <w:tbl>
      <w:tblPr>
        <w:tblW w:w="0" w:type="auto"/>
        <w:tblLayout w:type="fixed"/>
        <w:tblCellMar>
          <w:left w:w="62" w:type="dxa"/>
          <w:right w:w="62" w:type="dxa"/>
        </w:tblCellMar>
        <w:tblLook w:val="0000"/>
      </w:tblPr>
      <w:tblGrid>
        <w:gridCol w:w="2672"/>
        <w:gridCol w:w="5699"/>
      </w:tblGrid>
      <w:tr w:rsidTr="0036301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2)</w:t>
            </w:r>
          </w:p>
        </w:tc>
      </w:tr>
      <w:tr w:rsidTr="0036301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 xml:space="preserve">This unit is intended for competency development in entry-level employment based programs incorporated in approved contracts of training or </w:t>
            </w:r>
            <w:r w:rsidRPr="00AA26F4">
              <w:t>approved training programs.</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4" w:name="O_586829"/>
      <w:bookmarkEnd w:id="4"/>
      <w:r w:rsidRPr="00AA26F4">
        <w:t>Licensing/Regulatory Information</w:t>
      </w:r>
    </w:p>
    <w:tbl>
      <w:tblPr>
        <w:tblW w:w="0" w:type="auto"/>
        <w:tblLayout w:type="fixed"/>
        <w:tblCellMar>
          <w:left w:w="62" w:type="dxa"/>
          <w:right w:w="62" w:type="dxa"/>
        </w:tblCellMar>
        <w:tblLook w:val="0000"/>
      </w:tblPr>
      <w:tblGrid>
        <w:gridCol w:w="2700"/>
        <w:gridCol w:w="5760"/>
      </w:tblGrid>
      <w:tr w:rsidTr="00363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 xml:space="preserve">3) </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The skills and knowledge described in this unit do not require a license to practice in the workplace. However, practice in this unit is subject to re</w:t>
            </w:r>
            <w:r w:rsidRPr="00AA26F4">
              <w:t>gulations directly related to occupational health and safety and where applicable contracts of training such as apprenticeships.</w:t>
            </w:r>
          </w:p>
          <w:p w:rsidR="00000000" w:rsidRPr="00AA26F4" w:rsidP="00AA26F4">
            <w:pPr>
              <w:pStyle w:val="BodyText"/>
            </w:pPr>
            <w:r w:rsidRPr="00AA26F4">
              <w:t xml:space="preserve">Note: </w:t>
            </w:r>
          </w:p>
          <w:p w:rsidR="00000000" w:rsidRPr="00AA26F4" w:rsidP="00AA26F4">
            <w:pPr>
              <w:pStyle w:val="BodyText"/>
            </w:pPr>
            <w:r w:rsidRPr="00AA26F4">
              <w:t xml:space="preserve">1. Compliance with permits may be required in various </w:t>
            </w:r>
            <w:r w:rsidRPr="00AA26F4">
              <w:t xml:space="preserve">jurisdictions and typically relates to the operation </w:t>
            </w:r>
            <w:r w:rsidRPr="00AA26F4">
              <w:t>of plant, machinery and equipment such as elevating work platforms, powder operated fixing tools, power operated tools, vehicles, road signage and traffic control, lifting equipment and the like. Permits may also be required for some work environments such</w:t>
            </w:r>
            <w:r w:rsidRPr="00AA26F4">
              <w:t xml:space="preserve"> as confined spaces, working aloft, near live electrical apparatus and site rehabilitation.</w:t>
            </w:r>
          </w:p>
          <w:p w:rsidR="00000000" w:rsidRPr="00AA26F4" w:rsidP="00AA26F4">
            <w:pPr>
              <w:pStyle w:val="BodyText"/>
            </w:pPr>
            <w:r w:rsidRPr="00AA26F4">
              <w:t>2. Compliance may be required in various jurisdictions relating to currency in First Aid, confined space, lifting and risk safety measures.</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5" w:name="O_586828"/>
      <w:bookmarkEnd w:id="5"/>
      <w:r w:rsidRPr="00AA26F4">
        <w:t>Pre-R</w:t>
      </w:r>
      <w:r w:rsidRPr="00AA26F4">
        <w:t>equisites</w:t>
      </w:r>
    </w:p>
    <w:tbl>
      <w:tblPr>
        <w:tblW w:w="0" w:type="auto"/>
        <w:tblLayout w:type="fixed"/>
        <w:tblCellMar>
          <w:left w:w="62" w:type="dxa"/>
          <w:right w:w="62" w:type="dxa"/>
        </w:tblCellMar>
        <w:tblLook w:val="0000"/>
      </w:tblPr>
      <w:tblGrid>
        <w:gridCol w:w="2700"/>
        <w:gridCol w:w="1440"/>
        <w:gridCol w:w="4320"/>
      </w:tblGrid>
      <w:tr w:rsidTr="00363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 xml:space="preserve">4) </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4.1)</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Granting competency in this unit shall be made only after competency in the following unit(s) has/have been confirmed.</w:t>
            </w:r>
          </w:p>
        </w:tc>
      </w:tr>
      <w:tr w:rsidTr="0036301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UEENEEE101A</w:t>
            </w:r>
          </w:p>
        </w:tc>
        <w:tc>
          <w:tcPr>
            <w:tcW w:w="432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Apply Occupational Health and Safety regulations, codes and practices in the workplace</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UEENEEE102A</w:t>
            </w:r>
          </w:p>
        </w:tc>
        <w:tc>
          <w:tcPr>
            <w:tcW w:w="432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Fabricate, dismantle, assemble of utilities industry components</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UEENEEE105A</w:t>
            </w:r>
          </w:p>
        </w:tc>
        <w:tc>
          <w:tcPr>
            <w:tcW w:w="432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Fix and secure electrotechnology equipment</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UEENEEE107A</w:t>
            </w:r>
          </w:p>
        </w:tc>
        <w:tc>
          <w:tcPr>
            <w:tcW w:w="432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Use drawings, diagrams, schedules, standards, codes and specifications</w:t>
            </w:r>
          </w:p>
        </w:tc>
      </w:tr>
      <w:tr w:rsidTr="00363017">
        <w:tblPrEx>
          <w:tblW w:w="0" w:type="auto"/>
          <w:tblLayout w:type="fixed"/>
          <w:tblCellMar>
            <w:left w:w="62" w:type="dxa"/>
            <w:right w:w="62" w:type="dxa"/>
          </w:tblCellMar>
          <w:tblLook w:val="0000"/>
        </w:tblPrEx>
        <w:trPr>
          <w:trHeight w:val="24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UEENEEE108A</w:t>
            </w:r>
          </w:p>
        </w:tc>
        <w:tc>
          <w:tcPr>
            <w:tcW w:w="432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Lay wiring/cabling and terminate accessories for extra-low voltage (ELV) circuits</w:t>
            </w:r>
          </w:p>
        </w:tc>
      </w:tr>
    </w:tbl>
    <w:p w:rsidR="00000000" w:rsidRPr="00AA26F4" w:rsidP="00AA26F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6301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 xml:space="preserve">4.2) </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 xml:space="preserve">Participants are best equipped to achieve competency in </w:t>
            </w:r>
            <w:r w:rsidRPr="00AA26F4">
              <w:t>this unit if they have reading, writing and numeracy skills indicated by the following scales. Description of each scale is given in Volume 2, Part 3 ‘Literacy and Numeracy’</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Reading</w:t>
            </w:r>
          </w:p>
        </w:tc>
        <w:tc>
          <w:tcPr>
            <w:tcW w:w="81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3</w:t>
            </w:r>
          </w:p>
        </w:tc>
        <w:tc>
          <w:tcPr>
            <w:tcW w:w="99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Writing</w:t>
            </w: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3</w:t>
            </w:r>
          </w:p>
        </w:tc>
        <w:tc>
          <w:tcPr>
            <w:tcW w:w="12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Numeracy</w:t>
            </w:r>
          </w:p>
        </w:tc>
        <w:tc>
          <w:tcPr>
            <w:tcW w:w="72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3</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6" w:name="O_586827"/>
      <w:bookmarkEnd w:id="6"/>
      <w:r w:rsidRPr="00AA26F4">
        <w:t>Employability Skills Information</w:t>
      </w:r>
    </w:p>
    <w:tbl>
      <w:tblPr>
        <w:tblW w:w="0" w:type="auto"/>
        <w:tblLayout w:type="fixed"/>
        <w:tblCellMar>
          <w:left w:w="62" w:type="dxa"/>
          <w:right w:w="62" w:type="dxa"/>
        </w:tblCellMar>
        <w:tblLook w:val="0000"/>
      </w:tblPr>
      <w:tblGrid>
        <w:gridCol w:w="2700"/>
        <w:gridCol w:w="5760"/>
      </w:tblGrid>
      <w:tr w:rsidTr="00363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 xml:space="preserve">5) </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This unit contains Employability Skills</w:t>
            </w:r>
          </w:p>
          <w:p w:rsidR="00000000" w:rsidRPr="00AA26F4" w:rsidP="00AA26F4">
            <w:pPr>
              <w:pStyle w:val="BodyText"/>
            </w:pPr>
            <w:r w:rsidRPr="00AA26F4">
              <w:t xml:space="preserve">The required outcomes described in this unit of competency contain applicable facets of Employability Skills. </w:t>
            </w:r>
            <w:r w:rsidRPr="00AA26F4">
              <w:t>The Employability Skills Summary of the qualification in which this unit of competency is packaged will assist in identifying Employability Skill requirements.</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7" w:name="O_586826"/>
      <w:bookmarkEnd w:id="7"/>
      <w:r w:rsidRPr="00AA26F4">
        <w:t>Elements and Performance Criteria Pre-Content</w:t>
      </w:r>
    </w:p>
    <w:tbl>
      <w:tblPr>
        <w:tblW w:w="0" w:type="auto"/>
        <w:tblLayout w:type="fixed"/>
        <w:tblCellMar>
          <w:left w:w="62" w:type="dxa"/>
          <w:right w:w="62" w:type="dxa"/>
        </w:tblCellMar>
        <w:tblLook w:val="0000"/>
      </w:tblPr>
      <w:tblGrid>
        <w:gridCol w:w="2700"/>
        <w:gridCol w:w="5760"/>
      </w:tblGrid>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6)</w:t>
            </w:r>
            <w:r w:rsidRPr="00AA26F4">
              <w:t xml:space="preserve"> Elements describe the essent</w:t>
            </w:r>
            <w:r w:rsidRPr="00AA26F4">
              <w: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Performance Criteria describe the required performance needed to demonstrate achievement of the element. Assessment of performance is to be consistent with the Evidence Guide.</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8" w:name="O_586825"/>
      <w:bookmarkEnd w:id="8"/>
      <w:r w:rsidRPr="00AA26F4">
        <w:t>Elements and Perfo</w:t>
      </w:r>
      <w:r w:rsidRPr="00AA26F4">
        <w:t>rmance Criteria</w:t>
      </w:r>
    </w:p>
    <w:tbl>
      <w:tblPr>
        <w:tblW w:w="0" w:type="auto"/>
        <w:tblLayout w:type="fixed"/>
        <w:tblCellMar>
          <w:left w:w="62" w:type="dxa"/>
          <w:right w:w="62" w:type="dxa"/>
        </w:tblCellMar>
        <w:tblLook w:val="0000"/>
      </w:tblPr>
      <w:tblGrid>
        <w:gridCol w:w="404"/>
        <w:gridCol w:w="2296"/>
        <w:gridCol w:w="900"/>
        <w:gridCol w:w="4860"/>
      </w:tblGrid>
      <w:tr w:rsidTr="0036301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PERFORMANCE CRITERIA</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1</w:t>
            </w:r>
          </w:p>
        </w:tc>
        <w:tc>
          <w:tcPr>
            <w:tcW w:w="2296" w:type="dxa"/>
            <w:vMerge w:val="restart"/>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Prepare to install audio/video components and systems.</w:t>
            </w: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1.1</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OHS procedures for a given work area are identified, obtained and understood through established routines.</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1.2</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Established OHS risk control measures are followed in preparation for the work.</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1.3</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Safety hazards, which have not previously been identified, are reported and advise on risk control measures, are sought from the work supervisor.</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1.4</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The nature and location of the work is obtained from work supervisor or other appropriate person to establish the scope of work to be undertaken.</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1.5</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Advice is sought from the work supervisor and/or other appropriate person to ensure the work is co-ordi</w:t>
            </w:r>
            <w:r w:rsidRPr="00AA26F4">
              <w:t xml:space="preserve">nated effectively with others. </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1.6</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Sources of materials that may be required for the work are established in accordance with established routines.</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1.7</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Tools, equipment and testing devices needed to carry out the work are obtained and checked for correct operation and safety.</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2</w:t>
            </w:r>
          </w:p>
        </w:tc>
        <w:tc>
          <w:tcPr>
            <w:tcW w:w="2296" w:type="dxa"/>
            <w:vMerge w:val="restart"/>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Install audio/video components and systems.</w:t>
            </w: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2.1</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Established OHS risk control measures for carrying out the work are followed.</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2.2</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Circuits/machines/plant are checked as being isolated where necessary in strict accordance OHS requirements and procedures</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2.3</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Audio/video components are installed to comply with standards and job specifications with sufficient excess to affect ter</w:t>
            </w:r>
            <w:r w:rsidRPr="00AA26F4">
              <w:t>minations.</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2.4</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Accessories are installed straight and square in the required locations and within acceptable tolerances.</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2.5</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Cables and conductors are terminated at accessories in accordance with manufacture’</w:t>
            </w:r>
            <w:r w:rsidRPr="00AA26F4">
              <w:t xml:space="preserve">s specifications and regulatory requirements </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2.6</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Procedures for referring non-routine events to immediate supervisor for directions are followed.</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2.7</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The installation is carried out efficiently without waste of materials or damage to apparatus, circ</w:t>
            </w:r>
            <w:r w:rsidRPr="00AA26F4">
              <w:t>uits or the surrounding environment and using sustainable energy practices.</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3</w:t>
            </w:r>
          </w:p>
        </w:tc>
        <w:tc>
          <w:tcPr>
            <w:tcW w:w="2296" w:type="dxa"/>
            <w:vMerge w:val="restart"/>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Complete installation work and report.</w:t>
            </w: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3.1</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OHS work completion risk control measures and procedures are followed.</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3.2</w:t>
            </w:r>
          </w:p>
        </w:tc>
        <w:tc>
          <w:tcPr>
            <w:tcW w:w="48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Work site is cleaned and made safe in accordance with established procedures.</w:t>
            </w:r>
          </w:p>
        </w:tc>
      </w:tr>
      <w:tr w:rsidTr="00363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t>3.3</w:t>
            </w:r>
          </w:p>
        </w:tc>
        <w:tc>
          <w:tcPr>
            <w:tcW w:w="48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Work supervisor is notified of the completion of the installation work in accordance with established routines.</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9" w:name="O_586824"/>
      <w:bookmarkEnd w:id="9"/>
      <w:r w:rsidRPr="00AA26F4">
        <w:t>Required Skills and Knowledge</w:t>
      </w:r>
    </w:p>
    <w:tbl>
      <w:tblPr>
        <w:tblW w:w="0" w:type="auto"/>
        <w:tblLayout w:type="fixed"/>
        <w:tblCellMar>
          <w:left w:w="62" w:type="dxa"/>
          <w:right w:w="62" w:type="dxa"/>
        </w:tblCellMar>
        <w:tblLook w:val="0000"/>
      </w:tblPr>
      <w:tblGrid>
        <w:gridCol w:w="8460"/>
      </w:tblGrid>
      <w:tr w:rsidTr="003630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REQUIRED SKILLS AND KNOWLEDGE</w:t>
            </w:r>
          </w:p>
        </w:tc>
      </w:tr>
      <w:tr w:rsidTr="0036301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8)</w:t>
            </w:r>
            <w:r w:rsidRPr="00AA26F4">
              <w:t xml:space="preserve"> This describes the essential skills and knowledge and their level, required for this unit.</w:t>
            </w:r>
          </w:p>
          <w:p w:rsidR="00000000" w:rsidRPr="00AA26F4" w:rsidP="00AA26F4">
            <w:pPr>
              <w:pStyle w:val="BodyText"/>
            </w:pPr>
            <w:r w:rsidRPr="00AA26F4">
              <w:t>Evidence shall show that knowledge has been acquired of safe working practices and assembling and setting up fixed audio/video comp</w:t>
            </w:r>
            <w:r w:rsidRPr="00AA26F4">
              <w:t xml:space="preserve">onents and systems in buildings and premises. </w:t>
            </w:r>
          </w:p>
          <w:p w:rsidR="00000000" w:rsidRPr="00AA26F4" w:rsidP="00AA26F4">
            <w:pPr>
              <w:pStyle w:val="BodyText"/>
            </w:pPr>
            <w:r w:rsidRPr="00AA26F4">
              <w:t>All knowledge and skills detailed in this unit should be contextualised to current industry practices and technologies.</w:t>
            </w:r>
          </w:p>
          <w:p w:rsidR="00000000" w:rsidRPr="00AA26F4" w:rsidP="00AA26F4">
            <w:pPr>
              <w:pStyle w:val="BodyText"/>
            </w:pPr>
            <w:r w:rsidRPr="00AA26F4">
              <w:rPr>
                <w:rStyle w:val="SpecialBold"/>
              </w:rPr>
              <w:t xml:space="preserve">KS01-EA106A </w:t>
            </w:r>
            <w:r w:rsidRPr="00AA26F4">
              <w:rPr>
                <w:rStyle w:val="SpecialBold"/>
              </w:rPr>
              <w:tab/>
              <w:t xml:space="preserve">               Video/audio components and system assembly</w:t>
            </w:r>
          </w:p>
          <w:p w:rsidR="00000000" w:rsidRPr="00AA26F4" w:rsidP="00AA26F4">
            <w:pPr>
              <w:pStyle w:val="BodyText"/>
            </w:pPr>
            <w:r w:rsidRPr="00AA26F4">
              <w:t>Evidence shall sho</w:t>
            </w:r>
            <w:r w:rsidRPr="00AA26F4">
              <w:t>w an understanding of video/audio components and system assembly and setting up in building and premises, applying safe working practices and relevant Standards, Codes and Regulations to an extent indicated by the following aspects:</w:t>
            </w:r>
          </w:p>
          <w:p w:rsidR="00000000" w:rsidRPr="00AA26F4" w:rsidP="00AA26F4">
            <w:pPr>
              <w:pStyle w:val="BodyText"/>
            </w:pPr>
            <w:r w:rsidRPr="00AA26F4">
              <w:t>T1.</w:t>
            </w:r>
            <w:r w:rsidRPr="00AA26F4">
              <w:tab/>
              <w:t xml:space="preserve">Sound reproduction </w:t>
            </w:r>
            <w:r w:rsidRPr="00AA26F4">
              <w:t>fundamentals</w:t>
            </w:r>
          </w:p>
          <w:p w:rsidR="00000000" w:rsidRPr="00AA26F4" w:rsidP="00AA26F4">
            <w:pPr>
              <w:pStyle w:val="ListBullet"/>
            </w:pPr>
            <w:r w:rsidRPr="00AA26F4">
              <w:t xml:space="preserve">Sound wave propagation </w:t>
            </w:r>
          </w:p>
          <w:p w:rsidR="00000000" w:rsidRPr="00AA26F4" w:rsidP="00AA26F4">
            <w:pPr>
              <w:pStyle w:val="ListBullet"/>
            </w:pPr>
            <w:r w:rsidRPr="00AA26F4">
              <w:t>Timbre of sound</w:t>
            </w:r>
          </w:p>
          <w:p w:rsidR="00000000" w:rsidRPr="00AA26F4" w:rsidP="00AA26F4">
            <w:pPr>
              <w:pStyle w:val="ListBullet"/>
            </w:pPr>
            <w:r w:rsidRPr="00AA26F4">
              <w:t xml:space="preserve"> Effects of other medium of sound waves</w:t>
            </w:r>
          </w:p>
          <w:p w:rsidR="00000000" w:rsidRPr="00AA26F4" w:rsidP="00AA26F4">
            <w:pPr>
              <w:pStyle w:val="ListBullet"/>
            </w:pPr>
            <w:r w:rsidRPr="00AA26F4">
              <w:t>Characteristics of the human ear</w:t>
            </w:r>
          </w:p>
          <w:p w:rsidR="00000000" w:rsidRPr="00AA26F4" w:rsidP="00AA26F4">
            <w:pPr>
              <w:pStyle w:val="ListBullet"/>
            </w:pPr>
            <w:r w:rsidRPr="00AA26F4">
              <w:t>Difference between mono and stereo</w:t>
            </w:r>
          </w:p>
          <w:p w:rsidR="00000000" w:rsidRPr="00AA26F4" w:rsidP="00AA26F4">
            <w:pPr>
              <w:pStyle w:val="ListBullet"/>
            </w:pPr>
            <w:r w:rsidRPr="00AA26F4">
              <w:t>Surround sound principles</w:t>
            </w:r>
          </w:p>
          <w:p w:rsidR="00000000" w:rsidRPr="00AA26F4" w:rsidP="00AA26F4">
            <w:pPr>
              <w:pStyle w:val="BodyText"/>
            </w:pPr>
            <w:r w:rsidRPr="00AA26F4">
              <w:t>T2.</w:t>
            </w:r>
            <w:r w:rsidRPr="00AA26F4">
              <w:tab/>
              <w:t>Audio reproduction, electronic components</w:t>
            </w:r>
          </w:p>
          <w:p w:rsidR="00000000" w:rsidRPr="00AA26F4" w:rsidP="00AA26F4">
            <w:pPr>
              <w:pStyle w:val="ListBullet"/>
            </w:pPr>
            <w:r w:rsidRPr="00AA26F4">
              <w:t>Preamplifiers amplifier encompassing:</w:t>
            </w:r>
          </w:p>
          <w:p w:rsidR="00000000" w:rsidRPr="00AA26F4" w:rsidP="00AA26F4">
            <w:pPr>
              <w:pStyle w:val="ListBullet2"/>
            </w:pPr>
            <w:r w:rsidRPr="00AA26F4">
              <w:t>Function in the reproduction chain</w:t>
            </w:r>
          </w:p>
          <w:p w:rsidR="00000000" w:rsidRPr="00AA26F4" w:rsidP="00AA26F4">
            <w:pPr>
              <w:pStyle w:val="ListBullet2"/>
            </w:pPr>
            <w:r w:rsidRPr="00AA26F4">
              <w:t>Typical circuit arrangements</w:t>
            </w:r>
          </w:p>
          <w:p w:rsidR="00000000" w:rsidRPr="00AA26F4" w:rsidP="00AA26F4">
            <w:pPr>
              <w:pStyle w:val="ListBullet"/>
            </w:pPr>
            <w:r w:rsidRPr="00AA26F4">
              <w:t>Power and integrated amplifiers encompassing:</w:t>
            </w:r>
          </w:p>
          <w:p w:rsidR="00000000" w:rsidRPr="00AA26F4" w:rsidP="00AA26F4">
            <w:pPr>
              <w:pStyle w:val="ListBullet2"/>
            </w:pPr>
            <w:r w:rsidRPr="00AA26F4">
              <w:t>Function in the reproduction chain</w:t>
            </w:r>
          </w:p>
          <w:p w:rsidR="00000000" w:rsidRPr="00AA26F4" w:rsidP="00AA26F4">
            <w:pPr>
              <w:pStyle w:val="ListBullet2"/>
            </w:pPr>
            <w:r w:rsidRPr="00AA26F4">
              <w:t>Typical circuit arrangements</w:t>
            </w:r>
          </w:p>
          <w:p w:rsidR="00000000" w:rsidRPr="00AA26F4" w:rsidP="00AA26F4">
            <w:pPr>
              <w:pStyle w:val="ListBullet"/>
            </w:pPr>
            <w:r w:rsidRPr="00AA26F4">
              <w:t>Graphic equalizers encompassing:</w:t>
            </w:r>
          </w:p>
          <w:p w:rsidR="00000000" w:rsidRPr="00AA26F4" w:rsidP="00AA26F4">
            <w:pPr>
              <w:pStyle w:val="ListBullet2"/>
            </w:pPr>
            <w:r w:rsidRPr="00AA26F4">
              <w:t>Functi</w:t>
            </w:r>
            <w:r w:rsidRPr="00AA26F4">
              <w:t>on in the reproduction chain</w:t>
            </w:r>
          </w:p>
          <w:p w:rsidR="00000000" w:rsidRPr="00AA26F4" w:rsidP="00AA26F4">
            <w:pPr>
              <w:pStyle w:val="ListBullet2"/>
            </w:pPr>
            <w:r w:rsidRPr="00AA26F4">
              <w:t>Typical circuit arrangements</w:t>
            </w:r>
          </w:p>
          <w:p w:rsidR="00000000" w:rsidRPr="00AA26F4" w:rsidP="00AA26F4">
            <w:pPr>
              <w:pStyle w:val="ListBullet"/>
            </w:pPr>
            <w:r w:rsidRPr="00AA26F4">
              <w:t>Component installation and interconnections</w:t>
            </w:r>
          </w:p>
          <w:p w:rsidR="00000000" w:rsidRPr="00AA26F4" w:rsidP="00AA26F4">
            <w:pPr>
              <w:pStyle w:val="BodyText"/>
            </w:pPr>
            <w:r w:rsidRPr="00AA26F4">
              <w:t>T3.</w:t>
            </w:r>
            <w:r w:rsidRPr="00AA26F4">
              <w:tab/>
              <w:t>Audio reproduction, speaker fundamentals</w:t>
            </w:r>
          </w:p>
          <w:p w:rsidR="00000000" w:rsidRPr="00AA26F4" w:rsidP="00AA26F4">
            <w:pPr>
              <w:pStyle w:val="ListBullet"/>
            </w:pPr>
            <w:r w:rsidRPr="00AA26F4">
              <w:t>Types of speaker drives and their operating mechanism</w:t>
            </w:r>
          </w:p>
          <w:p w:rsidR="00000000" w:rsidRPr="00AA26F4" w:rsidP="00AA26F4">
            <w:pPr>
              <w:pStyle w:val="ListBullet"/>
            </w:pPr>
            <w:r w:rsidRPr="00AA26F4">
              <w:t>Speaker cabinet characteristics</w:t>
            </w:r>
          </w:p>
          <w:p w:rsidR="00000000" w:rsidRPr="00AA26F4" w:rsidP="00AA26F4">
            <w:pPr>
              <w:pStyle w:val="ListBullet"/>
            </w:pPr>
            <w:r w:rsidRPr="00AA26F4">
              <w:t>Purpose and circuit arrangement of typical cross-over networks</w:t>
            </w:r>
          </w:p>
          <w:p w:rsidR="00000000" w:rsidRPr="00AA26F4" w:rsidP="00AA26F4">
            <w:pPr>
              <w:pStyle w:val="ListBullet"/>
            </w:pPr>
            <w:r w:rsidRPr="00AA26F4">
              <w:t>Speaker installation and connections</w:t>
            </w:r>
          </w:p>
          <w:p w:rsidR="00000000" w:rsidRPr="00AA26F4" w:rsidP="00AA26F4">
            <w:pPr>
              <w:pStyle w:val="BodyText"/>
            </w:pPr>
            <w:r w:rsidRPr="00AA26F4">
              <w:t>T4.</w:t>
            </w:r>
            <w:r w:rsidRPr="00AA26F4">
              <w:tab/>
              <w:t>Audio/video recording and replay components repair basics</w:t>
            </w:r>
          </w:p>
          <w:p w:rsidR="00000000" w:rsidRPr="00AA26F4" w:rsidP="00AA26F4">
            <w:pPr>
              <w:pStyle w:val="ListBullet"/>
            </w:pPr>
            <w:r w:rsidRPr="00AA26F4">
              <w:t>Sub-system components (i.e. functional blocks) and their operating parameters</w:t>
            </w:r>
          </w:p>
          <w:p w:rsidR="00000000" w:rsidRPr="00AA26F4" w:rsidP="00AA26F4">
            <w:pPr>
              <w:pStyle w:val="ListBullet"/>
            </w:pPr>
            <w:r w:rsidRPr="00AA26F4">
              <w:t xml:space="preserve">Common faults, </w:t>
            </w:r>
            <w:r w:rsidRPr="00AA26F4">
              <w:t>their symptoms and cause.</w:t>
            </w:r>
          </w:p>
          <w:p w:rsidR="00000000" w:rsidRPr="00AA26F4" w:rsidP="00AA26F4">
            <w:pPr>
              <w:pStyle w:val="ListBullet"/>
            </w:pPr>
            <w:r w:rsidRPr="00AA26F4">
              <w:t>Fault location procedures and testing points</w:t>
            </w:r>
          </w:p>
          <w:p w:rsidR="00000000" w:rsidRPr="00AA26F4" w:rsidP="00AA26F4">
            <w:pPr>
              <w:pStyle w:val="ListBullet"/>
            </w:pPr>
            <w:r w:rsidRPr="00AA26F4">
              <w:t>Device adjustments - audio/video recording and replay components are audio cassette player/recorders, compact disk players, video cassette player/recorder, digital versatile disk and su</w:t>
            </w:r>
            <w:r w:rsidRPr="00AA26F4">
              <w:t>per audio compact players.</w:t>
            </w:r>
          </w:p>
          <w:p w:rsidR="00000000" w:rsidRPr="00AA26F4" w:rsidP="00AA26F4">
            <w:pPr>
              <w:pStyle w:val="BodyText"/>
            </w:pPr>
            <w:r w:rsidRPr="00AA26F4">
              <w:t>T5.</w:t>
            </w:r>
            <w:r w:rsidRPr="00AA26F4">
              <w:tab/>
              <w:t>Audio/video control equipment</w:t>
            </w:r>
          </w:p>
          <w:p w:rsidR="00000000" w:rsidRPr="00AA26F4" w:rsidP="00AA26F4">
            <w:pPr>
              <w:pStyle w:val="ListBullet"/>
            </w:pPr>
            <w:r w:rsidRPr="00AA26F4">
              <w:t>Types of control devices and their operating principles</w:t>
            </w:r>
          </w:p>
          <w:p w:rsidR="00000000" w:rsidRPr="00AA26F4" w:rsidP="00AA26F4">
            <w:pPr>
              <w:pStyle w:val="ListBullet"/>
            </w:pPr>
            <w:r w:rsidRPr="00AA26F4">
              <w:t>Control equipment arrangement in an audio/video system</w:t>
            </w:r>
          </w:p>
          <w:p w:rsidR="00000000" w:rsidRPr="00AA26F4" w:rsidP="00AA26F4">
            <w:pPr>
              <w:pStyle w:val="BodyText"/>
            </w:pPr>
            <w:r w:rsidRPr="00AA26F4">
              <w:t>T6.</w:t>
            </w:r>
            <w:r w:rsidRPr="00AA26F4">
              <w:tab/>
              <w:t>Video systems installation</w:t>
            </w:r>
          </w:p>
          <w:p w:rsidR="00000000" w:rsidRPr="00AA26F4" w:rsidP="00AA26F4">
            <w:pPr>
              <w:pStyle w:val="ListBullet"/>
            </w:pPr>
            <w:r w:rsidRPr="00AA26F4">
              <w:t>Installation and set-up of digital TV reception equipment</w:t>
            </w:r>
          </w:p>
          <w:p w:rsidR="00000000" w:rsidRPr="00AA26F4" w:rsidP="00AA26F4">
            <w:pPr>
              <w:pStyle w:val="ListBullet"/>
            </w:pPr>
            <w:r w:rsidRPr="00AA26F4">
              <w:t>Installation and set-up of DVD machines</w:t>
            </w:r>
          </w:p>
          <w:p w:rsidR="00000000" w:rsidRPr="00AA26F4" w:rsidP="00AA26F4">
            <w:pPr>
              <w:pStyle w:val="ListBullet"/>
            </w:pPr>
            <w:r w:rsidRPr="00AA26F4">
              <w:t>Operating requirements of remote control units</w:t>
            </w:r>
          </w:p>
          <w:p w:rsidR="00000000" w:rsidRPr="00AA26F4" w:rsidP="00AA26F4">
            <w:pPr>
              <w:pStyle w:val="BodyText"/>
            </w:pPr>
            <w:r w:rsidRPr="00AA26F4">
              <w:t>T7.</w:t>
            </w:r>
            <w:r w:rsidRPr="00AA26F4">
              <w:tab/>
              <w:t>Electronic safe working practices</w:t>
            </w:r>
          </w:p>
          <w:p w:rsidR="00000000" w:rsidRPr="00AA26F4" w:rsidP="00AA26F4">
            <w:pPr>
              <w:pStyle w:val="ListBullet"/>
            </w:pPr>
            <w:r w:rsidRPr="00AA26F4">
              <w:t>Risk management and assessment of risk encompassing:</w:t>
            </w:r>
          </w:p>
          <w:p w:rsidR="00000000" w:rsidRPr="00AA26F4" w:rsidP="00AA26F4">
            <w:pPr>
              <w:pStyle w:val="ListBullet2"/>
            </w:pPr>
            <w:r w:rsidRPr="00AA26F4">
              <w:t>Principle and purp</w:t>
            </w:r>
            <w:r w:rsidRPr="00AA26F4">
              <w:t>ose of risk management, and</w:t>
            </w:r>
          </w:p>
          <w:p w:rsidR="00000000" w:rsidRPr="00AA26F4" w:rsidP="00AA26F4">
            <w:pPr>
              <w:pStyle w:val="ListBullet2"/>
            </w:pPr>
            <w:r w:rsidRPr="00AA26F4">
              <w:t>Processes for conducting a risk assessment</w:t>
            </w:r>
          </w:p>
          <w:p w:rsidR="00000000" w:rsidRPr="00AA26F4" w:rsidP="00AA26F4">
            <w:pPr>
              <w:pStyle w:val="ListBullet"/>
            </w:pPr>
            <w:r w:rsidRPr="00AA26F4">
              <w:t>Hazards associated with low-voltage, extra-low voltage and high-currents encompassing:</w:t>
            </w:r>
          </w:p>
          <w:p w:rsidR="00000000" w:rsidRPr="00AA26F4" w:rsidP="00AA26F4">
            <w:pPr>
              <w:pStyle w:val="ListBullet2"/>
            </w:pPr>
            <w:r w:rsidRPr="00AA26F4">
              <w:t xml:space="preserve">Parts of an electronic systems and equipment that operate at low-voltage and extra-low voltage, </w:t>
            </w:r>
          </w:p>
          <w:p w:rsidR="00000000" w:rsidRPr="00AA26F4" w:rsidP="00AA26F4">
            <w:pPr>
              <w:pStyle w:val="ListBullet2"/>
            </w:pPr>
            <w:r w:rsidRPr="00AA26F4">
              <w:t>Parts of an electronic systems and equipment where high-currents are likely.</w:t>
            </w:r>
          </w:p>
          <w:p w:rsidR="00000000" w:rsidRPr="00AA26F4" w:rsidP="00AA26F4">
            <w:pPr>
              <w:pStyle w:val="ListBullet"/>
            </w:pPr>
            <w:r w:rsidRPr="00AA26F4">
              <w:t>Risks and control measures associated with high-voltage encompassing:</w:t>
            </w:r>
          </w:p>
          <w:p w:rsidR="00000000" w:rsidRPr="00AA26F4" w:rsidP="00AA26F4">
            <w:pPr>
              <w:pStyle w:val="ListBullet2"/>
            </w:pPr>
            <w:r w:rsidRPr="00AA26F4">
              <w:t>Parts of an electronic systems and equipment that operate at high-voltage,</w:t>
            </w:r>
          </w:p>
          <w:p w:rsidR="00000000" w:rsidRPr="00AA26F4" w:rsidP="00AA26F4">
            <w:pPr>
              <w:pStyle w:val="ListBullet2"/>
            </w:pPr>
            <w:r w:rsidRPr="00AA26F4">
              <w:t>The terms used - ‘touch voltage</w:t>
            </w:r>
            <w:r w:rsidRPr="00AA26F4">
              <w:t>’, ‘step voltage’, ‘induced voltage’ and ‘creepage’ as they relate to the hazards of high-voltage, and</w:t>
            </w:r>
          </w:p>
          <w:p w:rsidR="00000000" w:rsidRPr="00AA26F4" w:rsidP="00AA26F4">
            <w:pPr>
              <w:pStyle w:val="ListBullet2"/>
            </w:pPr>
            <w:r w:rsidRPr="00AA26F4">
              <w:t>Control measures used for dealing with the hazards of high-voltage.</w:t>
            </w:r>
          </w:p>
          <w:p w:rsidR="00000000" w:rsidRPr="00AA26F4" w:rsidP="00AA26F4">
            <w:pPr>
              <w:pStyle w:val="ListBullet"/>
            </w:pPr>
            <w:r w:rsidRPr="00AA26F4">
              <w:t>Risks and control measures associated with low voltage encompassing:</w:t>
            </w:r>
          </w:p>
          <w:p w:rsidR="00000000" w:rsidRPr="00AA26F4" w:rsidP="00AA26F4">
            <w:pPr>
              <w:pStyle w:val="ListBullet2"/>
            </w:pPr>
            <w:r w:rsidRPr="00AA26F4">
              <w:t>Risks associat</w:t>
            </w:r>
            <w:r w:rsidRPr="00AA26F4">
              <w:t>ed with installation, fault finding, maintenance and repair.</w:t>
            </w:r>
          </w:p>
          <w:p w:rsidR="00000000" w:rsidRPr="00AA26F4" w:rsidP="00AA26F4">
            <w:pPr>
              <w:pStyle w:val="ListBullet2"/>
            </w:pPr>
            <w:r w:rsidRPr="00AA26F4">
              <w:t>Control measures before, while and after working on electronic systems or equipment</w:t>
            </w:r>
          </w:p>
          <w:p w:rsidR="00000000" w:rsidRPr="00AA26F4" w:rsidP="00AA26F4">
            <w:pPr>
              <w:pStyle w:val="ListBullet2"/>
            </w:pPr>
            <w:r w:rsidRPr="00AA26F4">
              <w:t>Isolation and tagging-off procedures.</w:t>
            </w:r>
          </w:p>
          <w:p w:rsidR="00000000" w:rsidRPr="00AA26F4" w:rsidP="00AA26F4">
            <w:pPr>
              <w:pStyle w:val="ListBullet2"/>
            </w:pPr>
            <w:r w:rsidRPr="00AA26F4">
              <w:t>Risks and restrictions in working live.</w:t>
            </w:r>
          </w:p>
          <w:p w:rsidR="00000000" w:rsidRPr="00AA26F4" w:rsidP="00AA26F4">
            <w:pPr>
              <w:pStyle w:val="ListBullet2"/>
            </w:pPr>
            <w:r w:rsidRPr="00AA26F4">
              <w:t>Control measures for working live</w:t>
            </w:r>
            <w:r w:rsidRPr="00AA26F4">
              <w:t>.</w:t>
            </w:r>
          </w:p>
          <w:p w:rsidR="00000000" w:rsidRPr="00AA26F4" w:rsidP="00AA26F4">
            <w:pPr>
              <w:pStyle w:val="ListBullet"/>
            </w:pPr>
            <w:r w:rsidRPr="00AA26F4">
              <w:t>Safety, selection, use, maintenance and care of test equipment encompassing:</w:t>
            </w:r>
          </w:p>
          <w:p w:rsidR="00000000" w:rsidRPr="00AA26F4" w:rsidP="00AA26F4">
            <w:pPr>
              <w:pStyle w:val="ListBullet2"/>
            </w:pPr>
            <w:r w:rsidRPr="00AA26F4">
              <w:t>Safety characteristics of electrical testing devices,</w:t>
            </w:r>
          </w:p>
          <w:p w:rsidR="00000000" w:rsidRPr="00AA26F4" w:rsidP="00AA26F4">
            <w:pPr>
              <w:pStyle w:val="ListBullet2"/>
            </w:pPr>
            <w:r w:rsidRPr="00AA26F4">
              <w:t>Chemical cleaning solvents, glues and joining wastes used in electronics,</w:t>
            </w:r>
          </w:p>
          <w:p w:rsidR="00000000" w:rsidRPr="00AA26F4" w:rsidP="00AA26F4">
            <w:pPr>
              <w:pStyle w:val="ListBullet2"/>
            </w:pPr>
            <w:r w:rsidRPr="00AA26F4">
              <w:t>Safe use of electrical testing device, and</w:t>
            </w:r>
          </w:p>
          <w:p w:rsidR="00000000" w:rsidRPr="00AA26F4" w:rsidP="00AA26F4">
            <w:pPr>
              <w:pStyle w:val="ListBullet2"/>
            </w:pPr>
            <w:r w:rsidRPr="00AA26F4">
              <w:t>Checks and storage methods for maintaining the safety of testing devices.</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10" w:name="O_586823"/>
      <w:bookmarkEnd w:id="10"/>
      <w:r w:rsidRPr="00AA26F4">
        <w:t>Evidence Guide</w:t>
      </w:r>
    </w:p>
    <w:tbl>
      <w:tblPr>
        <w:tblW w:w="0" w:type="auto"/>
        <w:tblLayout w:type="fixed"/>
        <w:tblCellMar>
          <w:left w:w="62" w:type="dxa"/>
          <w:right w:w="62" w:type="dxa"/>
        </w:tblCellMar>
        <w:tblLook w:val="0000"/>
      </w:tblPr>
      <w:tblGrid>
        <w:gridCol w:w="8460"/>
      </w:tblGrid>
      <w:tr w:rsidTr="003630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EVIDENCE GUIDE</w:t>
            </w:r>
          </w:p>
        </w:tc>
      </w:tr>
      <w:tr w:rsidTr="003630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9)</w:t>
            </w:r>
            <w:r w:rsidRPr="00AA26F4">
              <w:t xml:space="preserve"> The evidence guide provides advice on assessment and must be read in conjunction with the Performance </w:t>
            </w:r>
            <w:r w:rsidRPr="00AA26F4">
              <w:t>Criteria, Required Skills and Knowledge, the Range Statement and the Assessment Guidelines for this Training Package. .</w:t>
            </w:r>
          </w:p>
          <w:p w:rsidR="00000000" w:rsidRPr="00AA26F4" w:rsidP="00AA26F4">
            <w:pPr>
              <w:pStyle w:val="BodyText"/>
            </w:pPr>
            <w:r w:rsidRPr="00AA26F4">
              <w:t>The Evidence Guide forms an integral part of this unit. It must be used in conjunction with all parts of the unit and performed in accor</w:t>
            </w:r>
            <w:r w:rsidRPr="00AA26F4">
              <w:t>dance with the Assessment Guidelines of this Training Package.</w:t>
            </w:r>
          </w:p>
        </w:tc>
      </w:tr>
    </w:tbl>
    <w:p w:rsidR="00000000" w:rsidRPr="00AA26F4" w:rsidP="00AA26F4">
      <w:pPr>
        <w:pStyle w:val="BodyText"/>
      </w:pPr>
    </w:p>
    <w:tbl>
      <w:tblPr>
        <w:tblW w:w="0" w:type="auto"/>
        <w:tblLayout w:type="fixed"/>
        <w:tblCellMar>
          <w:left w:w="62" w:type="dxa"/>
          <w:right w:w="62" w:type="dxa"/>
        </w:tblCellMar>
        <w:tblLook w:val="0000"/>
      </w:tblPr>
      <w:tblGrid>
        <w:gridCol w:w="1890"/>
        <w:gridCol w:w="6570"/>
      </w:tblGrid>
      <w:tr w:rsidTr="003630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9.1)</w:t>
            </w:r>
          </w:p>
        </w:tc>
      </w:tr>
      <w:tr w:rsidTr="003630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 xml:space="preserve">Longitudinal competency development approaches to assessment, such as Profiling, require data to be reliably gathered in a form that can be </w:t>
            </w:r>
            <w:r w:rsidRPr="00AA26F4">
              <w:t>consistently interpreted over time. This approach is best utilised in Apprenticeship programs and reduces assessment intervention. It is the Industry-preferred model for apprenticeships. However, where summative (or final) assessment is used it must includ</w:t>
            </w:r>
            <w:r w:rsidRPr="00AA26F4">
              <w:t>e the application of the competency in the normal work environment or, at a minimum, the application of the competency in a realistically simulated work environment. It is recognised that, in some circumstances, assessment in part or full can occur outside</w:t>
            </w:r>
            <w:r w:rsidRPr="00AA26F4">
              <w:t xml:space="preserve"> the workplace. However, it must be in accord with industry and regulatory policy.</w:t>
            </w:r>
          </w:p>
          <w:p w:rsidR="00000000" w:rsidRPr="00AA26F4" w:rsidP="00AA26F4">
            <w:pPr>
              <w:pStyle w:val="BodyText"/>
            </w:pPr>
            <w:r w:rsidRPr="00AA26F4">
              <w:t>Methods chosen for a particular assessment will be influenced by various factors. These include the extent of the assessment, the most effective locations for the assessment</w:t>
            </w:r>
            <w:r w:rsidRPr="00AA26F4">
              <w:t xml:space="preserve"> activities to take place, access to physical resources, additional safety measures that may be required and the critical nature of the competencies being assessed.</w:t>
            </w:r>
          </w:p>
          <w:p w:rsidR="00000000" w:rsidRPr="00AA26F4" w:rsidP="00AA26F4">
            <w:pPr>
              <w:pStyle w:val="BodyText"/>
            </w:pPr>
            <w:r w:rsidRPr="00AA26F4">
              <w:t>The critical safety nature of working with electricity, electrical equipment, gas or any ot</w:t>
            </w:r>
            <w:r w:rsidRPr="00AA26F4">
              <w:t>her hazardous substance/material carries risk in deeming a person competent. Sources of evidence need to be ‘rich’ in nature to minimise error in judgment.</w:t>
            </w:r>
          </w:p>
          <w:p w:rsidR="00000000" w:rsidRPr="00AA26F4" w:rsidP="00AA26F4">
            <w:pPr>
              <w:pStyle w:val="BodyText"/>
            </w:pPr>
            <w:r w:rsidRPr="00AA26F4">
              <w:t>Activities associated with normal everyday work influence decisions about how/how much the data gath</w:t>
            </w:r>
            <w:r w:rsidRPr="00AA26F4">
              <w:t>ered will contribute to its ‘richness’. Some skills are more critical to safety and operational requirements while the same skills may be more or less frequently practised. These points are raised for the assessors to consider when choosing an assessment m</w:t>
            </w:r>
            <w:r w:rsidRPr="00AA26F4">
              <w:t>ethod and developing assessment instruments. Sample assessment instruments are included for Assessors in the Assessment Guidelines of this Training Package.</w:t>
            </w:r>
          </w:p>
        </w:tc>
      </w:tr>
    </w:tbl>
    <w:p w:rsidR="00000000" w:rsidRPr="00AA26F4" w:rsidP="00AA26F4">
      <w:pPr>
        <w:pStyle w:val="BodyText"/>
      </w:pPr>
    </w:p>
    <w:tbl>
      <w:tblPr>
        <w:tblW w:w="0" w:type="auto"/>
        <w:tblLayout w:type="fixed"/>
        <w:tblCellMar>
          <w:left w:w="62" w:type="dxa"/>
          <w:right w:w="62" w:type="dxa"/>
        </w:tblCellMar>
        <w:tblLook w:val="0000"/>
      </w:tblPr>
      <w:tblGrid>
        <w:gridCol w:w="1890"/>
        <w:gridCol w:w="6570"/>
      </w:tblGrid>
      <w:tr w:rsidTr="003630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9.2)</w:t>
            </w:r>
          </w:p>
        </w:tc>
      </w:tr>
      <w:tr w:rsidTr="00363017">
        <w:tblPrEx>
          <w:tblW w:w="0" w:type="auto"/>
          <w:tblLayout w:type="fixed"/>
          <w:tblCellMar>
            <w:left w:w="62" w:type="dxa"/>
            <w:right w:w="62" w:type="dxa"/>
          </w:tblCellMar>
          <w:tblLook w:val="0000"/>
        </w:tblPrEx>
        <w:trPr>
          <w:trHeight w:val="725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Before the cr</w:t>
            </w:r>
            <w:r w:rsidRPr="00AA26F4">
              <w:t>itical aspects of evidence are considered all prerequisites shall be met.</w:t>
            </w:r>
          </w:p>
          <w:p w:rsidR="00000000" w:rsidRPr="00AA26F4" w:rsidP="00AA26F4">
            <w:pPr>
              <w:pStyle w:val="BodyText"/>
            </w:pPr>
            <w:r w:rsidRPr="00AA26F4">
              <w:t>Evidence for competence in this unit shall be considered holistically.  Each Element and associated performance criteria shall be demonstrated on at least two occasions in accordance</w:t>
            </w:r>
            <w:r w:rsidRPr="00AA26F4">
              <w:t xml:space="preserve"> with the ‘Assessment Guidelines – UEE11’.  Evidence shall also comprise:</w:t>
            </w:r>
          </w:p>
          <w:p w:rsidR="00000000" w:rsidRPr="00AA26F4" w:rsidP="00AA26F4">
            <w:pPr>
              <w:pStyle w:val="ListBullet"/>
            </w:pPr>
            <w:r w:rsidRPr="00AA26F4">
              <w:t>A representative body of work performance demonstrated within the timeframes typically expected of the discipline, work function and industrial environment. In particular this shall</w:t>
            </w:r>
            <w:r w:rsidRPr="00AA26F4">
              <w:t xml:space="preserve"> incorporate evidence that shows a candidate is able to:</w:t>
            </w:r>
          </w:p>
          <w:p w:rsidR="00000000" w:rsidRPr="00AA26F4" w:rsidP="00AA26F4">
            <w:pPr>
              <w:pStyle w:val="ListBullet2"/>
            </w:pPr>
            <w:r w:rsidRPr="00AA26F4">
              <w:t>Implement Occupational Health and Safety workplace procedures and practices, including the use of risk control measures as specified in the performance criteria and range statement</w:t>
            </w:r>
          </w:p>
          <w:p w:rsidR="00000000" w:rsidRPr="00AA26F4" w:rsidP="00AA26F4">
            <w:pPr>
              <w:pStyle w:val="ListBullet2"/>
            </w:pPr>
            <w:r w:rsidRPr="00AA26F4">
              <w:t>Apply sustainable energy principles and practices as specified in the performance criteria and range statement</w:t>
            </w:r>
          </w:p>
          <w:p w:rsidR="00000000" w:rsidRPr="00AA26F4" w:rsidP="00AA26F4">
            <w:pPr>
              <w:pStyle w:val="ListBullet2"/>
            </w:pPr>
            <w:r w:rsidRPr="00AA26F4">
              <w:t>Demonstrate an understanding of the essential knowledge and associated skills as described in this unit.  It may be required by some jurisdiction</w:t>
            </w:r>
            <w:r w:rsidRPr="00AA26F4">
              <w:t>s that RTOs provide a percentile graded result for the purpose of regulatory or licensing requirements.</w:t>
            </w:r>
          </w:p>
          <w:p w:rsidR="00000000" w:rsidRPr="00AA26F4" w:rsidP="00AA26F4">
            <w:pPr>
              <w:pStyle w:val="ListBullet2"/>
            </w:pPr>
            <w:r w:rsidRPr="00AA26F4">
              <w:t>Demonstrate an appropriate level of skills enabling employment</w:t>
            </w:r>
          </w:p>
          <w:p w:rsidR="00000000" w:rsidRPr="00AA26F4" w:rsidP="00AA26F4">
            <w:pPr>
              <w:pStyle w:val="ListBullet2"/>
            </w:pPr>
            <w:r w:rsidRPr="00AA26F4">
              <w:t>Conduct work observing the relevant Anti Discrimination legislation, regulations, polices</w:t>
            </w:r>
            <w:r w:rsidRPr="00AA26F4">
              <w:t xml:space="preserve"> and workplace procedures</w:t>
            </w:r>
          </w:p>
          <w:p w:rsidR="00000000" w:rsidRPr="00AA26F4" w:rsidP="00AA26F4">
            <w:pPr>
              <w:pStyle w:val="ListBullet"/>
            </w:pPr>
            <w:r w:rsidRPr="00AA26F4">
              <w:t>Demonstrated consistent performance across a representative range of contexts from the prescribed items below:</w:t>
            </w:r>
          </w:p>
          <w:p w:rsidR="00000000" w:rsidRPr="00AA26F4" w:rsidP="00AA26F4">
            <w:pPr>
              <w:pStyle w:val="ListBullet2"/>
            </w:pPr>
            <w:r w:rsidRPr="00AA26F4">
              <w:t>Assemble and set up fixed audio/video components and systems in buildings and premises as described in 8) and includi</w:t>
            </w:r>
            <w:r w:rsidRPr="00AA26F4">
              <w:t>ng:</w:t>
            </w:r>
          </w:p>
          <w:p w:rsidR="00000000" w:rsidRPr="00AA26F4" w:rsidP="00AA26F4">
            <w:pPr>
              <w:pStyle w:val="BodyText"/>
            </w:pPr>
            <w:r w:rsidRPr="00AA26F4">
              <w:t>A</w:t>
            </w:r>
            <w:r w:rsidRPr="00AA26F4">
              <w:tab/>
              <w:t>Reading and interpreting drawings of circuit arrangements and component locations.</w:t>
            </w:r>
          </w:p>
          <w:p w:rsidR="00000000" w:rsidRPr="00AA26F4" w:rsidP="00AA26F4">
            <w:pPr>
              <w:pStyle w:val="BodyText"/>
            </w:pPr>
            <w:r w:rsidRPr="00AA26F4">
              <w:t>B</w:t>
            </w:r>
            <w:r w:rsidRPr="00AA26F4">
              <w:tab/>
              <w:t>Placing and securing components and accessories accurately.</w:t>
            </w:r>
          </w:p>
          <w:p w:rsidR="00000000" w:rsidRPr="00AA26F4" w:rsidP="00AA26F4">
            <w:pPr>
              <w:pStyle w:val="BodyText"/>
            </w:pPr>
            <w:r w:rsidRPr="00AA26F4">
              <w:t>C</w:t>
            </w:r>
            <w:r w:rsidRPr="00AA26F4">
              <w:tab/>
              <w:t>Maintaining fire integrity.</w:t>
            </w:r>
          </w:p>
          <w:p w:rsidR="00000000" w:rsidRPr="00AA26F4" w:rsidP="00AA26F4">
            <w:pPr>
              <w:pStyle w:val="BodyText"/>
            </w:pPr>
            <w:r w:rsidRPr="00AA26F4">
              <w:t>D</w:t>
            </w:r>
            <w:r w:rsidRPr="00AA26F4">
              <w:tab/>
              <w:t>Terminating cable and conductors correctly.</w:t>
            </w:r>
          </w:p>
          <w:p w:rsidR="00000000" w:rsidRPr="00AA26F4" w:rsidP="00AA26F4">
            <w:pPr>
              <w:pStyle w:val="BodyText"/>
            </w:pPr>
            <w:r w:rsidRPr="00AA26F4">
              <w:t>E</w:t>
            </w:r>
            <w:r w:rsidRPr="00AA26F4">
              <w:tab/>
              <w:t>Connecting components to ma</w:t>
            </w:r>
            <w:r w:rsidRPr="00AA26F4">
              <w:t>nufacturer’s instructions.</w:t>
            </w:r>
          </w:p>
          <w:p w:rsidR="00000000" w:rsidRPr="00AA26F4" w:rsidP="00AA26F4">
            <w:pPr>
              <w:pStyle w:val="BodyText"/>
            </w:pPr>
            <w:r w:rsidRPr="00AA26F4">
              <w:t>F</w:t>
            </w:r>
            <w:r w:rsidRPr="00AA26F4">
              <w:tab/>
              <w:t>Setting functional controls to customer’s requirements.</w:t>
            </w:r>
          </w:p>
          <w:p w:rsidR="00000000" w:rsidRPr="00AA26F4" w:rsidP="00AA26F4">
            <w:pPr>
              <w:pStyle w:val="BodyText"/>
            </w:pPr>
            <w:r w:rsidRPr="00AA26F4">
              <w:t>G</w:t>
            </w:r>
            <w:r w:rsidRPr="00AA26F4">
              <w:tab/>
              <w:t>Testing functional operation.</w:t>
            </w:r>
          </w:p>
          <w:p w:rsidR="00000000" w:rsidRPr="00AA26F4" w:rsidP="00AA26F4">
            <w:pPr>
              <w:pStyle w:val="BodyText"/>
            </w:pPr>
            <w:r w:rsidRPr="00AA26F4">
              <w:t>H</w:t>
            </w:r>
            <w:r w:rsidRPr="00AA26F4">
              <w:tab/>
              <w:t>Completing necessary documentation including handing over all system/component documents to the customer.</w:t>
            </w:r>
          </w:p>
          <w:p w:rsidR="00000000" w:rsidRPr="00AA26F4" w:rsidP="00AA26F4">
            <w:pPr>
              <w:pStyle w:val="BodyText"/>
            </w:pPr>
            <w:r w:rsidRPr="00AA26F4">
              <w:t>I</w:t>
            </w:r>
            <w:r w:rsidRPr="00AA26F4">
              <w:tab/>
            </w:r>
            <w:r w:rsidRPr="00AA26F4">
              <w:t>Dealing with unplanned events by drawing on essential knowledge and skills to provide appropriate solutions incorporated in a holistic assessment with the above listed items.</w:t>
            </w:r>
          </w:p>
          <w:p w:rsidR="00000000" w:rsidRPr="00AA26F4" w:rsidP="00AA26F4">
            <w:pPr>
              <w:pStyle w:val="BodyText"/>
            </w:pPr>
            <w:r w:rsidRPr="00AA26F4">
              <w:t xml:space="preserve">Note: </w:t>
            </w:r>
          </w:p>
          <w:p w:rsidR="00000000" w:rsidRPr="00AA26F4" w:rsidP="00AA26F4">
            <w:pPr>
              <w:pStyle w:val="BodyText"/>
            </w:pPr>
            <w:r w:rsidRPr="00AA26F4">
              <w:t>Successful completion of relevant vendor training may be used to contribut</w:t>
            </w:r>
            <w:r w:rsidRPr="00AA26F4">
              <w:t>e to evidence on which competency is deemed. In these cases the alignment of outcomes of vendor training with performance criteria and critical aspects of evidence shall be clearly identified.</w:t>
            </w:r>
          </w:p>
        </w:tc>
      </w:tr>
    </w:tbl>
    <w:p w:rsidR="00000000" w:rsidRPr="00AA26F4" w:rsidP="00AA26F4">
      <w:pPr>
        <w:pStyle w:val="BodyText"/>
      </w:pPr>
    </w:p>
    <w:tbl>
      <w:tblPr>
        <w:tblW w:w="0" w:type="auto"/>
        <w:tblLayout w:type="fixed"/>
        <w:tblCellMar>
          <w:left w:w="62" w:type="dxa"/>
          <w:right w:w="62" w:type="dxa"/>
        </w:tblCellMar>
        <w:tblLook w:val="0000"/>
      </w:tblPr>
      <w:tblGrid>
        <w:gridCol w:w="1890"/>
        <w:gridCol w:w="6570"/>
      </w:tblGrid>
      <w:tr w:rsidTr="0036301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9.3)</w:t>
            </w:r>
          </w:p>
        </w:tc>
      </w:tr>
      <w:tr w:rsidTr="0036301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 xml:space="preserve">This </w:t>
            </w:r>
            <w:r w:rsidRPr="00AA26F4">
              <w:t>unit should be assessed as it relates to normal work practice using procedures, information and resources typical of a workplace. This should include:</w:t>
            </w:r>
          </w:p>
          <w:p w:rsidR="00000000" w:rsidRPr="00AA26F4" w:rsidP="00AA26F4">
            <w:pPr>
              <w:pStyle w:val="ListBullet"/>
            </w:pPr>
            <w:r w:rsidRPr="00AA26F4">
              <w:t>OHS policy and work procedures and instructions.</w:t>
            </w:r>
          </w:p>
          <w:p w:rsidR="00000000" w:rsidRPr="00AA26F4" w:rsidP="00AA26F4">
            <w:pPr>
              <w:pStyle w:val="ListBullet"/>
            </w:pPr>
            <w:r w:rsidRPr="00AA26F4">
              <w:t>Suitable work environment, facilities, equipment and materials to undertake actual work as prescribed by this unit.</w:t>
            </w:r>
          </w:p>
          <w:p w:rsidR="00000000" w:rsidRPr="00AA26F4" w:rsidP="00AA26F4">
            <w:pPr>
              <w:pStyle w:val="BodyText"/>
            </w:pPr>
            <w:r w:rsidRPr="00AA26F4">
              <w:t>These should be part of the formal learning/assessment environment.</w:t>
            </w:r>
          </w:p>
          <w:p w:rsidR="00000000" w:rsidRPr="00AA26F4" w:rsidP="00AA26F4">
            <w:pPr>
              <w:pStyle w:val="BodyText"/>
            </w:pPr>
            <w:r w:rsidRPr="00AA26F4">
              <w:t>Note:</w:t>
            </w:r>
          </w:p>
          <w:p w:rsidR="00000000" w:rsidRPr="00AA26F4" w:rsidP="00AA26F4">
            <w:pPr>
              <w:pStyle w:val="BodyText"/>
            </w:pPr>
            <w:r w:rsidRPr="00AA26F4">
              <w:t>Where simulation is considered a suitable strategy for assessment,</w:t>
            </w:r>
            <w:r w:rsidRPr="00AA26F4">
              <w:t xml:space="preserve"> conditions must be authentic and as far as possible reproduce and replicate the workplace and be consistent with the approved industry simulation policy.</w:t>
            </w:r>
          </w:p>
          <w:p w:rsidR="00000000" w:rsidRPr="00AA26F4" w:rsidP="00AA26F4">
            <w:pPr>
              <w:pStyle w:val="BodyText"/>
            </w:pPr>
            <w:r w:rsidRPr="00AA26F4">
              <w:t>The resources used for assessment should reflect current industry practices in relation to assembling</w:t>
            </w:r>
            <w:r w:rsidRPr="00AA26F4">
              <w:t xml:space="preserve"> and setting up fixed audio/video components and systems in buildings and premises.</w:t>
            </w:r>
          </w:p>
        </w:tc>
      </w:tr>
    </w:tbl>
    <w:p w:rsidR="00000000" w:rsidRPr="00AA26F4" w:rsidP="00AA26F4">
      <w:pPr>
        <w:pStyle w:val="BodyText"/>
      </w:pPr>
    </w:p>
    <w:tbl>
      <w:tblPr>
        <w:tblW w:w="0" w:type="auto"/>
        <w:tblLayout w:type="fixed"/>
        <w:tblCellMar>
          <w:left w:w="62" w:type="dxa"/>
          <w:right w:w="62" w:type="dxa"/>
        </w:tblCellMar>
        <w:tblLook w:val="0000"/>
      </w:tblPr>
      <w:tblGrid>
        <w:gridCol w:w="1890"/>
        <w:gridCol w:w="6570"/>
      </w:tblGrid>
      <w:tr w:rsidTr="003630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9.4)</w:t>
            </w:r>
          </w:p>
        </w:tc>
      </w:tr>
      <w:tr w:rsidTr="003630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This unit shall be assessed by methods given in Volume 1, Part 3 ‘Assessment Guidelines’.</w:t>
            </w:r>
          </w:p>
          <w:p w:rsidR="00000000" w:rsidRPr="00AA26F4" w:rsidP="00AA26F4">
            <w:pPr>
              <w:pStyle w:val="BodyText"/>
            </w:pPr>
            <w:r w:rsidRPr="00AA26F4">
              <w:t xml:space="preserve">Note: </w:t>
            </w:r>
          </w:p>
          <w:p w:rsidR="00000000" w:rsidRPr="00AA26F4" w:rsidP="00AA26F4">
            <w:pPr>
              <w:pStyle w:val="BodyText"/>
            </w:pPr>
            <w:r w:rsidRPr="00AA26F4">
              <w:t>Competent performance with inherent safe working practices is expected in the industry to which this unit applies. This requires that the specified essential knowledge and associated skills are assessed in a structured environment which is primarily intend</w:t>
            </w:r>
            <w:r w:rsidRPr="00AA26F4">
              <w:t>ed for learning/assessment and incorporates all necessary equipment and facilities for learners to develop and demonstrate the essential knowledge and skills described in this unit.</w:t>
            </w:r>
          </w:p>
        </w:tc>
      </w:tr>
    </w:tbl>
    <w:p w:rsidR="00000000" w:rsidRPr="00AA26F4" w:rsidP="00AA26F4">
      <w:pPr>
        <w:pStyle w:val="BodyText"/>
      </w:pPr>
    </w:p>
    <w:tbl>
      <w:tblPr>
        <w:tblW w:w="0" w:type="auto"/>
        <w:tblLayout w:type="fixed"/>
        <w:tblCellMar>
          <w:left w:w="62" w:type="dxa"/>
          <w:right w:w="62" w:type="dxa"/>
        </w:tblCellMar>
        <w:tblLook w:val="0000"/>
      </w:tblPr>
      <w:tblGrid>
        <w:gridCol w:w="1890"/>
        <w:gridCol w:w="6570"/>
      </w:tblGrid>
      <w:tr w:rsidTr="003630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9.5)</w:t>
            </w:r>
          </w:p>
        </w:tc>
      </w:tr>
      <w:tr w:rsidTr="003630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For optim</w:t>
            </w:r>
            <w:r w:rsidRPr="00AA26F4">
              <w:t>isation of training and assessment effort, competency development in this unit may be arranged concurrently with unit:</w:t>
            </w:r>
          </w:p>
          <w:p w:rsidR="00000000" w:rsidRPr="00AA26F4" w:rsidP="00AA26F4">
            <w:pPr>
              <w:pStyle w:val="BodyText"/>
            </w:pPr>
            <w:r w:rsidRPr="00AA26F4">
              <w:t>UEENEEE102A</w:t>
            </w:r>
            <w:r w:rsidRPr="00AA26F4">
              <w:tab/>
              <w:t xml:space="preserve">Fabricate, assemble and dismantle utilities industry components </w:t>
            </w:r>
          </w:p>
          <w:p w:rsidR="00000000" w:rsidRPr="00AA26F4" w:rsidP="00AA26F4">
            <w:pPr>
              <w:pStyle w:val="BodyText"/>
            </w:pPr>
            <w:r w:rsidRPr="00AA26F4">
              <w:t>UEENEEE105A</w:t>
            </w:r>
            <w:r w:rsidRPr="00AA26F4">
              <w:tab/>
              <w:t xml:space="preserve">Fix and secure electrotechnology equipment   </w:t>
            </w:r>
          </w:p>
          <w:p w:rsidR="00000000" w:rsidRPr="00AA26F4" w:rsidP="00AA26F4">
            <w:pPr>
              <w:pStyle w:val="BodyText"/>
            </w:pPr>
            <w:r w:rsidRPr="00AA26F4">
              <w:t>UE</w:t>
            </w:r>
            <w:r w:rsidRPr="00AA26F4">
              <w:t>ENEEE107A</w:t>
            </w:r>
            <w:r w:rsidRPr="00AA26F4">
              <w:tab/>
              <w:t xml:space="preserve">Use drawings, diagrams, schedules, standards, codes and specifications                                 </w:t>
            </w:r>
          </w:p>
          <w:p w:rsidR="00000000" w:rsidRPr="00AA26F4" w:rsidP="00AA26F4">
            <w:pPr>
              <w:pStyle w:val="BodyText"/>
            </w:pPr>
            <w:r w:rsidRPr="00AA26F4">
              <w:t>UEENEEE108A</w:t>
            </w:r>
            <w:r w:rsidRPr="00AA26F4">
              <w:tab/>
              <w:t>Lay wiring/cabling and terminate accessories for extra-low voltage (ELV) circuits</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11" w:name="O_586822"/>
      <w:bookmarkEnd w:id="11"/>
      <w:r w:rsidRPr="00AA26F4">
        <w:t>Range Statement</w:t>
      </w:r>
    </w:p>
    <w:tbl>
      <w:tblPr>
        <w:tblW w:w="0" w:type="auto"/>
        <w:tblLayout w:type="fixed"/>
        <w:tblCellMar>
          <w:left w:w="62" w:type="dxa"/>
          <w:right w:w="62" w:type="dxa"/>
        </w:tblCellMar>
        <w:tblLook w:val="0000"/>
      </w:tblPr>
      <w:tblGrid>
        <w:gridCol w:w="8460"/>
      </w:tblGrid>
      <w:tr w:rsidTr="003630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RANGE STATEME</w:t>
            </w:r>
            <w:r w:rsidRPr="00AA26F4">
              <w:rPr>
                <w:rStyle w:val="SpecialBold"/>
              </w:rPr>
              <w:t>NT</w:t>
            </w:r>
          </w:p>
        </w:tc>
      </w:tr>
      <w:tr w:rsidTr="003630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10)</w:t>
            </w:r>
            <w:r w:rsidRPr="00AA26F4">
              <w:t xml:space="preserve"> This relates to the unit as a whole providing the range of contexts and conditions to which the performance criteria apply. It allows for different work environments and situations that will affect performance.</w:t>
            </w:r>
          </w:p>
          <w:p w:rsidR="00000000" w:rsidRPr="00AA26F4" w:rsidP="00AA26F4">
            <w:pPr>
              <w:pStyle w:val="BodyText"/>
            </w:pPr>
            <w:r w:rsidRPr="00AA26F4">
              <w:t xml:space="preserve">This unit shall be demonstrated by assembling and setting up fixed audio/video systems in building and premises on at least two occasions. </w:t>
            </w:r>
          </w:p>
          <w:p w:rsidR="00000000" w:rsidRPr="00AA26F4" w:rsidP="00AA26F4">
            <w:pPr>
              <w:pStyle w:val="BodyText"/>
            </w:pPr>
            <w:r w:rsidRPr="00AA26F4">
              <w:t>Systems are to consist of surround sound and multi-room speakers, central audio and home theatre components.</w:t>
            </w:r>
          </w:p>
          <w:p w:rsidR="00000000" w:rsidRPr="00AA26F4" w:rsidP="00AA26F4">
            <w:pPr>
              <w:pStyle w:val="BodyText"/>
            </w:pPr>
            <w:r w:rsidRPr="00AA26F4">
              <w:t>Generic</w:t>
            </w:r>
            <w:r w:rsidRPr="00AA26F4">
              <w:t xml:space="preserve"> terms used throughout this Vocational Standard shall be regarded as part of the Range Statement in which competency is demonstrated. The definition of these and other terms that apply are given in Volume 2, Part 2.1.</w:t>
            </w:r>
          </w:p>
        </w:tc>
      </w:tr>
    </w:tbl>
    <w:p w:rsidR="00000000" w:rsidRPr="00AA26F4" w:rsidP="00AA26F4">
      <w:pPr>
        <w:pStyle w:val="BodyText"/>
      </w:pPr>
    </w:p>
    <w:p w:rsidR="00000000" w:rsidRPr="00AA26F4" w:rsidP="00AA26F4">
      <w:pPr>
        <w:pStyle w:val="AllowPageBreak"/>
      </w:pPr>
    </w:p>
    <w:p w:rsidR="00000000" w:rsidRPr="00AA26F4" w:rsidP="00AA26F4">
      <w:pPr>
        <w:pStyle w:val="Heading1"/>
      </w:pPr>
      <w:bookmarkStart w:id="12" w:name="O_586821"/>
      <w:bookmarkEnd w:id="12"/>
      <w:r w:rsidRPr="00AA26F4">
        <w:t>Unit Sector(s)</w:t>
      </w:r>
    </w:p>
    <w:p w:rsidR="00000000" w:rsidRPr="00AA26F4" w:rsidP="00AA26F4">
      <w:pPr>
        <w:pStyle w:val="BodyText"/>
      </w:pPr>
      <w:r w:rsidRPr="00AA26F4">
        <w:t xml:space="preserve">Not </w:t>
      </w:r>
      <w:r w:rsidRPr="00AA26F4">
        <w:t>applicable.</w:t>
      </w:r>
    </w:p>
    <w:p w:rsidR="00000000" w:rsidRPr="00AA26F4" w:rsidP="00AA26F4">
      <w:pPr>
        <w:pStyle w:val="AllowPageBreak"/>
      </w:pPr>
    </w:p>
    <w:p w:rsidR="00000000" w:rsidRPr="00AA26F4" w:rsidP="00AA26F4">
      <w:pPr>
        <w:pStyle w:val="Heading1"/>
      </w:pPr>
      <w:bookmarkStart w:id="13" w:name="O_586820"/>
      <w:bookmarkEnd w:id="13"/>
      <w:r w:rsidRPr="00AA26F4">
        <w:t>Competency Field</w:t>
      </w:r>
    </w:p>
    <w:tbl>
      <w:tblPr>
        <w:tblW w:w="0" w:type="auto"/>
        <w:tblLayout w:type="fixed"/>
        <w:tblCellMar>
          <w:left w:w="62" w:type="dxa"/>
          <w:right w:w="62" w:type="dxa"/>
        </w:tblCellMar>
        <w:tblLook w:val="0000"/>
      </w:tblPr>
      <w:tblGrid>
        <w:gridCol w:w="2700"/>
        <w:gridCol w:w="5760"/>
      </w:tblGrid>
      <w:tr w:rsidTr="00363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26F4">
            <w:pPr>
              <w:pStyle w:val="BodyText"/>
              <w:rPr>
                <w:lang w:val="en-NZ"/>
              </w:rPr>
            </w:pPr>
            <w:r w:rsidRPr="00AA26F4">
              <w:rPr>
                <w:rStyle w:val="SpecialBold"/>
              </w:rPr>
              <w:t xml:space="preserve">11) </w:t>
            </w:r>
          </w:p>
        </w:tc>
      </w:tr>
      <w:tr w:rsidTr="00363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26F4" w:rsidP="00AA26F4">
            <w:pPr>
              <w:pStyle w:val="BodyText"/>
            </w:pPr>
            <w:r w:rsidRPr="00AA26F4">
              <w:t>Electronics</w:t>
            </w:r>
          </w:p>
        </w:tc>
      </w:tr>
    </w:tbl>
    <w:p w:rsidR="00000000" w:rsidRPr="00AA26F4" w:rsidP="00AA26F4">
      <w:pPr>
        <w:pStyle w:val="BodyText"/>
      </w:pPr>
    </w:p>
    <w:p w:rsidR="00000000" w:rsidRPr="00AA26F4" w:rsidP="00AA26F4"/>
    <w:sectPr w:rsidSect="00AA26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4" w:rsidRPr="00363017" w:rsidP="00363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17" w:rsidP="00AA2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3017" w:rsidP="00AA26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63017" w:rsidP="00AA2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4" w:rsidRPr="00363017" w:rsidP="003630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17" w:rsidRPr="002D2AF8" w:rsidP="00AA26F4">
    <w:pPr>
      <w:pStyle w:val="Header"/>
      <w:framePr w:wrap="around"/>
    </w:pPr>
    <w:r>
      <w:fldChar w:fldCharType="begin"/>
    </w:r>
    <w:r>
      <w:instrText xml:space="preserve"> TITLE   \* MERGEFORMAT </w:instrText>
    </w:r>
    <w:r>
      <w:fldChar w:fldCharType="separate"/>
    </w:r>
    <w:r>
      <w:t>UEENEEH106A Assemble and set up fixed video/audio components and systems in buildings and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63017" w:rsidP="00AA2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BC4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C04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62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6F4"/>
    <w:pPr>
      <w:spacing w:before="360" w:after="60"/>
      <w:outlineLvl w:val="0"/>
    </w:pPr>
    <w:rPr>
      <w:sz w:val="32"/>
    </w:rPr>
  </w:style>
  <w:style w:type="paragraph" w:styleId="Heading2">
    <w:name w:val="heading 2"/>
    <w:basedOn w:val="HeadingBase"/>
    <w:next w:val="BodyText"/>
    <w:link w:val="Heading2Char"/>
    <w:qFormat/>
    <w:rsid w:val="00AA26F4"/>
    <w:pPr>
      <w:keepLines/>
      <w:spacing w:before="240" w:after="120"/>
      <w:outlineLvl w:val="1"/>
    </w:pPr>
    <w:rPr>
      <w:sz w:val="28"/>
      <w:szCs w:val="40"/>
    </w:rPr>
  </w:style>
  <w:style w:type="paragraph" w:styleId="Heading3">
    <w:name w:val="heading 3"/>
    <w:basedOn w:val="HeadingBase"/>
    <w:next w:val="BodyText"/>
    <w:link w:val="Heading3Char"/>
    <w:qFormat/>
    <w:rsid w:val="00AA26F4"/>
    <w:pPr>
      <w:spacing w:before="180" w:after="120"/>
      <w:outlineLvl w:val="2"/>
    </w:pPr>
    <w:rPr>
      <w:spacing w:val="-10"/>
      <w:kern w:val="32"/>
    </w:rPr>
  </w:style>
  <w:style w:type="paragraph" w:styleId="Heading4">
    <w:name w:val="heading 4"/>
    <w:basedOn w:val="HeadingBase"/>
    <w:next w:val="BodyText"/>
    <w:link w:val="Heading4Char"/>
    <w:qFormat/>
    <w:rsid w:val="00AA26F4"/>
    <w:pPr>
      <w:spacing w:before="160" w:after="120"/>
      <w:outlineLvl w:val="3"/>
    </w:pPr>
    <w:rPr>
      <w:sz w:val="22"/>
    </w:rPr>
  </w:style>
  <w:style w:type="paragraph" w:styleId="Heading5">
    <w:name w:val="heading 5"/>
    <w:basedOn w:val="HeadingBase"/>
    <w:next w:val="Normal"/>
    <w:link w:val="Heading5Char"/>
    <w:qFormat/>
    <w:rsid w:val="00AA26F4"/>
    <w:pPr>
      <w:spacing w:before="80"/>
      <w:outlineLvl w:val="4"/>
    </w:pPr>
    <w:rPr>
      <w:color w:val="918585"/>
      <w:sz w:val="20"/>
    </w:rPr>
  </w:style>
  <w:style w:type="paragraph" w:styleId="Heading6">
    <w:name w:val="heading 6"/>
    <w:basedOn w:val="HeadingBase"/>
    <w:next w:val="Normal"/>
    <w:link w:val="Heading6Char"/>
    <w:qFormat/>
    <w:rsid w:val="00AA26F4"/>
    <w:pPr>
      <w:spacing w:before="60"/>
      <w:outlineLvl w:val="5"/>
    </w:pPr>
    <w:rPr>
      <w:color w:val="918585"/>
      <w:sz w:val="20"/>
    </w:rPr>
  </w:style>
  <w:style w:type="paragraph" w:styleId="Heading7">
    <w:name w:val="heading 7"/>
    <w:basedOn w:val="Normal"/>
    <w:next w:val="Normal"/>
    <w:link w:val="Heading7Char"/>
    <w:qFormat/>
    <w:rsid w:val="00AA26F4"/>
    <w:pPr>
      <w:ind w:left="720"/>
      <w:outlineLvl w:val="6"/>
    </w:pPr>
    <w:rPr>
      <w:i/>
    </w:rPr>
  </w:style>
  <w:style w:type="paragraph" w:styleId="Heading8">
    <w:name w:val="heading 8"/>
    <w:basedOn w:val="Normal"/>
    <w:next w:val="Normal"/>
    <w:link w:val="Heading8Char"/>
    <w:qFormat/>
    <w:rsid w:val="00AA26F4"/>
    <w:pPr>
      <w:ind w:left="720"/>
      <w:outlineLvl w:val="7"/>
    </w:pPr>
    <w:rPr>
      <w:i/>
    </w:rPr>
  </w:style>
  <w:style w:type="paragraph" w:styleId="Heading9">
    <w:name w:val="heading 9"/>
    <w:basedOn w:val="Normal"/>
    <w:next w:val="Normal"/>
    <w:link w:val="Heading9Char"/>
    <w:qFormat/>
    <w:rsid w:val="00AA26F4"/>
    <w:pPr>
      <w:ind w:left="720"/>
      <w:outlineLvl w:val="8"/>
    </w:pPr>
    <w:rPr>
      <w:i/>
    </w:rPr>
  </w:style>
  <w:style w:type="character" w:default="1" w:styleId="DefaultParagraphFont">
    <w:name w:val="Default Paragraph Font"/>
    <w:uiPriority w:val="1"/>
    <w:unhideWhenUsed/>
    <w:rsid w:val="00AA2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6F4"/>
  </w:style>
  <w:style w:type="character" w:customStyle="1" w:styleId="Heading1Char">
    <w:name w:val="Heading 1 Char"/>
    <w:basedOn w:val="DefaultParagraphFont"/>
    <w:link w:val="Heading1"/>
    <w:rsid w:val="00AA26F4"/>
    <w:rPr>
      <w:rFonts w:ascii="Times New Roman" w:eastAsia="Times New Roman" w:hAnsi="Times New Roman" w:cs="Times New Roman"/>
      <w:b/>
      <w:sz w:val="32"/>
      <w:szCs w:val="20"/>
      <w:lang w:eastAsia="en-US"/>
    </w:rPr>
  </w:style>
  <w:style w:type="paragraph" w:styleId="BodyText">
    <w:name w:val="Body Text"/>
    <w:basedOn w:val="Normal"/>
    <w:link w:val="BodyTextChar"/>
    <w:rsid w:val="00AA26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6F4"/>
    <w:rPr>
      <w:rFonts w:ascii="Times New Roman" w:eastAsia="Times New Roman" w:hAnsi="Times New Roman" w:cs="Times New Roman"/>
      <w:sz w:val="24"/>
      <w:lang w:eastAsia="en-US"/>
    </w:rPr>
  </w:style>
  <w:style w:type="paragraph" w:styleId="ListBullet">
    <w:name w:val="List Bullet"/>
    <w:basedOn w:val="List"/>
    <w:rsid w:val="00AA26F4"/>
    <w:pPr>
      <w:numPr>
        <w:numId w:val="13"/>
      </w:numPr>
      <w:tabs>
        <w:tab w:val="clear" w:pos="340"/>
      </w:tabs>
      <w:spacing w:before="40" w:after="40"/>
    </w:pPr>
  </w:style>
  <w:style w:type="character" w:customStyle="1" w:styleId="SpecialBold">
    <w:name w:val="Special Bold"/>
    <w:basedOn w:val="DefaultParagraphFont"/>
    <w:rsid w:val="00AA26F4"/>
    <w:rPr>
      <w:b/>
      <w:spacing w:val="0"/>
    </w:rPr>
  </w:style>
  <w:style w:type="paragraph" w:styleId="ListBullet2">
    <w:name w:val="List Bullet 2"/>
    <w:basedOn w:val="List2"/>
    <w:rsid w:val="00AA26F4"/>
    <w:pPr>
      <w:numPr>
        <w:numId w:val="14"/>
      </w:numPr>
      <w:tabs>
        <w:tab w:val="clear" w:pos="680"/>
      </w:tabs>
    </w:pPr>
  </w:style>
  <w:style w:type="paragraph" w:customStyle="1" w:styleId="SuperHeading">
    <w:name w:val="SuperHeading"/>
    <w:basedOn w:val="Normal"/>
    <w:rsid w:val="00AA26F4"/>
    <w:pPr>
      <w:spacing w:before="240" w:after="120"/>
      <w:outlineLvl w:val="0"/>
    </w:pPr>
    <w:rPr>
      <w:rFonts w:ascii="Times New Roman" w:hAnsi="Times New Roman"/>
      <w:b/>
      <w:sz w:val="32"/>
    </w:rPr>
  </w:style>
  <w:style w:type="paragraph" w:customStyle="1" w:styleId="AllowPageBreak">
    <w:name w:val="AllowPageBreak"/>
    <w:rsid w:val="00AA26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6F4"/>
    <w:rPr>
      <w:rFonts w:ascii="Courier New" w:eastAsia="Times New Roman" w:hAnsi="Courier New" w:cs="Times New Roman"/>
      <w:i/>
      <w:szCs w:val="20"/>
      <w:lang w:eastAsia="en-US"/>
    </w:rPr>
  </w:style>
  <w:style w:type="paragraph" w:customStyle="1" w:styleId="HeadingBase">
    <w:name w:val="Heading Base"/>
    <w:rsid w:val="00AA2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6F4"/>
    <w:pPr>
      <w:tabs>
        <w:tab w:val="right" w:leader="dot" w:pos="9072"/>
      </w:tabs>
      <w:ind w:left="567"/>
    </w:pPr>
    <w:rPr>
      <w:szCs w:val="22"/>
    </w:rPr>
  </w:style>
  <w:style w:type="paragraph" w:customStyle="1" w:styleId="TOCBase">
    <w:name w:val="TOC Base"/>
    <w:rsid w:val="00AA2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6F4"/>
    <w:pPr>
      <w:tabs>
        <w:tab w:val="right" w:leader="dot" w:pos="9072"/>
      </w:tabs>
      <w:spacing w:before="40" w:after="40"/>
      <w:ind w:left="284"/>
    </w:pPr>
    <w:rPr>
      <w:rFonts w:ascii="Times New Roman" w:hAnsi="Times New Roman"/>
    </w:rPr>
  </w:style>
  <w:style w:type="paragraph" w:styleId="TOC1">
    <w:name w:val="toc 1"/>
    <w:basedOn w:val="TOCBase"/>
    <w:next w:val="Normal"/>
    <w:rsid w:val="00AA2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6F4"/>
    <w:rPr>
      <w:rFonts w:ascii="Times New Roman" w:eastAsia="Times New Roman" w:hAnsi="Times New Roman" w:cs="Times New Roman"/>
      <w:sz w:val="16"/>
      <w:lang w:eastAsia="en-US"/>
    </w:rPr>
  </w:style>
  <w:style w:type="paragraph" w:styleId="Title">
    <w:name w:val="Title"/>
    <w:basedOn w:val="HeadingBase"/>
    <w:link w:val="TitleChar"/>
    <w:qFormat/>
    <w:rsid w:val="00AA26F4"/>
    <w:pPr>
      <w:spacing w:before="5040"/>
      <w:jc w:val="center"/>
    </w:pPr>
    <w:rPr>
      <w:sz w:val="48"/>
      <w:szCs w:val="72"/>
      <w:lang w:val="en-US"/>
    </w:rPr>
  </w:style>
  <w:style w:type="character" w:customStyle="1" w:styleId="TitleChar">
    <w:name w:val="Title Char"/>
    <w:basedOn w:val="DefaultParagraphFont"/>
    <w:link w:val="Title"/>
    <w:rsid w:val="00AA2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6F4"/>
    <w:pPr>
      <w:tabs>
        <w:tab w:val="left" w:pos="3600"/>
        <w:tab w:val="left" w:pos="3958"/>
      </w:tabs>
    </w:pPr>
  </w:style>
  <w:style w:type="paragraph" w:styleId="List">
    <w:name w:val="List"/>
    <w:basedOn w:val="BodyText"/>
    <w:next w:val="BodyText"/>
    <w:rsid w:val="00AA26F4"/>
    <w:pPr>
      <w:tabs>
        <w:tab w:val="left" w:pos="340"/>
      </w:tabs>
      <w:spacing w:before="60" w:after="60"/>
      <w:ind w:left="340" w:hanging="340"/>
    </w:pPr>
  </w:style>
  <w:style w:type="paragraph" w:customStyle="1" w:styleId="Note">
    <w:name w:val="Note"/>
    <w:basedOn w:val="BodyText"/>
    <w:rsid w:val="00AA2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6F4"/>
    <w:pPr>
      <w:framePr w:wrap="auto" w:hAnchor="text" w:y="6049"/>
    </w:pPr>
    <w:rPr>
      <w:color w:val="000000"/>
      <w:sz w:val="40"/>
    </w:rPr>
  </w:style>
  <w:style w:type="paragraph" w:customStyle="1" w:styleId="TOCTitle">
    <w:name w:val="TOCTitle"/>
    <w:basedOn w:val="Heading1"/>
    <w:rsid w:val="00AA26F4"/>
    <w:pPr>
      <w:spacing w:after="240"/>
      <w:jc w:val="center"/>
      <w:outlineLvl w:val="9"/>
    </w:pPr>
    <w:rPr>
      <w:caps/>
    </w:rPr>
  </w:style>
  <w:style w:type="paragraph" w:customStyle="1" w:styleId="Version">
    <w:name w:val="Version"/>
    <w:rsid w:val="00AA26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6F4"/>
    <w:pPr>
      <w:keepNext w:val="0"/>
      <w:tabs>
        <w:tab w:val="right" w:pos="4176"/>
      </w:tabs>
      <w:ind w:left="198" w:hanging="198"/>
    </w:pPr>
    <w:rPr>
      <w:rFonts w:ascii="Garamond" w:hAnsi="Garamond"/>
    </w:rPr>
  </w:style>
  <w:style w:type="paragraph" w:styleId="IndexHeading">
    <w:name w:val="index heading"/>
    <w:basedOn w:val="Normal"/>
    <w:next w:val="Index1"/>
    <w:semiHidden/>
    <w:rsid w:val="00AA26F4"/>
    <w:pPr>
      <w:spacing w:before="120" w:after="120"/>
    </w:pPr>
    <w:rPr>
      <w:rFonts w:ascii="Arial" w:hAnsi="Arial"/>
      <w:b/>
      <w:color w:val="918585"/>
      <w:sz w:val="24"/>
    </w:rPr>
  </w:style>
  <w:style w:type="paragraph" w:styleId="Header">
    <w:name w:val="header"/>
    <w:basedOn w:val="Normal"/>
    <w:link w:val="HeaderChar"/>
    <w:rsid w:val="00AA2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6F4"/>
    <w:rPr>
      <w:rFonts w:ascii="Times New Roman" w:eastAsia="Times New Roman" w:hAnsi="Times New Roman" w:cs="Times New Roman"/>
      <w:sz w:val="16"/>
      <w:szCs w:val="20"/>
      <w:lang w:val="en-GB" w:eastAsia="en-US"/>
    </w:rPr>
  </w:style>
  <w:style w:type="paragraph" w:customStyle="1" w:styleId="Chapter">
    <w:name w:val="Chapter"/>
    <w:basedOn w:val="Normal"/>
    <w:rsid w:val="00AA26F4"/>
    <w:pPr>
      <w:spacing w:before="240"/>
    </w:pPr>
    <w:rPr>
      <w:rFonts w:ascii="Times New Roman" w:hAnsi="Times New Roman"/>
      <w:smallCaps/>
      <w:spacing w:val="80"/>
      <w:sz w:val="28"/>
    </w:rPr>
  </w:style>
  <w:style w:type="paragraph" w:customStyle="1" w:styleId="InChapter">
    <w:name w:val="InChapter"/>
    <w:basedOn w:val="Heading3"/>
    <w:rsid w:val="00AA26F4"/>
    <w:pPr>
      <w:spacing w:after="240"/>
      <w:outlineLvl w:val="9"/>
    </w:pPr>
    <w:rPr>
      <w:noProof/>
    </w:rPr>
  </w:style>
  <w:style w:type="paragraph" w:styleId="Index2">
    <w:name w:val="index 2"/>
    <w:basedOn w:val="Normal"/>
    <w:next w:val="Normal"/>
    <w:semiHidden/>
    <w:rsid w:val="00AA26F4"/>
    <w:pPr>
      <w:tabs>
        <w:tab w:val="right" w:pos="4176"/>
      </w:tabs>
      <w:ind w:left="568" w:hanging="284"/>
    </w:pPr>
    <w:rPr>
      <w:rFonts w:ascii="Garamond" w:hAnsi="Garamond"/>
    </w:rPr>
  </w:style>
  <w:style w:type="paragraph" w:customStyle="1" w:styleId="Byline">
    <w:name w:val="Byline"/>
    <w:rsid w:val="00AA2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6F4"/>
    <w:pPr>
      <w:tabs>
        <w:tab w:val="clear" w:pos="3600"/>
        <w:tab w:val="clear" w:pos="3958"/>
      </w:tabs>
      <w:jc w:val="right"/>
    </w:pPr>
  </w:style>
  <w:style w:type="character" w:styleId="Emphasis">
    <w:name w:val="Emphasis"/>
    <w:basedOn w:val="DefaultParagraphFont"/>
    <w:qFormat/>
    <w:rsid w:val="00AA26F4"/>
    <w:rPr>
      <w:i/>
    </w:rPr>
  </w:style>
  <w:style w:type="paragraph" w:styleId="Caption">
    <w:name w:val="caption"/>
    <w:basedOn w:val="BodyText"/>
    <w:next w:val="Normal"/>
    <w:qFormat/>
    <w:rsid w:val="00AA26F4"/>
    <w:pPr>
      <w:framePr w:w="2268" w:hSpace="181" w:vSpace="181" w:wrap="around" w:vAnchor="text" w:hAnchor="page" w:x="1135" w:y="285" w:anchorLock="1"/>
    </w:pPr>
    <w:rPr>
      <w:i/>
    </w:rPr>
  </w:style>
  <w:style w:type="paragraph" w:customStyle="1" w:styleId="MiniTOCTitle">
    <w:name w:val="MiniTOCTitle"/>
    <w:basedOn w:val="Heading4"/>
    <w:rsid w:val="00AA26F4"/>
    <w:pPr>
      <w:spacing w:before="240"/>
      <w:outlineLvl w:val="9"/>
    </w:pPr>
    <w:rPr>
      <w:noProof/>
      <w:sz w:val="24"/>
    </w:rPr>
  </w:style>
  <w:style w:type="paragraph" w:customStyle="1" w:styleId="MiniTOCItem">
    <w:name w:val="MiniTOCItem"/>
    <w:basedOn w:val="ListBullet"/>
    <w:rsid w:val="00AA26F4"/>
    <w:pPr>
      <w:numPr>
        <w:numId w:val="0"/>
      </w:numPr>
      <w:tabs>
        <w:tab w:val="right" w:leader="dot" w:pos="6521"/>
      </w:tabs>
      <w:spacing w:before="0" w:after="0"/>
    </w:pPr>
  </w:style>
  <w:style w:type="paragraph" w:customStyle="1" w:styleId="TOFTitle">
    <w:name w:val="TOFTitle"/>
    <w:basedOn w:val="TOCTitle"/>
    <w:rsid w:val="00AA26F4"/>
  </w:style>
  <w:style w:type="paragraph" w:styleId="TableofFigures">
    <w:name w:val="table of figures"/>
    <w:basedOn w:val="Normal"/>
    <w:next w:val="Normal"/>
    <w:semiHidden/>
    <w:rsid w:val="00AA26F4"/>
    <w:pPr>
      <w:tabs>
        <w:tab w:val="right" w:leader="dot" w:pos="9072"/>
      </w:tabs>
      <w:ind w:left="970" w:hanging="403"/>
    </w:pPr>
    <w:rPr>
      <w:rFonts w:ascii="Times New Roman" w:hAnsi="Times New Roman"/>
      <w:b/>
    </w:rPr>
  </w:style>
  <w:style w:type="paragraph" w:styleId="ListNumber">
    <w:name w:val="List Number"/>
    <w:basedOn w:val="List"/>
    <w:rsid w:val="00AA26F4"/>
    <w:pPr>
      <w:numPr>
        <w:numId w:val="11"/>
      </w:numPr>
    </w:pPr>
  </w:style>
  <w:style w:type="character" w:customStyle="1" w:styleId="WingdingSymbols">
    <w:name w:val="Wingding Symbols"/>
    <w:rsid w:val="00AA26F4"/>
    <w:rPr>
      <w:rFonts w:ascii="Wingdings" w:hAnsi="Wingdings"/>
    </w:rPr>
  </w:style>
  <w:style w:type="paragraph" w:customStyle="1" w:styleId="TableHeading">
    <w:name w:val="Table Heading"/>
    <w:basedOn w:val="HeadingBase"/>
    <w:rsid w:val="00AA26F4"/>
    <w:pPr>
      <w:keepLines/>
      <w:pBdr>
        <w:bottom w:val="single" w:sz="6" w:space="1" w:color="918585"/>
      </w:pBdr>
      <w:spacing w:before="240"/>
    </w:pPr>
  </w:style>
  <w:style w:type="character" w:customStyle="1" w:styleId="HotSpot">
    <w:name w:val="HotSpot"/>
    <w:rsid w:val="00AA26F4"/>
    <w:rPr>
      <w:color w:val="0033CC"/>
      <w:u w:val="none"/>
    </w:rPr>
  </w:style>
  <w:style w:type="paragraph" w:customStyle="1" w:styleId="BodyTextRight">
    <w:name w:val="Body Text Right"/>
    <w:basedOn w:val="BodyText"/>
    <w:rsid w:val="00AA26F4"/>
    <w:pPr>
      <w:spacing w:before="0" w:after="0"/>
      <w:jc w:val="right"/>
    </w:pPr>
  </w:style>
  <w:style w:type="paragraph" w:styleId="Index3">
    <w:name w:val="index 3"/>
    <w:basedOn w:val="ListNumber2"/>
    <w:next w:val="Normal"/>
    <w:semiHidden/>
    <w:rsid w:val="00AA26F4"/>
    <w:pPr>
      <w:numPr>
        <w:numId w:val="0"/>
      </w:numPr>
      <w:tabs>
        <w:tab w:val="right" w:leader="dot" w:pos="4176"/>
      </w:tabs>
    </w:pPr>
  </w:style>
  <w:style w:type="paragraph" w:styleId="ListNumber2">
    <w:name w:val="List Number 2"/>
    <w:basedOn w:val="List2"/>
    <w:rsid w:val="00AA26F4"/>
    <w:pPr>
      <w:numPr>
        <w:numId w:val="10"/>
      </w:numPr>
      <w:tabs>
        <w:tab w:val="clear" w:pos="1060"/>
      </w:tabs>
    </w:pPr>
  </w:style>
  <w:style w:type="paragraph" w:customStyle="1" w:styleId="MarginNote">
    <w:name w:val="Margin Note"/>
    <w:basedOn w:val="BodyText"/>
    <w:rsid w:val="00AA2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6F4"/>
    <w:rPr>
      <w:sz w:val="32"/>
    </w:rPr>
  </w:style>
  <w:style w:type="paragraph" w:customStyle="1" w:styleId="HeadingProcedure">
    <w:name w:val="Heading Procedure"/>
    <w:basedOn w:val="HeadingBase"/>
    <w:next w:val="Normal"/>
    <w:rsid w:val="00AA26F4"/>
    <w:pPr>
      <w:tabs>
        <w:tab w:val="left" w:pos="0"/>
      </w:tabs>
      <w:spacing w:before="120" w:after="60"/>
    </w:pPr>
    <w:rPr>
      <w:i/>
      <w:color w:val="918585"/>
      <w:sz w:val="22"/>
    </w:rPr>
  </w:style>
  <w:style w:type="paragraph" w:customStyle="1" w:styleId="TableBodyText">
    <w:name w:val="Table Body Text"/>
    <w:basedOn w:val="BodyText"/>
    <w:rsid w:val="00AA26F4"/>
    <w:pPr>
      <w:spacing w:before="60" w:after="60"/>
    </w:pPr>
  </w:style>
  <w:style w:type="paragraph" w:styleId="ListContinue">
    <w:name w:val="List Continue"/>
    <w:basedOn w:val="List"/>
    <w:rsid w:val="00AA26F4"/>
    <w:pPr>
      <w:ind w:firstLine="0"/>
    </w:pPr>
  </w:style>
  <w:style w:type="paragraph" w:customStyle="1" w:styleId="ListNote">
    <w:name w:val="List Note"/>
    <w:basedOn w:val="List"/>
    <w:rsid w:val="00AA26F4"/>
    <w:pPr>
      <w:pBdr>
        <w:top w:val="single" w:sz="6" w:space="2" w:color="918585"/>
        <w:bottom w:val="single" w:sz="6" w:space="2" w:color="918585"/>
      </w:pBdr>
      <w:tabs>
        <w:tab w:val="left" w:pos="1021"/>
      </w:tabs>
      <w:ind w:firstLine="0"/>
    </w:pPr>
  </w:style>
  <w:style w:type="paragraph" w:customStyle="1" w:styleId="Warning">
    <w:name w:val="Warning"/>
    <w:basedOn w:val="BodyText"/>
    <w:rsid w:val="00AA26F4"/>
    <w:pPr>
      <w:shd w:val="clear" w:color="auto" w:fill="D9D9D9"/>
      <w:tabs>
        <w:tab w:val="left" w:pos="992"/>
      </w:tabs>
      <w:ind w:left="119" w:right="119"/>
    </w:pPr>
    <w:rPr>
      <w:sz w:val="20"/>
    </w:rPr>
  </w:style>
  <w:style w:type="paragraph" w:customStyle="1" w:styleId="MarginIcons">
    <w:name w:val="Margin Icons"/>
    <w:basedOn w:val="BodyText"/>
    <w:rsid w:val="00AA2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6F4"/>
    <w:rPr>
      <w:rFonts w:ascii="Courier New" w:hAnsi="Courier New"/>
    </w:rPr>
  </w:style>
  <w:style w:type="paragraph" w:customStyle="1" w:styleId="NoteBullet">
    <w:name w:val="Note Bullet"/>
    <w:basedOn w:val="Note"/>
    <w:rsid w:val="00AA26F4"/>
    <w:pPr>
      <w:tabs>
        <w:tab w:val="clear" w:pos="680"/>
      </w:tabs>
      <w:spacing w:before="60" w:after="60"/>
    </w:pPr>
  </w:style>
  <w:style w:type="paragraph" w:customStyle="1" w:styleId="SubHeading2">
    <w:name w:val="SubHeading2"/>
    <w:basedOn w:val="HeadingBase"/>
    <w:rsid w:val="00AA26F4"/>
    <w:pPr>
      <w:spacing w:before="240" w:after="60"/>
    </w:pPr>
    <w:rPr>
      <w:sz w:val="20"/>
    </w:rPr>
  </w:style>
  <w:style w:type="paragraph" w:customStyle="1" w:styleId="SubHeading1">
    <w:name w:val="SubHeading1"/>
    <w:basedOn w:val="HeadingBase"/>
    <w:rsid w:val="00AA26F4"/>
    <w:pPr>
      <w:spacing w:before="240" w:after="60"/>
    </w:pPr>
    <w:rPr>
      <w:color w:val="918585"/>
      <w:sz w:val="22"/>
    </w:rPr>
  </w:style>
  <w:style w:type="paragraph" w:customStyle="1" w:styleId="SideHeading">
    <w:name w:val="Side Heading"/>
    <w:basedOn w:val="HeadingBase"/>
    <w:rsid w:val="00AA2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6F4"/>
    <w:pPr>
      <w:numPr>
        <w:numId w:val="12"/>
      </w:numPr>
    </w:pPr>
  </w:style>
  <w:style w:type="paragraph" w:styleId="PlainText">
    <w:name w:val="Plain Text"/>
    <w:basedOn w:val="Normal"/>
    <w:link w:val="PlainTextChar"/>
    <w:rsid w:val="00AA26F4"/>
    <w:rPr>
      <w:sz w:val="20"/>
    </w:rPr>
  </w:style>
  <w:style w:type="character" w:customStyle="1" w:styleId="PlainTextChar">
    <w:name w:val="Plain Text Char"/>
    <w:basedOn w:val="DefaultParagraphFont"/>
    <w:link w:val="PlainText"/>
    <w:rsid w:val="00AA26F4"/>
    <w:rPr>
      <w:rFonts w:ascii="Courier New" w:eastAsia="Times New Roman" w:hAnsi="Courier New" w:cs="Times New Roman"/>
      <w:sz w:val="20"/>
      <w:szCs w:val="20"/>
      <w:lang w:eastAsia="en-US"/>
    </w:rPr>
  </w:style>
  <w:style w:type="character" w:customStyle="1" w:styleId="MenuOption">
    <w:name w:val="Menu Option"/>
    <w:basedOn w:val="DefaultParagraphFont"/>
    <w:rsid w:val="00AA26F4"/>
    <w:rPr>
      <w:b/>
      <w:smallCaps/>
    </w:rPr>
  </w:style>
  <w:style w:type="paragraph" w:customStyle="1" w:styleId="TableListNumber">
    <w:name w:val="Table List Number"/>
    <w:basedOn w:val="ListNumber"/>
    <w:rsid w:val="00AA26F4"/>
    <w:pPr>
      <w:numPr>
        <w:numId w:val="0"/>
      </w:numPr>
    </w:pPr>
  </w:style>
  <w:style w:type="paragraph" w:styleId="TOC4">
    <w:name w:val="toc 4"/>
    <w:basedOn w:val="TOCBase"/>
    <w:next w:val="Normal"/>
    <w:semiHidden/>
    <w:rsid w:val="00AA26F4"/>
    <w:pPr>
      <w:tabs>
        <w:tab w:val="right" w:leader="dot" w:pos="9071"/>
      </w:tabs>
      <w:ind w:left="1701"/>
    </w:pPr>
  </w:style>
  <w:style w:type="paragraph" w:customStyle="1" w:styleId="ListAlpha">
    <w:name w:val="List Alpha"/>
    <w:basedOn w:val="List"/>
    <w:rsid w:val="00AA26F4"/>
    <w:pPr>
      <w:numPr>
        <w:numId w:val="9"/>
      </w:numPr>
    </w:pPr>
  </w:style>
  <w:style w:type="paragraph" w:customStyle="1" w:styleId="ListAlpha2">
    <w:name w:val="List Alpha 2"/>
    <w:basedOn w:val="List2"/>
    <w:rsid w:val="00AA26F4"/>
    <w:pPr>
      <w:numPr>
        <w:numId w:val="8"/>
      </w:numPr>
    </w:pPr>
  </w:style>
  <w:style w:type="paragraph" w:styleId="List2">
    <w:name w:val="List 2"/>
    <w:basedOn w:val="BodyText"/>
    <w:rsid w:val="00AA26F4"/>
    <w:pPr>
      <w:tabs>
        <w:tab w:val="left" w:pos="680"/>
      </w:tabs>
      <w:spacing w:before="60" w:after="60"/>
      <w:ind w:left="680" w:hanging="340"/>
    </w:pPr>
  </w:style>
  <w:style w:type="paragraph" w:styleId="List3">
    <w:name w:val="List 3"/>
    <w:basedOn w:val="BodyText"/>
    <w:rsid w:val="00AA26F4"/>
    <w:pPr>
      <w:tabs>
        <w:tab w:val="left" w:pos="1021"/>
      </w:tabs>
      <w:spacing w:before="60" w:after="60"/>
      <w:ind w:left="1020" w:hanging="340"/>
    </w:pPr>
  </w:style>
  <w:style w:type="paragraph" w:styleId="List4">
    <w:name w:val="List 4"/>
    <w:basedOn w:val="BodyText"/>
    <w:rsid w:val="00AA26F4"/>
    <w:pPr>
      <w:tabs>
        <w:tab w:val="left" w:pos="1361"/>
      </w:tabs>
      <w:spacing w:before="60" w:after="60"/>
      <w:ind w:left="1361" w:hanging="340"/>
    </w:pPr>
  </w:style>
  <w:style w:type="paragraph" w:styleId="List5">
    <w:name w:val="List 5"/>
    <w:basedOn w:val="BodyText"/>
    <w:rsid w:val="00AA26F4"/>
    <w:pPr>
      <w:tabs>
        <w:tab w:val="left" w:pos="1701"/>
      </w:tabs>
      <w:spacing w:before="60" w:after="60"/>
      <w:ind w:left="1701" w:hanging="340"/>
    </w:pPr>
  </w:style>
  <w:style w:type="paragraph" w:styleId="ListBullet3">
    <w:name w:val="List Bullet 3"/>
    <w:basedOn w:val="List3"/>
    <w:rsid w:val="00AA26F4"/>
    <w:pPr>
      <w:numPr>
        <w:numId w:val="15"/>
      </w:numPr>
      <w:tabs>
        <w:tab w:val="clear" w:pos="1021"/>
      </w:tabs>
      <w:ind w:left="1037" w:hanging="357"/>
    </w:pPr>
  </w:style>
  <w:style w:type="paragraph" w:styleId="ListBullet4">
    <w:name w:val="List Bullet 4"/>
    <w:basedOn w:val="List4"/>
    <w:rsid w:val="00AA26F4"/>
    <w:pPr>
      <w:numPr>
        <w:numId w:val="3"/>
      </w:numPr>
    </w:pPr>
  </w:style>
  <w:style w:type="paragraph" w:styleId="ListBullet5">
    <w:name w:val="List Bullet 5"/>
    <w:basedOn w:val="List5"/>
    <w:rsid w:val="00AA26F4"/>
    <w:pPr>
      <w:numPr>
        <w:numId w:val="4"/>
      </w:numPr>
    </w:pPr>
  </w:style>
  <w:style w:type="paragraph" w:styleId="ListContinue2">
    <w:name w:val="List Continue 2"/>
    <w:basedOn w:val="List2"/>
    <w:rsid w:val="00AA26F4"/>
    <w:pPr>
      <w:ind w:firstLine="0"/>
    </w:pPr>
  </w:style>
  <w:style w:type="paragraph" w:styleId="ListContinue3">
    <w:name w:val="List Continue 3"/>
    <w:basedOn w:val="List3"/>
    <w:rsid w:val="00AA26F4"/>
    <w:pPr>
      <w:ind w:left="1021" w:firstLine="0"/>
    </w:pPr>
  </w:style>
  <w:style w:type="paragraph" w:styleId="ListContinue4">
    <w:name w:val="List Continue 4"/>
    <w:basedOn w:val="List4"/>
    <w:rsid w:val="00AA26F4"/>
    <w:pPr>
      <w:ind w:firstLine="0"/>
    </w:pPr>
  </w:style>
  <w:style w:type="paragraph" w:styleId="ListContinue5">
    <w:name w:val="List Continue 5"/>
    <w:basedOn w:val="List5"/>
    <w:rsid w:val="00AA26F4"/>
    <w:pPr>
      <w:ind w:firstLine="0"/>
    </w:pPr>
  </w:style>
  <w:style w:type="paragraph" w:styleId="ListNumber3">
    <w:name w:val="List Number 3"/>
    <w:basedOn w:val="List3"/>
    <w:rsid w:val="00AA26F4"/>
    <w:pPr>
      <w:numPr>
        <w:numId w:val="5"/>
      </w:numPr>
    </w:pPr>
  </w:style>
  <w:style w:type="paragraph" w:styleId="ListNumber4">
    <w:name w:val="List Number 4"/>
    <w:basedOn w:val="List4"/>
    <w:rsid w:val="00AA26F4"/>
    <w:pPr>
      <w:numPr>
        <w:numId w:val="6"/>
      </w:numPr>
    </w:pPr>
  </w:style>
  <w:style w:type="paragraph" w:styleId="ListNumber5">
    <w:name w:val="List Number 5"/>
    <w:basedOn w:val="List5"/>
    <w:rsid w:val="00AA26F4"/>
    <w:pPr>
      <w:numPr>
        <w:numId w:val="7"/>
      </w:numPr>
    </w:pPr>
  </w:style>
  <w:style w:type="paragraph" w:styleId="BlockText">
    <w:name w:val="Block Text"/>
    <w:basedOn w:val="Normal"/>
    <w:rsid w:val="00AA26F4"/>
    <w:pPr>
      <w:spacing w:after="120"/>
      <w:ind w:left="1440" w:right="1440"/>
    </w:pPr>
  </w:style>
  <w:style w:type="character" w:customStyle="1" w:styleId="Subscript">
    <w:name w:val="Subscript"/>
    <w:basedOn w:val="DefaultParagraphFont"/>
    <w:rsid w:val="00AA26F4"/>
    <w:rPr>
      <w:sz w:val="16"/>
      <w:vertAlign w:val="subscript"/>
    </w:rPr>
  </w:style>
  <w:style w:type="character" w:customStyle="1" w:styleId="Superscript">
    <w:name w:val="Superscript"/>
    <w:basedOn w:val="DefaultParagraphFont"/>
    <w:rsid w:val="00AA26F4"/>
    <w:rPr>
      <w:sz w:val="16"/>
      <w:vertAlign w:val="superscript"/>
    </w:rPr>
  </w:style>
  <w:style w:type="character" w:customStyle="1" w:styleId="Symbols">
    <w:name w:val="Symbols"/>
    <w:basedOn w:val="DefaultParagraphFont"/>
    <w:rsid w:val="00AA26F4"/>
    <w:rPr>
      <w:rFonts w:ascii="Symbol" w:hAnsi="Symbol"/>
    </w:rPr>
  </w:style>
  <w:style w:type="character" w:customStyle="1" w:styleId="MenuOptions">
    <w:name w:val="Menu Options"/>
    <w:basedOn w:val="DefaultParagraphFont"/>
    <w:rsid w:val="00AA26F4"/>
    <w:rPr>
      <w:rFonts w:ascii="Arial Narrow" w:hAnsi="Arial Narrow"/>
      <w:smallCaps/>
    </w:rPr>
  </w:style>
  <w:style w:type="character" w:customStyle="1" w:styleId="Buttons">
    <w:name w:val="Buttons"/>
    <w:basedOn w:val="DefaultParagraphFont"/>
    <w:rsid w:val="00AA26F4"/>
    <w:rPr>
      <w:b/>
    </w:rPr>
  </w:style>
  <w:style w:type="character" w:customStyle="1" w:styleId="Underlined">
    <w:name w:val="Underlined"/>
    <w:basedOn w:val="DefaultParagraphFont"/>
    <w:rsid w:val="00AA26F4"/>
    <w:rPr>
      <w:u w:val="single"/>
    </w:rPr>
  </w:style>
  <w:style w:type="paragraph" w:customStyle="1" w:styleId="TableBodyTextRight">
    <w:name w:val="Table Body Text Right"/>
    <w:basedOn w:val="TableBodyText"/>
    <w:rsid w:val="00AA26F4"/>
    <w:pPr>
      <w:widowControl w:val="0"/>
      <w:autoSpaceDE w:val="0"/>
      <w:autoSpaceDN w:val="0"/>
      <w:adjustRightInd w:val="0"/>
      <w:jc w:val="right"/>
    </w:pPr>
    <w:rPr>
      <w:rFonts w:cs="Arial"/>
      <w:szCs w:val="18"/>
    </w:rPr>
  </w:style>
  <w:style w:type="paragraph" w:customStyle="1" w:styleId="CopyrightText">
    <w:name w:val="Copyright Text"/>
    <w:basedOn w:val="BodyText"/>
    <w:rsid w:val="00AA26F4"/>
    <w:rPr>
      <w:sz w:val="18"/>
    </w:rPr>
  </w:style>
  <w:style w:type="paragraph" w:customStyle="1" w:styleId="BodySmallRight">
    <w:name w:val="Body Small Right"/>
    <w:basedOn w:val="BodyTextRight"/>
    <w:rsid w:val="00AA26F4"/>
    <w:rPr>
      <w:sz w:val="18"/>
      <w:szCs w:val="18"/>
    </w:rPr>
  </w:style>
  <w:style w:type="paragraph" w:customStyle="1" w:styleId="MarginEdition">
    <w:name w:val="Margin Edition"/>
    <w:basedOn w:val="MarginNote"/>
    <w:rsid w:val="00AA26F4"/>
    <w:pPr>
      <w:spacing w:before="0" w:after="0"/>
    </w:pPr>
    <w:rPr>
      <w:rFonts w:ascii="Times New Roman" w:hAnsi="Times New Roman"/>
      <w:color w:val="999999"/>
    </w:rPr>
  </w:style>
  <w:style w:type="paragraph" w:customStyle="1" w:styleId="Spacer">
    <w:name w:val="Spacer"/>
    <w:basedOn w:val="Normal"/>
    <w:rsid w:val="00AA26F4"/>
    <w:rPr>
      <w:sz w:val="2"/>
      <w:szCs w:val="2"/>
    </w:rPr>
  </w:style>
  <w:style w:type="character" w:customStyle="1" w:styleId="Small">
    <w:name w:val="Small"/>
    <w:basedOn w:val="DefaultParagraphFont"/>
    <w:rsid w:val="00AA26F4"/>
    <w:rPr>
      <w:sz w:val="16"/>
    </w:rPr>
  </w:style>
  <w:style w:type="paragraph" w:customStyle="1" w:styleId="WideTable">
    <w:name w:val="Wide Table"/>
    <w:basedOn w:val="Normal"/>
    <w:rsid w:val="00AA26F4"/>
    <w:pPr>
      <w:ind w:left="-1418"/>
    </w:pPr>
    <w:rPr>
      <w:sz w:val="2"/>
      <w:szCs w:val="2"/>
    </w:rPr>
  </w:style>
  <w:style w:type="character" w:styleId="PageNumber">
    <w:name w:val="page number"/>
    <w:basedOn w:val="DefaultParagraphFont"/>
    <w:rsid w:val="00AA26F4"/>
  </w:style>
  <w:style w:type="paragraph" w:styleId="Quote">
    <w:name w:val="Quote"/>
    <w:basedOn w:val="Heading1"/>
    <w:link w:val="QuoteChar"/>
    <w:qFormat/>
    <w:rsid w:val="00AA26F4"/>
    <w:rPr>
      <w:b w:val="0"/>
      <w:sz w:val="72"/>
      <w:szCs w:val="72"/>
      <w:lang w:val="en-NZ"/>
    </w:rPr>
  </w:style>
  <w:style w:type="character" w:customStyle="1" w:styleId="QuoteChar">
    <w:name w:val="Quote Char"/>
    <w:basedOn w:val="DefaultParagraphFont"/>
    <w:link w:val="Quote"/>
    <w:rsid w:val="00AA2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6F4"/>
    <w:pPr>
      <w:pageBreakBefore/>
    </w:pPr>
  </w:style>
  <w:style w:type="paragraph" w:customStyle="1" w:styleId="Border">
    <w:name w:val="Border"/>
    <w:basedOn w:val="Normal"/>
    <w:qFormat/>
    <w:rsid w:val="00AA2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6F4"/>
    <w:rPr>
      <w:b/>
      <w:bCs/>
      <w:i/>
      <w:iCs/>
      <w:color w:val="auto"/>
    </w:rPr>
  </w:style>
  <w:style w:type="paragraph" w:styleId="IntenseQuote">
    <w:name w:val="Intense Quote"/>
    <w:basedOn w:val="Normal"/>
    <w:next w:val="Normal"/>
    <w:link w:val="IntenseQuoteChar"/>
    <w:uiPriority w:val="30"/>
    <w:qFormat/>
    <w:rsid w:val="00AA2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6F4"/>
    <w:rPr>
      <w:smallCaps/>
      <w:color w:val="auto"/>
      <w:u w:val="single"/>
    </w:rPr>
  </w:style>
  <w:style w:type="character" w:styleId="IntenseReference">
    <w:name w:val="Intense Reference"/>
    <w:basedOn w:val="DefaultParagraphFont"/>
    <w:uiPriority w:val="32"/>
    <w:qFormat/>
    <w:rsid w:val="00AA26F4"/>
    <w:rPr>
      <w:b/>
      <w:bCs/>
      <w:smallCaps/>
      <w:color w:val="auto"/>
      <w:spacing w:val="5"/>
      <w:u w:val="single"/>
    </w:rPr>
  </w:style>
  <w:style w:type="paragraph" w:customStyle="1" w:styleId="2ColumnHeading">
    <w:name w:val="2Column Heading"/>
    <w:basedOn w:val="BodyText"/>
    <w:qFormat/>
    <w:rsid w:val="00AA26F4"/>
    <w:pPr>
      <w:spacing w:after="60"/>
      <w:ind w:left="-2268"/>
    </w:pPr>
    <w:rPr>
      <w:b/>
    </w:rPr>
  </w:style>
  <w:style w:type="paragraph" w:customStyle="1" w:styleId="Heading1TOC">
    <w:name w:val="Heading1 TOC"/>
    <w:basedOn w:val="Normal"/>
    <w:qFormat/>
    <w:rsid w:val="00AA26F4"/>
    <w:pPr>
      <w:spacing w:before="240" w:after="120"/>
    </w:pPr>
    <w:rPr>
      <w:rFonts w:ascii="Times New Roman" w:hAnsi="Times New Roman"/>
      <w:b/>
      <w:sz w:val="32"/>
    </w:rPr>
  </w:style>
  <w:style w:type="paragraph" w:customStyle="1" w:styleId="Heading2TOC">
    <w:name w:val="Heading2 TOC"/>
    <w:basedOn w:val="Normal"/>
    <w:qFormat/>
    <w:rsid w:val="00AA26F4"/>
    <w:pPr>
      <w:spacing w:before="240" w:after="60"/>
    </w:pPr>
    <w:rPr>
      <w:rFonts w:ascii="Times New Roman" w:hAnsi="Times New Roman"/>
      <w:b/>
      <w:sz w:val="28"/>
    </w:rPr>
  </w:style>
  <w:style w:type="character" w:customStyle="1" w:styleId="Underline">
    <w:name w:val="Underline"/>
    <w:basedOn w:val="DefaultParagraphFont"/>
    <w:qFormat/>
    <w:rsid w:val="00AA26F4"/>
    <w:rPr>
      <w:u w:val="single"/>
    </w:rPr>
  </w:style>
  <w:style w:type="character" w:customStyle="1" w:styleId="BoldandItalics">
    <w:name w:val="Bold and Italics"/>
    <w:qFormat/>
    <w:rsid w:val="00AA26F4"/>
    <w:rPr>
      <w:b/>
      <w:i/>
      <w:u w:val="none"/>
    </w:rPr>
  </w:style>
  <w:style w:type="paragraph" w:styleId="BalloonText">
    <w:name w:val="Balloon Text"/>
    <w:basedOn w:val="Normal"/>
    <w:link w:val="BalloonTextChar"/>
    <w:rsid w:val="00AA26F4"/>
    <w:rPr>
      <w:rFonts w:ascii="Tahoma" w:hAnsi="Tahoma" w:cs="Tahoma"/>
      <w:sz w:val="16"/>
      <w:szCs w:val="16"/>
    </w:rPr>
  </w:style>
  <w:style w:type="character" w:customStyle="1" w:styleId="BalloonTextChar">
    <w:name w:val="Balloon Text Char"/>
    <w:basedOn w:val="DefaultParagraphFont"/>
    <w:link w:val="BalloonText"/>
    <w:rsid w:val="00AA2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6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6F4"/>
    <w:rPr>
      <w:b/>
      <w:color w:val="660033"/>
      <w:spacing w:val="0"/>
    </w:rPr>
  </w:style>
  <w:style w:type="paragraph" w:customStyle="1" w:styleId="Nameditemlist">
    <w:name w:val="Named item list"/>
    <w:basedOn w:val="BodyText"/>
    <w:qFormat/>
    <w:rsid w:val="00AA26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2364</Words>
  <Characters>14575</Characters>
  <Application>Microsoft Office Word</Application>
  <DocSecurity>0</DocSecurity>
  <Lines>509</Lines>
  <Paragraphs>227</Paragraphs>
  <ScaleCrop>false</ScaleCrop>
  <Company>Author-it Software Corporation Ltd.</Company>
  <LinksUpToDate>false</LinksUpToDate>
  <CharactersWithSpaces>16843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UEENEEH106A Assemble and set up fixed video/audio components and systems in buildings and premises</dc:title>
  <dc:subject>Approved</dc:subject>
  <dc:creator>E-OZ Training Standards</dc:creator>
  <cp:keywords>Release: 2</cp:keywords>
  <dc:description>Review Date: 12 April 2008</dc:description>
  <cp:lastModifiedBy>HSD_TPCMSd.prod</cp:lastModifiedBy>
  <cp:revision>3</cp:revision>
  <dcterms:created xsi:type="dcterms:W3CDTF">2013-10-25T06:26:00Z</dcterms:created>
  <dcterms:modified xsi:type="dcterms:W3CDTF">2013-10-25T06:26:00Z</dcterms:modified>
</cp:coreProperties>
</file>