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4AAB" w:rsidP="00B94AAB">
      <w:pPr>
        <w:pStyle w:val="Title"/>
      </w:pPr>
      <w:r>
        <w:fldChar w:fldCharType="begin"/>
      </w:r>
      <w:r>
        <w:instrText xml:space="preserve"> TITLE   \* MERGEFORMAT </w:instrText>
      </w:r>
      <w:r>
        <w:fldChar w:fldCharType="separate"/>
      </w:r>
      <w:r>
        <w:t>UEENEEH102A Repairs basic electronic apparatus faults by replacement of components</w:t>
      </w:r>
      <w:r>
        <w:fldChar w:fldCharType="end"/>
      </w:r>
    </w:p>
    <w:p w:rsidR="00B94AAB" w:rsidP="00B94AAB">
      <w:pPr>
        <w:pStyle w:val="Version"/>
        <w:sectPr w:rsidSect="00094A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4A48" w:rsidP="00094A48">
      <w:pPr>
        <w:pStyle w:val="SuperHeading"/>
      </w:pPr>
      <w:r w:rsidRPr="00094A48">
        <w:t>UEENEEH102A Repairs basic electronic apparatus faults by replacement of components</w:t>
      </w:r>
    </w:p>
    <w:p w:rsidR="00000000" w:rsidRPr="00094A48" w:rsidP="00094A48">
      <w:pPr>
        <w:pStyle w:val="Heading1"/>
      </w:pPr>
      <w:bookmarkStart w:id="1" w:name="O_586751"/>
      <w:bookmarkEnd w:id="1"/>
      <w:r w:rsidRPr="00094A48">
        <w:t>Modification History</w:t>
      </w:r>
    </w:p>
    <w:p w:rsidR="00000000" w:rsidRPr="00094A48" w:rsidP="00094A48">
      <w:pPr>
        <w:pStyle w:val="BodyText"/>
      </w:pPr>
      <w:r w:rsidRPr="00094A48">
        <w:t>Not applicable.</w:t>
      </w:r>
    </w:p>
    <w:p w:rsidR="00000000" w:rsidRPr="00094A48" w:rsidP="00094A48">
      <w:pPr>
        <w:pStyle w:val="AllowPageBreak"/>
      </w:pPr>
    </w:p>
    <w:p w:rsidR="00000000" w:rsidRPr="00094A48" w:rsidP="00094A48">
      <w:pPr>
        <w:pStyle w:val="Heading1"/>
      </w:pPr>
      <w:bookmarkStart w:id="2" w:name="O_586750"/>
      <w:bookmarkEnd w:id="2"/>
      <w:r w:rsidRPr="00094A48">
        <w:t>Unit Descriptor</w:t>
      </w:r>
    </w:p>
    <w:tbl>
      <w:tblPr>
        <w:tblW w:w="0" w:type="auto"/>
        <w:tblLayout w:type="fixed"/>
        <w:tblCellMar>
          <w:left w:w="62" w:type="dxa"/>
          <w:right w:w="62" w:type="dxa"/>
        </w:tblCellMar>
        <w:tblLook w:val="0000"/>
      </w:tblPr>
      <w:tblGrid>
        <w:gridCol w:w="2700"/>
        <w:gridCol w:w="5760"/>
      </w:tblGrid>
      <w:tr w:rsidTr="00B94A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rPr>
                <w:rStyle w:val="SpecialBold"/>
              </w:rPr>
              <w:t>1)</w:t>
            </w:r>
            <w:r w:rsidRPr="00094A48">
              <w:t xml:space="preserve"> </w:t>
            </w:r>
            <w:r w:rsidRPr="00094A48">
              <w:rPr>
                <w:rStyle w:val="SpecialBold"/>
              </w:rPr>
              <w:t>Scope:</w:t>
            </w:r>
          </w:p>
        </w:tc>
      </w:tr>
      <w:tr w:rsidTr="00B94A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94A4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rPr>
                <w:rStyle w:val="SpecialBold"/>
              </w:rPr>
              <w:t>1.1) Descriptor</w:t>
            </w:r>
          </w:p>
        </w:tc>
      </w:tr>
      <w:tr w:rsidTr="00B94A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t>This unit deals the replacement of electronic components, cabling and sub systems of electronic apparatus. It encompasses safe working practices, following written and oral instruction and procedures, basic testing and techniques, dismantling and assemblin</w:t>
            </w:r>
            <w:r w:rsidRPr="00094A48">
              <w:t>g apparatus and disconnecting and reconnecting components.</w:t>
            </w:r>
          </w:p>
        </w:tc>
      </w:tr>
    </w:tbl>
    <w:p w:rsidR="00000000" w:rsidRPr="00094A48" w:rsidP="00094A48">
      <w:pPr>
        <w:pStyle w:val="BodyText"/>
      </w:pPr>
    </w:p>
    <w:p w:rsidR="00000000" w:rsidRPr="00094A48" w:rsidP="00094A48">
      <w:pPr>
        <w:pStyle w:val="AllowPageBreak"/>
      </w:pPr>
    </w:p>
    <w:p w:rsidR="00000000" w:rsidRPr="00094A48" w:rsidP="00094A48">
      <w:pPr>
        <w:pStyle w:val="Heading1"/>
      </w:pPr>
      <w:bookmarkStart w:id="3" w:name="O_586749"/>
      <w:bookmarkEnd w:id="3"/>
      <w:r w:rsidRPr="00094A48">
        <w:t>Application of the Unit</w:t>
      </w:r>
    </w:p>
    <w:tbl>
      <w:tblPr>
        <w:tblW w:w="0" w:type="auto"/>
        <w:tblLayout w:type="fixed"/>
        <w:tblCellMar>
          <w:left w:w="62" w:type="dxa"/>
          <w:right w:w="62" w:type="dxa"/>
        </w:tblCellMar>
        <w:tblLook w:val="0000"/>
      </w:tblPr>
      <w:tblGrid>
        <w:gridCol w:w="2672"/>
        <w:gridCol w:w="5699"/>
      </w:tblGrid>
      <w:tr w:rsidTr="00B94AA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rPr>
                <w:rStyle w:val="SpecialBold"/>
              </w:rPr>
              <w:t>2)</w:t>
            </w:r>
          </w:p>
        </w:tc>
      </w:tr>
      <w:tr w:rsidTr="00B94AA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t>This unit may apply to persons entering work in electro technology and may be used in school based vocational programs.</w:t>
            </w:r>
          </w:p>
        </w:tc>
      </w:tr>
    </w:tbl>
    <w:p w:rsidR="00000000" w:rsidRPr="00094A48" w:rsidP="00094A48">
      <w:pPr>
        <w:pStyle w:val="BodyText"/>
      </w:pPr>
    </w:p>
    <w:p w:rsidR="00000000" w:rsidRPr="00094A48" w:rsidP="00094A48">
      <w:pPr>
        <w:pStyle w:val="AllowPageBreak"/>
      </w:pPr>
    </w:p>
    <w:p w:rsidR="00000000" w:rsidRPr="00094A48" w:rsidP="00094A48">
      <w:pPr>
        <w:pStyle w:val="Heading1"/>
      </w:pPr>
      <w:bookmarkStart w:id="4" w:name="O_586748"/>
      <w:bookmarkEnd w:id="4"/>
      <w:r w:rsidRPr="00094A48">
        <w:t>Licensing/Regulatory Information</w:t>
      </w:r>
    </w:p>
    <w:tbl>
      <w:tblPr>
        <w:tblW w:w="0" w:type="auto"/>
        <w:tblLayout w:type="fixed"/>
        <w:tblCellMar>
          <w:left w:w="62" w:type="dxa"/>
          <w:right w:w="62" w:type="dxa"/>
        </w:tblCellMar>
        <w:tblLook w:val="0000"/>
      </w:tblPr>
      <w:tblGrid>
        <w:gridCol w:w="2700"/>
        <w:gridCol w:w="5760"/>
      </w:tblGrid>
      <w:tr w:rsidTr="00B94A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rPr>
                <w:rStyle w:val="SpecialBold"/>
              </w:rPr>
              <w:t xml:space="preserve">3) </w:t>
            </w:r>
          </w:p>
        </w:tc>
      </w:tr>
      <w:tr w:rsidTr="00B94A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t xml:space="preserve">The skills and knowledge described in this unit do not require a license to practice in the workplace provided equipment is not connected to installation wiring at voltage above 50 </w:t>
            </w:r>
            <w:r w:rsidRPr="00094A48">
              <w:t>V a.c. or 120 V d.c. However, practice in this unit is subject to regulations directly related to occupational health and safety and where applicable contracts of training such as apprenticeships.</w:t>
            </w:r>
          </w:p>
          <w:p w:rsidR="00000000" w:rsidRPr="00094A48" w:rsidP="00094A48">
            <w:pPr>
              <w:pStyle w:val="BodyText"/>
            </w:pPr>
            <w:r w:rsidRPr="00094A48">
              <w:t xml:space="preserve">Note: </w:t>
            </w:r>
          </w:p>
          <w:p w:rsidR="00000000" w:rsidRPr="00094A48" w:rsidP="00094A48">
            <w:pPr>
              <w:pStyle w:val="BodyText"/>
            </w:pPr>
            <w:r w:rsidRPr="00094A48">
              <w:t>1. Compliance with permits may be required i</w:t>
            </w:r>
            <w:r w:rsidRPr="00094A48">
              <w:t>n various jurisdictions and typically relates to the operation of plant, machinery and equipment such as elevating work platforms, powder operated fixing tools, power operated tools, vehicles, road signage and traffic control, lifting equipment and the lik</w:t>
            </w:r>
            <w:r w:rsidRPr="00094A48">
              <w:t>e. Permits may also be required for some work environments such as confined spaces, working aloft, near live electrical apparatus and site rehabilitation.</w:t>
            </w:r>
          </w:p>
          <w:p w:rsidR="00000000" w:rsidRPr="00094A48" w:rsidP="00094A48">
            <w:pPr>
              <w:pStyle w:val="BodyText"/>
            </w:pPr>
            <w:r w:rsidRPr="00094A48">
              <w:t>2. Compliance may be required in various jurisdictions relating to currency in First Aid, confined sp</w:t>
            </w:r>
            <w:r w:rsidRPr="00094A48">
              <w:t>ace, lifting and risk safety measures</w:t>
            </w:r>
          </w:p>
        </w:tc>
      </w:tr>
    </w:tbl>
    <w:p w:rsidR="00000000" w:rsidRPr="00094A48" w:rsidP="00094A48">
      <w:pPr>
        <w:pStyle w:val="BodyText"/>
      </w:pPr>
    </w:p>
    <w:p w:rsidR="00000000" w:rsidRPr="00094A48" w:rsidP="00094A48">
      <w:pPr>
        <w:pStyle w:val="AllowPageBreak"/>
      </w:pPr>
    </w:p>
    <w:p w:rsidR="00000000" w:rsidRPr="00094A48" w:rsidP="00094A48">
      <w:pPr>
        <w:pStyle w:val="Heading1"/>
      </w:pPr>
      <w:bookmarkStart w:id="5" w:name="O_586747"/>
      <w:bookmarkEnd w:id="5"/>
      <w:r w:rsidRPr="00094A48">
        <w:t>Pre-Requisites</w:t>
      </w:r>
    </w:p>
    <w:tbl>
      <w:tblPr>
        <w:tblW w:w="0" w:type="auto"/>
        <w:tblLayout w:type="fixed"/>
        <w:tblCellMar>
          <w:left w:w="62" w:type="dxa"/>
          <w:right w:w="62" w:type="dxa"/>
        </w:tblCellMar>
        <w:tblLook w:val="0000"/>
      </w:tblPr>
      <w:tblGrid>
        <w:gridCol w:w="2700"/>
        <w:gridCol w:w="1440"/>
        <w:gridCol w:w="4320"/>
      </w:tblGrid>
      <w:tr w:rsidTr="00B94A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rPr>
                <w:rStyle w:val="SpecialBold"/>
              </w:rPr>
              <w:t xml:space="preserve">4) </w:t>
            </w:r>
          </w:p>
        </w:tc>
      </w:tr>
      <w:tr w:rsidTr="00B94A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rPr>
                <w:rStyle w:val="SpecialBold"/>
              </w:rPr>
              <w:t>4.1)</w:t>
            </w:r>
          </w:p>
        </w:tc>
      </w:tr>
      <w:tr w:rsidTr="00B94A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Granting competency in this unit shall be made only after competency in the following unit(s) has/have been confirmed.</w:t>
            </w:r>
          </w:p>
        </w:tc>
      </w:tr>
      <w:tr w:rsidTr="00B94AAB">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UEENEEE101A</w:t>
            </w:r>
          </w:p>
        </w:tc>
        <w:tc>
          <w:tcPr>
            <w:tcW w:w="4320"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Apply Occupational Health and Safety regulations, codes and practices in the workplace</w:t>
            </w:r>
          </w:p>
        </w:tc>
      </w:tr>
      <w:tr w:rsidTr="00B94A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UEENEEE102A</w:t>
            </w:r>
          </w:p>
        </w:tc>
        <w:tc>
          <w:tcPr>
            <w:tcW w:w="4320"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t xml:space="preserve">Fabricate, dismantle, assemble of utilities industry components </w:t>
            </w:r>
          </w:p>
        </w:tc>
      </w:tr>
    </w:tbl>
    <w:p w:rsidR="00000000" w:rsidRPr="00094A48" w:rsidP="00094A4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94AA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rPr>
                <w:rStyle w:val="SpecialBold"/>
              </w:rPr>
              <w:t xml:space="preserve">4.2) </w:t>
            </w:r>
          </w:p>
        </w:tc>
      </w:tr>
      <w:tr w:rsidTr="00B94A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Participants are best equipped to achieve competency in this unit if they have reading, writing and numeracy skills indicated by the following scales. Description of each scale is given in Volume 2, Part 3 ‘Literacy and Numeracy’</w:t>
            </w:r>
          </w:p>
        </w:tc>
      </w:tr>
      <w:tr w:rsidTr="00B94A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Reading</w:t>
            </w:r>
          </w:p>
        </w:tc>
        <w:tc>
          <w:tcPr>
            <w:tcW w:w="810"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3</w:t>
            </w:r>
          </w:p>
        </w:tc>
        <w:tc>
          <w:tcPr>
            <w:tcW w:w="990"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Writing</w:t>
            </w:r>
          </w:p>
        </w:tc>
        <w:tc>
          <w:tcPr>
            <w:tcW w:w="900"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3</w:t>
            </w:r>
          </w:p>
        </w:tc>
        <w:tc>
          <w:tcPr>
            <w:tcW w:w="1260"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Numeracy</w:t>
            </w:r>
          </w:p>
        </w:tc>
        <w:tc>
          <w:tcPr>
            <w:tcW w:w="720"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t>3</w:t>
            </w:r>
          </w:p>
        </w:tc>
      </w:tr>
    </w:tbl>
    <w:p w:rsidR="00000000" w:rsidRPr="00094A48" w:rsidP="00094A48">
      <w:pPr>
        <w:pStyle w:val="BodyText"/>
      </w:pPr>
    </w:p>
    <w:p w:rsidR="00000000" w:rsidRPr="00094A48" w:rsidP="00094A48">
      <w:pPr>
        <w:pStyle w:val="AllowPageBreak"/>
      </w:pPr>
    </w:p>
    <w:p w:rsidR="00000000" w:rsidRPr="00094A48" w:rsidP="00094A48">
      <w:pPr>
        <w:pStyle w:val="Heading1"/>
      </w:pPr>
      <w:bookmarkStart w:id="6" w:name="O_586746"/>
      <w:bookmarkEnd w:id="6"/>
      <w:r w:rsidRPr="00094A48">
        <w:t>Employability Skills Information</w:t>
      </w:r>
    </w:p>
    <w:tbl>
      <w:tblPr>
        <w:tblW w:w="0" w:type="auto"/>
        <w:tblLayout w:type="fixed"/>
        <w:tblCellMar>
          <w:left w:w="62" w:type="dxa"/>
          <w:right w:w="62" w:type="dxa"/>
        </w:tblCellMar>
        <w:tblLook w:val="0000"/>
      </w:tblPr>
      <w:tblGrid>
        <w:gridCol w:w="2700"/>
        <w:gridCol w:w="5760"/>
      </w:tblGrid>
      <w:tr w:rsidTr="00B94A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rPr>
                <w:rStyle w:val="SpecialBold"/>
              </w:rPr>
              <w:t xml:space="preserve">5) </w:t>
            </w:r>
          </w:p>
        </w:tc>
      </w:tr>
      <w:tr w:rsidTr="00B94A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t>This unit contains Employability Skills</w:t>
            </w:r>
          </w:p>
          <w:p w:rsidR="00000000" w:rsidRPr="00094A48" w:rsidP="00094A48">
            <w:pPr>
              <w:pStyle w:val="BodyText"/>
            </w:pPr>
            <w:r w:rsidRPr="00094A4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94A48">
              <w:t>requirements.</w:t>
            </w:r>
          </w:p>
        </w:tc>
      </w:tr>
    </w:tbl>
    <w:p w:rsidR="00000000" w:rsidRPr="00094A48" w:rsidP="00094A48">
      <w:pPr>
        <w:pStyle w:val="BodyText"/>
      </w:pPr>
    </w:p>
    <w:p w:rsidR="00000000" w:rsidRPr="00094A48" w:rsidP="00094A48">
      <w:pPr>
        <w:pStyle w:val="AllowPageBreak"/>
      </w:pPr>
    </w:p>
    <w:p w:rsidR="00000000" w:rsidRPr="00094A48" w:rsidP="00094A48">
      <w:pPr>
        <w:pStyle w:val="Heading1"/>
      </w:pPr>
      <w:bookmarkStart w:id="7" w:name="O_586745"/>
      <w:bookmarkEnd w:id="7"/>
      <w:r w:rsidRPr="00094A48">
        <w:t>Elements and Performance Criteria Pre-Content</w:t>
      </w:r>
    </w:p>
    <w:tbl>
      <w:tblPr>
        <w:tblW w:w="0" w:type="auto"/>
        <w:tblLayout w:type="fixed"/>
        <w:tblCellMar>
          <w:left w:w="62" w:type="dxa"/>
          <w:right w:w="62" w:type="dxa"/>
        </w:tblCellMar>
        <w:tblLook w:val="0000"/>
      </w:tblPr>
      <w:tblGrid>
        <w:gridCol w:w="2700"/>
        <w:gridCol w:w="5760"/>
      </w:tblGrid>
      <w:tr w:rsidTr="00B94A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rPr>
                <w:rStyle w:val="SpecialBold"/>
              </w:rPr>
              <w:t>6)</w:t>
            </w:r>
            <w:r w:rsidRPr="00094A4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t>Performance Criteria describe the required performance needed to demonstrate achievement of the element</w:t>
            </w:r>
            <w:r w:rsidRPr="00094A48">
              <w:t>. Assessment of performance is to be consistent with the Evidence Guide.</w:t>
            </w:r>
          </w:p>
        </w:tc>
      </w:tr>
    </w:tbl>
    <w:p w:rsidR="00000000" w:rsidRPr="00094A48" w:rsidP="00094A48">
      <w:pPr>
        <w:pStyle w:val="BodyText"/>
      </w:pPr>
    </w:p>
    <w:p w:rsidR="00000000" w:rsidRPr="00094A48" w:rsidP="00094A48">
      <w:pPr>
        <w:pStyle w:val="AllowPageBreak"/>
      </w:pPr>
    </w:p>
    <w:p w:rsidR="00000000" w:rsidRPr="00094A48" w:rsidP="00094A48">
      <w:pPr>
        <w:pStyle w:val="Heading1"/>
      </w:pPr>
      <w:bookmarkStart w:id="8" w:name="O_586744"/>
      <w:bookmarkEnd w:id="8"/>
      <w:r w:rsidRPr="00094A48">
        <w:t>Elements and Performance Criteria</w:t>
      </w:r>
    </w:p>
    <w:tbl>
      <w:tblPr>
        <w:tblW w:w="0" w:type="auto"/>
        <w:tblLayout w:type="fixed"/>
        <w:tblCellMar>
          <w:left w:w="62" w:type="dxa"/>
          <w:right w:w="62" w:type="dxa"/>
        </w:tblCellMar>
        <w:tblLook w:val="0000"/>
      </w:tblPr>
      <w:tblGrid>
        <w:gridCol w:w="420"/>
        <w:gridCol w:w="2097"/>
        <w:gridCol w:w="183"/>
        <w:gridCol w:w="656"/>
        <w:gridCol w:w="4525"/>
        <w:gridCol w:w="579"/>
      </w:tblGrid>
      <w:tr w:rsidTr="00B94AAB">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rPr>
                <w:rStyle w:val="SpecialBold"/>
              </w:rPr>
              <w:t>PERFORMANCE CRITERIA</w:t>
            </w:r>
          </w:p>
        </w:tc>
      </w:tr>
      <w:tr w:rsidTr="00B94AAB">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1</w:t>
            </w:r>
          </w:p>
        </w:tc>
        <w:tc>
          <w:tcPr>
            <w:tcW w:w="2097" w:type="dxa"/>
            <w:vMerge w:val="restart"/>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Prepare to repair electronic apparatus.</w:t>
            </w:r>
          </w:p>
        </w:tc>
        <w:tc>
          <w:tcPr>
            <w:tcW w:w="839" w:type="dxa"/>
            <w:gridSpan w:val="2"/>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1.1</w:t>
            </w:r>
          </w:p>
        </w:tc>
        <w:tc>
          <w:tcPr>
            <w:tcW w:w="4525"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OHS procedures for a given work area are identified, obtained and understood through established routines and procedures.</w:t>
            </w:r>
          </w:p>
        </w:tc>
      </w:tr>
      <w:tr w:rsidTr="00B94AAB">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1.2</w:t>
            </w:r>
          </w:p>
        </w:tc>
        <w:tc>
          <w:tcPr>
            <w:tcW w:w="4525"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Established OHS risk control measures and procedures are followed in preparation for the work.</w:t>
            </w:r>
          </w:p>
        </w:tc>
      </w:tr>
      <w:tr w:rsidTr="00B94AAB">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1.3</w:t>
            </w:r>
          </w:p>
        </w:tc>
        <w:tc>
          <w:tcPr>
            <w:tcW w:w="4525"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The nature of the repair is obtained from documentation or from work supervisor to establish the scope of work to be undertaken.</w:t>
            </w:r>
          </w:p>
        </w:tc>
      </w:tr>
      <w:tr w:rsidTr="00B94AAB">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1.4</w:t>
            </w:r>
          </w:p>
        </w:tc>
        <w:tc>
          <w:tcPr>
            <w:tcW w:w="4525"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Advice is sought from the work supervisor to ensure the work is co-ordinated effectively with others.</w:t>
            </w:r>
          </w:p>
        </w:tc>
      </w:tr>
      <w:tr w:rsidTr="00B94AAB">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1.5</w:t>
            </w:r>
          </w:p>
        </w:tc>
        <w:tc>
          <w:tcPr>
            <w:tcW w:w="4525"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Sources of materials that may be required for the work are established in accordance with established routines and procedures.</w:t>
            </w:r>
          </w:p>
        </w:tc>
      </w:tr>
      <w:tr w:rsidTr="00B94AAB">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1.6</w:t>
            </w:r>
          </w:p>
        </w:tc>
        <w:tc>
          <w:tcPr>
            <w:tcW w:w="4525"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Tools, apparatus and testing devices needed to carry out the work are obtained and checked for correct operation and safe</w:t>
            </w:r>
            <w:r w:rsidRPr="00094A48">
              <w:t>ty.</w:t>
            </w:r>
          </w:p>
        </w:tc>
      </w:tr>
      <w:tr w:rsidTr="00B94AAB">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2</w:t>
            </w:r>
          </w:p>
        </w:tc>
        <w:tc>
          <w:tcPr>
            <w:tcW w:w="2097" w:type="dxa"/>
            <w:vMerge w:val="restart"/>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Repair electronic apparatus.</w:t>
            </w:r>
          </w:p>
        </w:tc>
        <w:tc>
          <w:tcPr>
            <w:tcW w:w="839" w:type="dxa"/>
            <w:gridSpan w:val="2"/>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2.1</w:t>
            </w:r>
          </w:p>
        </w:tc>
        <w:tc>
          <w:tcPr>
            <w:tcW w:w="4525"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Established OHS risk control measures and procedures for carrying out the work are followed.</w:t>
            </w:r>
          </w:p>
        </w:tc>
      </w:tr>
      <w:tr w:rsidTr="00B94AAB">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2.2</w:t>
            </w:r>
          </w:p>
        </w:tc>
        <w:tc>
          <w:tcPr>
            <w:tcW w:w="4525"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The need to test or measure live is determined in strict accordance with OHS requirements and when necessary conducted within established safety procedures.</w:t>
            </w:r>
          </w:p>
        </w:tc>
      </w:tr>
      <w:tr w:rsidTr="00B94AAB">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2.3</w:t>
            </w:r>
          </w:p>
        </w:tc>
        <w:tc>
          <w:tcPr>
            <w:tcW w:w="4525"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Circuits/apparatus are checked as being isolated where necessary in strict accordance OHS requirements and procedures.</w:t>
            </w:r>
          </w:p>
        </w:tc>
      </w:tr>
      <w:tr w:rsidTr="00B94AAB">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2.4</w:t>
            </w:r>
          </w:p>
        </w:tc>
        <w:tc>
          <w:tcPr>
            <w:tcW w:w="4525"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Apparatus is dismantled in accordance with manufacturer’s guide and supervisor’s instructions.</w:t>
            </w:r>
          </w:p>
        </w:tc>
      </w:tr>
      <w:tr w:rsidTr="00B94AAB">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2.5</w:t>
            </w:r>
          </w:p>
        </w:tc>
        <w:tc>
          <w:tcPr>
            <w:tcW w:w="4525"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Component parts are tagged</w:t>
            </w:r>
            <w:r w:rsidRPr="00094A48">
              <w:t xml:space="preserve"> during the dismantling to help ensure correct and efficient reassembly and stored to protect them against loss or damage.</w:t>
            </w:r>
          </w:p>
        </w:tc>
      </w:tr>
      <w:tr w:rsidTr="00B94AAB">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2.6</w:t>
            </w:r>
          </w:p>
        </w:tc>
        <w:tc>
          <w:tcPr>
            <w:tcW w:w="4525"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Repairs are affected efficiently without damage to other components, apparatus or circuits.</w:t>
            </w:r>
          </w:p>
        </w:tc>
      </w:tr>
      <w:tr w:rsidTr="00B94AAB">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2.7</w:t>
            </w:r>
          </w:p>
        </w:tc>
        <w:tc>
          <w:tcPr>
            <w:tcW w:w="4525"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Apparatus is assembled in an appropriate sequence with all components parts placed, secured and connected in accordance with manufacturer’s guide or industry practice.</w:t>
            </w:r>
          </w:p>
        </w:tc>
      </w:tr>
      <w:tr w:rsidTr="00B94AAB">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2.8</w:t>
            </w:r>
          </w:p>
        </w:tc>
        <w:tc>
          <w:tcPr>
            <w:tcW w:w="4525"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Procedures for referring non-routine events to immediate supervisor for directio</w:t>
            </w:r>
            <w:r w:rsidRPr="00094A48">
              <w:t>ns are followed.</w:t>
            </w:r>
          </w:p>
        </w:tc>
      </w:tr>
      <w:tr w:rsidTr="00B94AAB">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2.9</w:t>
            </w:r>
          </w:p>
        </w:tc>
        <w:tc>
          <w:tcPr>
            <w:tcW w:w="4525"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Repairs are carried out efficiently without waste of materials or damage to apparatus and the surrounding environment or services and using sustainable energy practices.</w:t>
            </w:r>
          </w:p>
        </w:tc>
      </w:tr>
      <w:tr w:rsidTr="00B94AAB">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3</w:t>
            </w:r>
          </w:p>
        </w:tc>
        <w:tc>
          <w:tcPr>
            <w:tcW w:w="2097" w:type="dxa"/>
            <w:vMerge w:val="restart"/>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Complete and report repair work activities.</w:t>
            </w:r>
          </w:p>
        </w:tc>
        <w:tc>
          <w:tcPr>
            <w:tcW w:w="839" w:type="dxa"/>
            <w:gridSpan w:val="2"/>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3.1</w:t>
            </w:r>
          </w:p>
        </w:tc>
        <w:tc>
          <w:tcPr>
            <w:tcW w:w="4525"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OHS work completion risk control measures and procedures are followed.</w:t>
            </w:r>
          </w:p>
        </w:tc>
      </w:tr>
      <w:tr w:rsidTr="00B94AAB">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3.2</w:t>
            </w:r>
          </w:p>
        </w:tc>
        <w:tc>
          <w:tcPr>
            <w:tcW w:w="4525"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Repaired apparatus is prepared and forwarded to appropriate person(s) for testing.</w:t>
            </w:r>
          </w:p>
        </w:tc>
      </w:tr>
      <w:tr w:rsidTr="00B94AAB">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3.3</w:t>
            </w:r>
          </w:p>
        </w:tc>
        <w:tc>
          <w:tcPr>
            <w:tcW w:w="4525"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Work area is cleaned and made safe in accordance with established procedures.</w:t>
            </w:r>
          </w:p>
        </w:tc>
      </w:tr>
      <w:tr w:rsidTr="00B94AAB">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3.4</w:t>
            </w:r>
          </w:p>
        </w:tc>
        <w:tc>
          <w:tcPr>
            <w:tcW w:w="4525"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t>Work supervisor is notified of the completion of the repair work in accordance with established procedures.</w:t>
            </w:r>
          </w:p>
        </w:tc>
      </w:tr>
    </w:tbl>
    <w:p w:rsidR="00000000" w:rsidRPr="00094A48" w:rsidP="00094A48">
      <w:pPr>
        <w:pStyle w:val="BodyText"/>
      </w:pPr>
    </w:p>
    <w:p w:rsidR="00000000" w:rsidRPr="00094A48" w:rsidP="00094A48">
      <w:pPr>
        <w:pStyle w:val="AllowPageBreak"/>
      </w:pPr>
    </w:p>
    <w:p w:rsidR="00000000" w:rsidRPr="00094A48" w:rsidP="00094A48">
      <w:pPr>
        <w:pStyle w:val="Heading1"/>
      </w:pPr>
      <w:bookmarkStart w:id="9" w:name="O_586743"/>
      <w:bookmarkEnd w:id="9"/>
      <w:r w:rsidRPr="00094A48">
        <w:t>Required Skills and Knowledge</w:t>
      </w:r>
    </w:p>
    <w:tbl>
      <w:tblPr>
        <w:tblW w:w="0" w:type="auto"/>
        <w:tblLayout w:type="fixed"/>
        <w:tblCellMar>
          <w:left w:w="62" w:type="dxa"/>
          <w:right w:w="62" w:type="dxa"/>
        </w:tblCellMar>
        <w:tblLook w:val="0000"/>
      </w:tblPr>
      <w:tblGrid>
        <w:gridCol w:w="8460"/>
      </w:tblGrid>
      <w:tr w:rsidTr="00B94AA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rPr>
                <w:rStyle w:val="SpecialBold"/>
              </w:rPr>
              <w:t>REQUIRED SKILLS AND KNOWLEDGE</w:t>
            </w:r>
          </w:p>
        </w:tc>
      </w:tr>
      <w:tr w:rsidTr="00B94AA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rPr>
                <w:rStyle w:val="SpecialBold"/>
              </w:rPr>
              <w:t>8)</w:t>
            </w:r>
            <w:r w:rsidRPr="00094A48">
              <w:t xml:space="preserve"> This describes the essential skills and knowledge and their level, required for this unit.</w:t>
            </w:r>
          </w:p>
          <w:p w:rsidR="00000000" w:rsidRPr="00094A48" w:rsidP="00094A48">
            <w:pPr>
              <w:pStyle w:val="BodyText"/>
            </w:pPr>
            <w:r w:rsidRPr="00094A48">
              <w:t xml:space="preserve">Evidence shall show that knowledge has been acquired of safe working practices and carrying out basic repairs to electronic apparatus by replacement of components. </w:t>
            </w:r>
          </w:p>
          <w:p w:rsidR="00000000" w:rsidRPr="00094A48" w:rsidP="00094A48">
            <w:pPr>
              <w:pStyle w:val="BodyText"/>
            </w:pPr>
            <w:r w:rsidRPr="00094A48">
              <w:t>All knowledge and skills detailed in this unit should be contextualised to current industry practices and technologies.</w:t>
            </w:r>
          </w:p>
          <w:p w:rsidR="00000000" w:rsidRPr="00094A48" w:rsidP="00094A48">
            <w:pPr>
              <w:pStyle w:val="BodyText"/>
            </w:pPr>
            <w:r w:rsidRPr="00094A48">
              <w:rPr>
                <w:rStyle w:val="SpecialBold"/>
              </w:rPr>
              <w:t>KS01-EH102A</w:t>
            </w:r>
            <w:r w:rsidRPr="00094A48">
              <w:rPr>
                <w:rStyle w:val="SpecialBold"/>
              </w:rPr>
              <w:tab/>
              <w:t xml:space="preserve">              Component replacement to repair basic electronic apparatus faults</w:t>
            </w:r>
          </w:p>
          <w:p w:rsidR="00000000" w:rsidRPr="00094A48" w:rsidP="00094A48">
            <w:pPr>
              <w:pStyle w:val="BodyText"/>
            </w:pPr>
            <w:r w:rsidRPr="00094A48">
              <w:t>Evidence shall show an understanding of com</w:t>
            </w:r>
            <w:r w:rsidRPr="00094A48">
              <w:t>ponent replacement to repair basic electronic apparatus faults, applying safe working practices and relevant Standards, Codes and Regulations to an extent indicated by the following aspects:</w:t>
            </w:r>
          </w:p>
          <w:p w:rsidR="00000000" w:rsidRPr="00094A48" w:rsidP="00094A48">
            <w:pPr>
              <w:pStyle w:val="BodyText"/>
            </w:pPr>
            <w:r w:rsidRPr="00094A48">
              <w:t>T1.</w:t>
            </w:r>
            <w:r w:rsidRPr="00094A48">
              <w:tab/>
              <w:t>Electronic soldering equipment and techniques</w:t>
            </w:r>
          </w:p>
          <w:p w:rsidR="00000000" w:rsidRPr="00094A48" w:rsidP="00094A48">
            <w:pPr>
              <w:pStyle w:val="ListBullet"/>
            </w:pPr>
            <w:r w:rsidRPr="00094A48">
              <w:t>Workshop hazar</w:t>
            </w:r>
            <w:r w:rsidRPr="00094A48">
              <w:t>ds and safety  associated with soldering</w:t>
            </w:r>
          </w:p>
          <w:p w:rsidR="00000000" w:rsidRPr="00094A48" w:rsidP="00094A48">
            <w:pPr>
              <w:pStyle w:val="ListBullet"/>
            </w:pPr>
            <w:r w:rsidRPr="00094A48">
              <w:t>Quality concepts</w:t>
            </w:r>
          </w:p>
          <w:p w:rsidR="00000000" w:rsidRPr="00094A48" w:rsidP="00094A48">
            <w:pPr>
              <w:pStyle w:val="ListBullet"/>
            </w:pPr>
            <w:r w:rsidRPr="00094A48">
              <w:t xml:space="preserve">Electronic soldering equipment </w:t>
            </w:r>
          </w:p>
          <w:p w:rsidR="00000000" w:rsidRPr="00094A48" w:rsidP="00094A48">
            <w:pPr>
              <w:pStyle w:val="ListBullet"/>
            </w:pPr>
            <w:r w:rsidRPr="00094A48">
              <w:t xml:space="preserve">The soldering process </w:t>
            </w:r>
          </w:p>
          <w:p w:rsidR="00000000" w:rsidRPr="00094A48" w:rsidP="00094A48">
            <w:pPr>
              <w:pStyle w:val="ListBullet"/>
            </w:pPr>
            <w:r w:rsidRPr="00094A48">
              <w:t>Lead free solder</w:t>
            </w:r>
          </w:p>
          <w:p w:rsidR="00000000" w:rsidRPr="00094A48" w:rsidP="00094A48">
            <w:pPr>
              <w:pStyle w:val="BodyText"/>
            </w:pPr>
            <w:r w:rsidRPr="00094A48">
              <w:t>T2.</w:t>
            </w:r>
            <w:r w:rsidRPr="00094A48">
              <w:tab/>
              <w:t>Printed circuit board soldering techniques</w:t>
            </w:r>
          </w:p>
          <w:p w:rsidR="00000000" w:rsidRPr="00094A48" w:rsidP="00094A48">
            <w:pPr>
              <w:pStyle w:val="ListBullet"/>
            </w:pPr>
            <w:r w:rsidRPr="00094A48">
              <w:t>Electronic component mounting</w:t>
            </w:r>
          </w:p>
          <w:p w:rsidR="00000000" w:rsidRPr="00094A48" w:rsidP="00094A48">
            <w:pPr>
              <w:pStyle w:val="ListBullet"/>
            </w:pPr>
            <w:r w:rsidRPr="00094A48">
              <w:t xml:space="preserve">Solder rework of printed circuit boards. </w:t>
            </w:r>
          </w:p>
          <w:p w:rsidR="00000000" w:rsidRPr="00094A48" w:rsidP="00094A48">
            <w:pPr>
              <w:pStyle w:val="ListBullet"/>
            </w:pPr>
            <w:r w:rsidRPr="00094A48">
              <w:t>Faulty solder joints</w:t>
            </w:r>
          </w:p>
          <w:p w:rsidR="00000000" w:rsidRPr="00094A48" w:rsidP="00094A48">
            <w:pPr>
              <w:pStyle w:val="BodyText"/>
            </w:pPr>
            <w:r w:rsidRPr="00094A48">
              <w:t>T3.</w:t>
            </w:r>
            <w:r w:rsidRPr="00094A48">
              <w:tab/>
              <w:t>Soldering electronic cables</w:t>
            </w:r>
          </w:p>
          <w:p w:rsidR="00000000" w:rsidRPr="00094A48" w:rsidP="00094A48">
            <w:pPr>
              <w:pStyle w:val="ListBullet"/>
            </w:pPr>
            <w:r w:rsidRPr="00094A48">
              <w:t>Soldering multi-strand, ribbon and coaxial cables</w:t>
            </w:r>
          </w:p>
          <w:p w:rsidR="00000000" w:rsidRPr="00094A48" w:rsidP="00094A48">
            <w:pPr>
              <w:pStyle w:val="ListBullet"/>
            </w:pPr>
            <w:r w:rsidRPr="00094A48">
              <w:t>Effects and prevention of electrostatic discharge (ESD)</w:t>
            </w:r>
          </w:p>
          <w:p w:rsidR="00000000" w:rsidRPr="00094A48" w:rsidP="00094A48">
            <w:pPr>
              <w:pStyle w:val="BodyText"/>
            </w:pPr>
            <w:r w:rsidRPr="00094A48">
              <w:t>T4.</w:t>
            </w:r>
            <w:r w:rsidRPr="00094A48">
              <w:tab/>
              <w:t>Electronic component basics</w:t>
            </w:r>
          </w:p>
          <w:p w:rsidR="00000000" w:rsidRPr="00094A48" w:rsidP="00094A48">
            <w:pPr>
              <w:pStyle w:val="ListBullet"/>
            </w:pPr>
            <w:r w:rsidRPr="00094A48">
              <w:t>Types of components</w:t>
            </w:r>
          </w:p>
          <w:p w:rsidR="00000000" w:rsidRPr="00094A48" w:rsidP="00094A48">
            <w:pPr>
              <w:pStyle w:val="ListBullet"/>
            </w:pPr>
            <w:r w:rsidRPr="00094A48">
              <w:t>The physical features and primary character</w:t>
            </w:r>
            <w:r w:rsidRPr="00094A48">
              <w:t xml:space="preserve">istic of components  </w:t>
            </w:r>
          </w:p>
          <w:p w:rsidR="00000000" w:rsidRPr="00094A48" w:rsidP="00094A48">
            <w:pPr>
              <w:pStyle w:val="ListBullet"/>
            </w:pPr>
            <w:r w:rsidRPr="00094A48">
              <w:t>Marking and codes on components</w:t>
            </w:r>
          </w:p>
          <w:p w:rsidR="00000000" w:rsidRPr="00094A48" w:rsidP="00094A48">
            <w:pPr>
              <w:pStyle w:val="ListBullet"/>
            </w:pPr>
            <w:r w:rsidRPr="00094A48">
              <w:t>Handling static sensitive components</w:t>
            </w:r>
          </w:p>
          <w:p w:rsidR="00000000" w:rsidRPr="00094A48" w:rsidP="00094A48">
            <w:pPr>
              <w:pStyle w:val="BodyText"/>
            </w:pPr>
            <w:r w:rsidRPr="00094A48">
              <w:t>T5.</w:t>
            </w:r>
            <w:r w:rsidRPr="00094A48">
              <w:tab/>
              <w:t>Electronic cable overview and coaxial cable</w:t>
            </w:r>
          </w:p>
          <w:p w:rsidR="00000000" w:rsidRPr="00094A48" w:rsidP="00094A48">
            <w:pPr>
              <w:pStyle w:val="ListBullet"/>
            </w:pPr>
            <w:r w:rsidRPr="00094A48">
              <w:t>Coaxial cables types and characteristics</w:t>
            </w:r>
          </w:p>
          <w:p w:rsidR="00000000" w:rsidRPr="00094A48" w:rsidP="00094A48">
            <w:pPr>
              <w:pStyle w:val="ListBullet"/>
            </w:pPr>
            <w:r w:rsidRPr="00094A48">
              <w:t>Coaxial cable termination</w:t>
            </w:r>
          </w:p>
          <w:p w:rsidR="00000000" w:rsidRPr="00094A48" w:rsidP="00094A48">
            <w:pPr>
              <w:pStyle w:val="BodyText"/>
            </w:pPr>
            <w:r w:rsidRPr="00094A48">
              <w:t>T6.</w:t>
            </w:r>
            <w:r w:rsidRPr="00094A48">
              <w:tab/>
              <w:t>Performance copper cables</w:t>
            </w:r>
          </w:p>
          <w:p w:rsidR="00000000" w:rsidRPr="00094A48" w:rsidP="00094A48">
            <w:pPr>
              <w:pStyle w:val="ListBullet"/>
            </w:pPr>
            <w:r w:rsidRPr="00094A48">
              <w:t>Twisted pair voice and data cables</w:t>
            </w:r>
          </w:p>
          <w:p w:rsidR="00000000" w:rsidRPr="00094A48" w:rsidP="00094A48">
            <w:pPr>
              <w:pStyle w:val="ListBullet"/>
            </w:pPr>
            <w:r w:rsidRPr="00094A48">
              <w:t>Insulation displacement (IDC) termination</w:t>
            </w:r>
          </w:p>
          <w:p w:rsidR="00000000" w:rsidRPr="00094A48" w:rsidP="00094A48">
            <w:pPr>
              <w:pStyle w:val="ListBullet"/>
            </w:pPr>
            <w:r w:rsidRPr="00094A48">
              <w:t>Colour codes</w:t>
            </w:r>
          </w:p>
          <w:p w:rsidR="00000000" w:rsidRPr="00094A48" w:rsidP="00094A48">
            <w:pPr>
              <w:pStyle w:val="ListBullet"/>
            </w:pPr>
            <w:r w:rsidRPr="00094A48">
              <w:t>Terminating performance cables</w:t>
            </w:r>
          </w:p>
          <w:p w:rsidR="00000000" w:rsidRPr="00094A48" w:rsidP="00094A48">
            <w:pPr>
              <w:pStyle w:val="ListBullet"/>
            </w:pPr>
            <w:r w:rsidRPr="00094A48">
              <w:t>Harness wiring</w:t>
            </w:r>
          </w:p>
          <w:p w:rsidR="00000000" w:rsidRPr="00094A48" w:rsidP="00094A48">
            <w:pPr>
              <w:pStyle w:val="BodyText"/>
            </w:pPr>
            <w:r w:rsidRPr="00094A48">
              <w:t>T7.</w:t>
            </w:r>
            <w:r w:rsidRPr="00094A48">
              <w:tab/>
              <w:t>Electronic apparatus components</w:t>
            </w:r>
          </w:p>
          <w:p w:rsidR="00000000" w:rsidRPr="00094A48" w:rsidP="00094A48">
            <w:pPr>
              <w:pStyle w:val="ListBullet"/>
            </w:pPr>
            <w:r w:rsidRPr="00094A48">
              <w:t>Fault finding</w:t>
            </w:r>
          </w:p>
          <w:p w:rsidR="00000000" w:rsidRPr="00094A48" w:rsidP="00094A48">
            <w:pPr>
              <w:pStyle w:val="ListBullet"/>
            </w:pPr>
            <w:r w:rsidRPr="00094A48">
              <w:t>Testing</w:t>
            </w:r>
          </w:p>
          <w:p w:rsidR="00000000" w:rsidRPr="00094A48" w:rsidP="00094A48">
            <w:pPr>
              <w:pStyle w:val="ListBullet"/>
            </w:pPr>
            <w:r w:rsidRPr="00094A48">
              <w:t>Replacement</w:t>
            </w:r>
          </w:p>
        </w:tc>
      </w:tr>
    </w:tbl>
    <w:p w:rsidR="00000000" w:rsidRPr="00094A48" w:rsidP="00094A48">
      <w:pPr>
        <w:pStyle w:val="BodyText"/>
      </w:pPr>
    </w:p>
    <w:p w:rsidR="00000000" w:rsidRPr="00094A48" w:rsidP="00094A48">
      <w:pPr>
        <w:pStyle w:val="AllowPageBreak"/>
      </w:pPr>
    </w:p>
    <w:p w:rsidR="00000000" w:rsidRPr="00094A48" w:rsidP="00094A48">
      <w:pPr>
        <w:pStyle w:val="Heading1"/>
      </w:pPr>
      <w:bookmarkStart w:id="10" w:name="O_586742"/>
      <w:bookmarkEnd w:id="10"/>
      <w:r w:rsidRPr="00094A48">
        <w:t>Evidence Guide</w:t>
      </w:r>
    </w:p>
    <w:tbl>
      <w:tblPr>
        <w:tblW w:w="0" w:type="auto"/>
        <w:tblLayout w:type="fixed"/>
        <w:tblCellMar>
          <w:left w:w="62" w:type="dxa"/>
          <w:right w:w="62" w:type="dxa"/>
        </w:tblCellMar>
        <w:tblLook w:val="0000"/>
      </w:tblPr>
      <w:tblGrid>
        <w:gridCol w:w="8460"/>
      </w:tblGrid>
      <w:tr w:rsidTr="00B94AA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rPr>
                <w:rStyle w:val="SpecialBold"/>
              </w:rPr>
              <w:t>EVIDENCE GUIDE</w:t>
            </w:r>
          </w:p>
        </w:tc>
      </w:tr>
      <w:tr w:rsidTr="00B94A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rPr>
                <w:rStyle w:val="SpecialBold"/>
              </w:rPr>
              <w:t>9)</w:t>
            </w:r>
            <w:r w:rsidRPr="00094A48">
              <w:t xml:space="preserve"> The evidence guide provides advice on assessment and must be read in conjunction with the Performance Criteria, Required Skills and Knowledge, the Range Statement and the Assessment Guidelines for this Training Package. .</w:t>
            </w:r>
          </w:p>
          <w:p w:rsidR="00000000" w:rsidRPr="00094A48" w:rsidP="00094A48">
            <w:pPr>
              <w:pStyle w:val="BodyText"/>
            </w:pPr>
            <w:r w:rsidRPr="00094A48">
              <w:t>The Evidence Guide forms an in</w:t>
            </w:r>
            <w:r w:rsidRPr="00094A48">
              <w:t>tegral part of this unit. It must be used in conjunction with all parts of the unit and performed in accordance with the Assessment Guidelines of this Training Package.</w:t>
            </w:r>
          </w:p>
        </w:tc>
      </w:tr>
    </w:tbl>
    <w:p w:rsidR="00000000" w:rsidRPr="00094A48" w:rsidP="00094A48">
      <w:pPr>
        <w:pStyle w:val="BodyText"/>
      </w:pPr>
    </w:p>
    <w:tbl>
      <w:tblPr>
        <w:tblW w:w="0" w:type="auto"/>
        <w:tblLayout w:type="fixed"/>
        <w:tblCellMar>
          <w:left w:w="62" w:type="dxa"/>
          <w:right w:w="62" w:type="dxa"/>
        </w:tblCellMar>
        <w:tblLook w:val="0000"/>
      </w:tblPr>
      <w:tblGrid>
        <w:gridCol w:w="1890"/>
        <w:gridCol w:w="6570"/>
      </w:tblGrid>
      <w:tr w:rsidTr="00B94A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rPr>
                <w:rStyle w:val="SpecialBold"/>
              </w:rPr>
              <w:t>9.1)</w:t>
            </w:r>
          </w:p>
        </w:tc>
      </w:tr>
      <w:tr w:rsidTr="00B94A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t>Longitudinal competency development approaches to asses</w:t>
            </w:r>
            <w:r w:rsidRPr="00094A48">
              <w:t>sment, such as Profiling, require data to be reliably gathered in a form that can be consistently interpreted over time. This approach is best utilised in Apprenticeship programs and reduces assessment intervention. It is the Industry-preferred model for a</w:t>
            </w:r>
            <w:r w:rsidRPr="00094A48">
              <w:t>pprenticeships. However, where summative (or final) assessment is used it must include the application of the competency in the normal work environment or, at a minimum, the application of the competency in a realistically simulated work environment. It is</w:t>
            </w:r>
            <w:r w:rsidRPr="00094A48">
              <w:t xml:space="preserve"> recognised that, in some circumstances, assessment in part or full can occur outside the workplace. However, it must be in accord with industry and regulatory policy.</w:t>
            </w:r>
          </w:p>
          <w:p w:rsidR="00000000" w:rsidRPr="00094A48" w:rsidP="00094A48">
            <w:pPr>
              <w:pStyle w:val="BodyText"/>
            </w:pPr>
            <w:r w:rsidRPr="00094A48">
              <w:t>Methods chosen for a particular assessment will be influenced by various factors. These include the extent of the assessment, the most effective locations for the assessment activities to take place, access to physical resources, additional safety measures</w:t>
            </w:r>
            <w:r w:rsidRPr="00094A48">
              <w:t xml:space="preserve"> that may be required and the critical nature of the competencies being assessed.</w:t>
            </w:r>
          </w:p>
          <w:p w:rsidR="00000000" w:rsidRPr="00094A48" w:rsidP="00094A48">
            <w:pPr>
              <w:pStyle w:val="BodyText"/>
            </w:pPr>
            <w:r w:rsidRPr="00094A48">
              <w:t>The critical safety nature of working with electricity, electrical equipment, gas or any other hazardous substance/material carries risk in deeming a person competent. Source</w:t>
            </w:r>
            <w:r w:rsidRPr="00094A48">
              <w:t>s of evidence need to be ‘rich’ in nature to minimise error in judgment.</w:t>
            </w:r>
          </w:p>
          <w:p w:rsidR="00000000" w:rsidRPr="00094A48" w:rsidP="00094A48">
            <w:pPr>
              <w:pStyle w:val="BodyText"/>
            </w:pPr>
            <w:r w:rsidRPr="00094A48">
              <w:t>Activities associated with normal everyday work influence decisions about how/how much the data gathered will contribute to its ‘richness’. Some skills are more critical to safety and</w:t>
            </w:r>
            <w:r w:rsidRPr="00094A48">
              <w:t xml:space="preserve"> operational requirements while the same skills may be more or less frequently practised. These points are raised for the assessors to consider when choosing an assessment method and developing assessment instruments. Sample assessment instruments are incl</w:t>
            </w:r>
            <w:r w:rsidRPr="00094A48">
              <w:t>uded for Assessors in the Assessment Guidelines of this Training Package.</w:t>
            </w:r>
          </w:p>
        </w:tc>
      </w:tr>
    </w:tbl>
    <w:p w:rsidR="00000000" w:rsidRPr="00094A48" w:rsidP="00094A48">
      <w:pPr>
        <w:pStyle w:val="BodyText"/>
      </w:pPr>
    </w:p>
    <w:tbl>
      <w:tblPr>
        <w:tblW w:w="0" w:type="auto"/>
        <w:tblLayout w:type="fixed"/>
        <w:tblCellMar>
          <w:left w:w="62" w:type="dxa"/>
          <w:right w:w="62" w:type="dxa"/>
        </w:tblCellMar>
        <w:tblLook w:val="0000"/>
      </w:tblPr>
      <w:tblGrid>
        <w:gridCol w:w="1890"/>
        <w:gridCol w:w="6570"/>
      </w:tblGrid>
      <w:tr w:rsidTr="00B94A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rPr>
                <w:rStyle w:val="SpecialBold"/>
              </w:rPr>
              <w:t>9.2)</w:t>
            </w:r>
          </w:p>
        </w:tc>
      </w:tr>
      <w:tr w:rsidTr="00B94A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t>Before the critical aspects of evidence are considered all prerequisites shall be met.</w:t>
            </w:r>
          </w:p>
          <w:p w:rsidR="00000000" w:rsidRPr="00094A48" w:rsidP="00094A48">
            <w:pPr>
              <w:pStyle w:val="BodyText"/>
            </w:pPr>
            <w:r w:rsidRPr="00094A48">
              <w:t xml:space="preserve">Evidence </w:t>
            </w:r>
            <w:r w:rsidRPr="00094A48">
              <w:t>for competence in this unit shall be considered holistically.  Each Element and associated performance criteria shall be demonstrated on at least two occasions in accordance with the ‘Assessment Guidelines – UEE11’.  Evidence shall also comprise:</w:t>
            </w:r>
          </w:p>
          <w:p w:rsidR="00000000" w:rsidRPr="00094A48" w:rsidP="00094A48">
            <w:pPr>
              <w:pStyle w:val="ListBullet"/>
            </w:pPr>
            <w:r w:rsidRPr="00094A48">
              <w:t>A repres</w:t>
            </w:r>
            <w:r w:rsidRPr="00094A48">
              <w:t>entative body of work performance demonstrated within the timeframes typically expected of the discipline, work function and industrial environment. In particular this shall incorporate evidence that shows a candidate is able to:</w:t>
            </w:r>
          </w:p>
          <w:p w:rsidR="00000000" w:rsidRPr="00094A48" w:rsidP="00094A48">
            <w:pPr>
              <w:pStyle w:val="ListBullet2"/>
            </w:pPr>
            <w:r w:rsidRPr="00094A48">
              <w:t>Implement Occupational He</w:t>
            </w:r>
            <w:r w:rsidRPr="00094A48">
              <w:t>alth and Safety workplace procedures and practices, including the use of risk control measures as specified in the performance criteria and range statement</w:t>
            </w:r>
          </w:p>
          <w:p w:rsidR="00000000" w:rsidRPr="00094A48" w:rsidP="00094A48">
            <w:pPr>
              <w:pStyle w:val="ListBullet2"/>
            </w:pPr>
            <w:r w:rsidRPr="00094A48">
              <w:t>Apply sustainable energy principles and practices as specified in the performance criteria and range statement</w:t>
            </w:r>
          </w:p>
          <w:p w:rsidR="00000000" w:rsidRPr="00094A48" w:rsidP="00094A48">
            <w:pPr>
              <w:pStyle w:val="ListBullet2"/>
            </w:pPr>
            <w:r w:rsidRPr="00094A48">
              <w:t>Demonstrate an understanding of the essential knowledge and associated skills as described in this unit. It may be required by some jurisdictions</w:t>
            </w:r>
            <w:r w:rsidRPr="00094A48">
              <w:t xml:space="preserve"> that RTOs provide a percentile graded result for the purpose of regulatory or licensing requirements.</w:t>
            </w:r>
          </w:p>
          <w:p w:rsidR="00000000" w:rsidRPr="00094A48" w:rsidP="00094A48">
            <w:pPr>
              <w:pStyle w:val="ListBullet2"/>
            </w:pPr>
            <w:r w:rsidRPr="00094A48">
              <w:t>Demonstrate an appropriate level of skills enabling employment</w:t>
            </w:r>
          </w:p>
          <w:p w:rsidR="00000000" w:rsidRPr="00094A48" w:rsidP="00094A48">
            <w:pPr>
              <w:pStyle w:val="ListBullet2"/>
            </w:pPr>
            <w:r w:rsidRPr="00094A48">
              <w:t xml:space="preserve">Conduct work observing the relevant Anti Discrimination legislation, regulations, polices </w:t>
            </w:r>
            <w:r w:rsidRPr="00094A48">
              <w:t>and workplace procedures</w:t>
            </w:r>
          </w:p>
          <w:p w:rsidR="00000000" w:rsidRPr="00094A48" w:rsidP="00094A48">
            <w:pPr>
              <w:pStyle w:val="ListBullet"/>
            </w:pPr>
            <w:r w:rsidRPr="00094A48">
              <w:t>Demonstrated consistent performance across a representative range of contexts from the prescribed items below:</w:t>
            </w:r>
          </w:p>
          <w:p w:rsidR="00000000" w:rsidRPr="00094A48" w:rsidP="00094A48">
            <w:pPr>
              <w:pStyle w:val="ListBullet2"/>
            </w:pPr>
            <w:r w:rsidRPr="00094A48">
              <w:t>Carry out basic repairs to electronic apparatus by replacement of components as described in 8) and including:</w:t>
            </w:r>
          </w:p>
          <w:p w:rsidR="00000000" w:rsidRPr="00094A48" w:rsidP="00094A48">
            <w:pPr>
              <w:pStyle w:val="BodyText"/>
            </w:pPr>
            <w:r w:rsidRPr="00094A48">
              <w:t>A</w:t>
            </w:r>
            <w:r w:rsidRPr="00094A48">
              <w:tab/>
              <w:t>Follo</w:t>
            </w:r>
            <w:r w:rsidRPr="00094A48">
              <w:t>wing manufacturer service instructions for access to components.</w:t>
            </w:r>
          </w:p>
          <w:p w:rsidR="00000000" w:rsidRPr="00094A48" w:rsidP="00094A48">
            <w:pPr>
              <w:pStyle w:val="BodyText"/>
            </w:pPr>
            <w:r w:rsidRPr="00094A48">
              <w:t>B</w:t>
            </w:r>
            <w:r w:rsidRPr="00094A48">
              <w:tab/>
              <w:t>Removing at least three different types of components specified in the work instructions.</w:t>
            </w:r>
          </w:p>
          <w:p w:rsidR="00000000" w:rsidRPr="00094A48" w:rsidP="00094A48">
            <w:pPr>
              <w:pStyle w:val="BodyText"/>
            </w:pPr>
            <w:r w:rsidRPr="00094A48">
              <w:t>C</w:t>
            </w:r>
            <w:r w:rsidRPr="00094A48">
              <w:tab/>
              <w:t>Replacing components to manufacturer requirements.</w:t>
            </w:r>
          </w:p>
          <w:p w:rsidR="00000000" w:rsidRPr="00094A48" w:rsidP="00094A48">
            <w:pPr>
              <w:pStyle w:val="BodyText"/>
            </w:pPr>
            <w:r w:rsidRPr="00094A48">
              <w:t>D</w:t>
            </w:r>
            <w:r w:rsidRPr="00094A48">
              <w:tab/>
              <w:t>Terminating correctly electronic cables usin</w:t>
            </w:r>
            <w:r w:rsidRPr="00094A48">
              <w:t>g solderless termination techniques</w:t>
            </w:r>
          </w:p>
          <w:p w:rsidR="00000000" w:rsidRPr="00094A48" w:rsidP="00094A48">
            <w:pPr>
              <w:pStyle w:val="BodyText"/>
            </w:pPr>
            <w:r w:rsidRPr="00094A48">
              <w:t>E</w:t>
            </w:r>
            <w:r w:rsidRPr="00094A48">
              <w:tab/>
              <w:t>De-soldering and soldering to a high reliability standard and without damage to components.</w:t>
            </w:r>
          </w:p>
          <w:p w:rsidR="00000000" w:rsidRPr="00094A48" w:rsidP="00094A48">
            <w:pPr>
              <w:pStyle w:val="BodyText"/>
            </w:pPr>
            <w:r w:rsidRPr="00094A48">
              <w:t>F</w:t>
            </w:r>
            <w:r w:rsidRPr="00094A48">
              <w:tab/>
              <w:t>Reassembling the apparatus correctly.</w:t>
            </w:r>
          </w:p>
          <w:p w:rsidR="00000000" w:rsidRPr="00094A48" w:rsidP="00094A48">
            <w:pPr>
              <w:pStyle w:val="BodyText"/>
            </w:pPr>
            <w:r w:rsidRPr="00094A48">
              <w:t>G</w:t>
            </w:r>
            <w:r w:rsidRPr="00094A48">
              <w:tab/>
              <w:t>Testing apparatus operation.</w:t>
            </w:r>
          </w:p>
          <w:p w:rsidR="00000000" w:rsidRPr="00094A48" w:rsidP="00094A48">
            <w:pPr>
              <w:pStyle w:val="BodyText"/>
            </w:pPr>
            <w:r w:rsidRPr="00094A48">
              <w:t>H</w:t>
            </w:r>
            <w:r w:rsidRPr="00094A48">
              <w:tab/>
            </w:r>
            <w:r w:rsidRPr="00094A48">
              <w:t>Dealing with unplanned events by drawing on essential knowledge and skills to provide appropriate solutions incorporated in a holistic assessment with the above listed items.</w:t>
            </w:r>
          </w:p>
          <w:p w:rsidR="00000000" w:rsidRPr="00094A48" w:rsidP="00094A48">
            <w:pPr>
              <w:pStyle w:val="BodyText"/>
            </w:pPr>
            <w:r w:rsidRPr="00094A48">
              <w:t xml:space="preserve">Note: </w:t>
            </w:r>
          </w:p>
          <w:p w:rsidR="00000000" w:rsidRPr="00094A48" w:rsidP="00094A48">
            <w:pPr>
              <w:pStyle w:val="BodyText"/>
            </w:pPr>
            <w:r w:rsidRPr="00094A48">
              <w:t>Successful completion of relevant vendor training may be used to contribut</w:t>
            </w:r>
            <w:r w:rsidRPr="00094A48">
              <w:t>e to evidence on which competency is deemed. In these cases the alignment of outcomes of vendor training with performance criteria and critical aspects of evidence shall be clearly identified.</w:t>
            </w:r>
          </w:p>
        </w:tc>
      </w:tr>
    </w:tbl>
    <w:p w:rsidR="00000000" w:rsidRPr="00094A48" w:rsidP="00094A48">
      <w:pPr>
        <w:pStyle w:val="BodyText"/>
      </w:pPr>
    </w:p>
    <w:tbl>
      <w:tblPr>
        <w:tblW w:w="0" w:type="auto"/>
        <w:tblLayout w:type="fixed"/>
        <w:tblCellMar>
          <w:left w:w="62" w:type="dxa"/>
          <w:right w:w="62" w:type="dxa"/>
        </w:tblCellMar>
        <w:tblLook w:val="0000"/>
      </w:tblPr>
      <w:tblGrid>
        <w:gridCol w:w="1890"/>
        <w:gridCol w:w="6570"/>
      </w:tblGrid>
      <w:tr w:rsidTr="00B94AA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rPr>
                <w:rStyle w:val="SpecialBold"/>
              </w:rPr>
              <w:t>9.3)</w:t>
            </w:r>
          </w:p>
        </w:tc>
      </w:tr>
      <w:tr w:rsidTr="00B94AA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t xml:space="preserve">This </w:t>
            </w:r>
            <w:r w:rsidRPr="00094A48">
              <w:t>unit should be assessed as it relates to normal work practice using procedures, information and resources typical of a workplace. This should include:</w:t>
            </w:r>
          </w:p>
          <w:p w:rsidR="00000000" w:rsidRPr="00094A48" w:rsidP="00094A48">
            <w:pPr>
              <w:pStyle w:val="ListBullet"/>
            </w:pPr>
            <w:r w:rsidRPr="00094A48">
              <w:t>OHS policy and work procedures and instructions.</w:t>
            </w:r>
          </w:p>
          <w:p w:rsidR="00000000" w:rsidRPr="00094A48" w:rsidP="00094A48">
            <w:pPr>
              <w:pStyle w:val="ListBullet"/>
            </w:pPr>
            <w:r w:rsidRPr="00094A48">
              <w:t>Suitable work environment, facilities, equipment and materials to undertake actual work as prescribed by this unit.</w:t>
            </w:r>
          </w:p>
          <w:p w:rsidR="00000000" w:rsidRPr="00094A48" w:rsidP="00094A48">
            <w:pPr>
              <w:pStyle w:val="BodyText"/>
            </w:pPr>
            <w:r w:rsidRPr="00094A48">
              <w:t>These should be part of the formal learning/assessment environment.</w:t>
            </w:r>
          </w:p>
          <w:p w:rsidR="00000000" w:rsidRPr="00094A48" w:rsidP="00094A48">
            <w:pPr>
              <w:pStyle w:val="BodyText"/>
            </w:pPr>
            <w:r w:rsidRPr="00094A48">
              <w:t>Note: Where simulation is considered a suitable strategy for assessment,</w:t>
            </w:r>
            <w:r w:rsidRPr="00094A48">
              <w:t xml:space="preserve"> conditions must be authentic and as far as possible reproduce and replicate the workplace and be consistent with the approved industry simulation policy.</w:t>
            </w:r>
          </w:p>
          <w:p w:rsidR="00000000" w:rsidRPr="00094A48" w:rsidP="00094A48">
            <w:pPr>
              <w:pStyle w:val="BodyText"/>
            </w:pPr>
            <w:r w:rsidRPr="00094A48">
              <w:t>The resources used for assessment should reflect current industry practices in relation to carrying o</w:t>
            </w:r>
            <w:r w:rsidRPr="00094A48">
              <w:t>ut basic repairs to electronic apparatus by replacement of components.</w:t>
            </w:r>
          </w:p>
        </w:tc>
      </w:tr>
    </w:tbl>
    <w:p w:rsidR="00000000" w:rsidRPr="00094A48" w:rsidP="00094A48">
      <w:pPr>
        <w:pStyle w:val="BodyText"/>
      </w:pPr>
    </w:p>
    <w:tbl>
      <w:tblPr>
        <w:tblW w:w="0" w:type="auto"/>
        <w:tblLayout w:type="fixed"/>
        <w:tblCellMar>
          <w:left w:w="62" w:type="dxa"/>
          <w:right w:w="62" w:type="dxa"/>
        </w:tblCellMar>
        <w:tblLook w:val="0000"/>
      </w:tblPr>
      <w:tblGrid>
        <w:gridCol w:w="1890"/>
        <w:gridCol w:w="6570"/>
      </w:tblGrid>
      <w:tr w:rsidTr="00B94A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rPr>
                <w:rStyle w:val="SpecialBold"/>
              </w:rPr>
              <w:t>9.4)</w:t>
            </w:r>
          </w:p>
        </w:tc>
      </w:tr>
      <w:tr w:rsidTr="00B94A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t>This unit shall be assessed by methods given in Volume 1, Part 3 ‘Assessment Guidelines’.</w:t>
            </w:r>
          </w:p>
          <w:p w:rsidR="00000000" w:rsidRPr="00094A48" w:rsidP="00094A48">
            <w:pPr>
              <w:pStyle w:val="BodyText"/>
            </w:pPr>
            <w:r w:rsidRPr="00094A48">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094A48">
              <w:t>intended for learning/assessment and incorporates all necessary equipment and facilities for learners to develop and demonstrate the essential knowledge and skills described in this unit.</w:t>
            </w:r>
          </w:p>
        </w:tc>
      </w:tr>
    </w:tbl>
    <w:p w:rsidR="00000000" w:rsidRPr="00094A48" w:rsidP="00094A48">
      <w:pPr>
        <w:pStyle w:val="BodyText"/>
      </w:pPr>
    </w:p>
    <w:tbl>
      <w:tblPr>
        <w:tblW w:w="0" w:type="auto"/>
        <w:tblLayout w:type="fixed"/>
        <w:tblCellMar>
          <w:left w:w="62" w:type="dxa"/>
          <w:right w:w="62" w:type="dxa"/>
        </w:tblCellMar>
        <w:tblLook w:val="0000"/>
      </w:tblPr>
      <w:tblGrid>
        <w:gridCol w:w="1890"/>
        <w:gridCol w:w="1530"/>
        <w:gridCol w:w="5040"/>
      </w:tblGrid>
      <w:tr w:rsidTr="00B94A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rPr>
                <w:rStyle w:val="SpecialBold"/>
              </w:rPr>
              <w:t>9.5)</w:t>
            </w:r>
          </w:p>
        </w:tc>
      </w:tr>
      <w:tr w:rsidTr="00B94A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Fo</w:t>
            </w:r>
            <w:r w:rsidRPr="00094A48">
              <w:t>r optimisation of training and assessment effort, competency development in this unit may be arranged concurrently with unit:</w:t>
            </w:r>
          </w:p>
        </w:tc>
      </w:tr>
      <w:tr w:rsidTr="00B94A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t>UEENEEE102A</w:t>
            </w:r>
          </w:p>
        </w:tc>
        <w:tc>
          <w:tcPr>
            <w:tcW w:w="5040"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t xml:space="preserve">Fabricate, dismantle, assemble of utilities industry components </w:t>
            </w:r>
          </w:p>
        </w:tc>
      </w:tr>
    </w:tbl>
    <w:p w:rsidR="00000000" w:rsidRPr="00094A48" w:rsidP="00094A48">
      <w:pPr>
        <w:pStyle w:val="BodyText"/>
      </w:pPr>
    </w:p>
    <w:p w:rsidR="00000000" w:rsidRPr="00094A48" w:rsidP="00094A48">
      <w:pPr>
        <w:pStyle w:val="AllowPageBreak"/>
      </w:pPr>
    </w:p>
    <w:p w:rsidR="00000000" w:rsidRPr="00094A48" w:rsidP="00094A48">
      <w:pPr>
        <w:pStyle w:val="Heading1"/>
      </w:pPr>
      <w:bookmarkStart w:id="11" w:name="O_586741"/>
      <w:bookmarkEnd w:id="11"/>
      <w:r w:rsidRPr="00094A48">
        <w:t>Range Statement</w:t>
      </w:r>
    </w:p>
    <w:tbl>
      <w:tblPr>
        <w:tblW w:w="0" w:type="auto"/>
        <w:tblLayout w:type="fixed"/>
        <w:tblCellMar>
          <w:left w:w="62" w:type="dxa"/>
          <w:right w:w="62" w:type="dxa"/>
        </w:tblCellMar>
        <w:tblLook w:val="0000"/>
      </w:tblPr>
      <w:tblGrid>
        <w:gridCol w:w="8460"/>
      </w:tblGrid>
      <w:tr w:rsidTr="00B94AA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rPr>
                <w:rStyle w:val="SpecialBold"/>
              </w:rPr>
              <w:t>RANGE STATEMENT</w:t>
            </w:r>
          </w:p>
        </w:tc>
      </w:tr>
      <w:tr w:rsidTr="00B94A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rPr>
                <w:rStyle w:val="SpecialBold"/>
              </w:rPr>
              <w:t>10)</w:t>
            </w:r>
            <w:r w:rsidRPr="00094A48">
              <w:t>This relates to the unit as a whole providing the range of contexts and conditions to which the performance criteria apply. It allows for different work environments and situations that will affect performance.</w:t>
            </w:r>
          </w:p>
          <w:p w:rsidR="00000000" w:rsidRPr="00094A48" w:rsidP="00094A48">
            <w:pPr>
              <w:pStyle w:val="BodyText"/>
            </w:pPr>
            <w:r w:rsidRPr="00094A48">
              <w:t>This unit shall be demonstrated in relat</w:t>
            </w:r>
            <w:r w:rsidRPr="00094A48">
              <w:t xml:space="preserve">ion to carrying out basic repairs electronic apparatus limited to replacement or repair of components, including sub systems in which the fault has been previously established. </w:t>
            </w:r>
          </w:p>
          <w:p w:rsidR="00000000" w:rsidRPr="00094A48" w:rsidP="00094A48">
            <w:pPr>
              <w:pStyle w:val="BodyText"/>
            </w:pPr>
            <w:r w:rsidRPr="00094A48">
              <w:t>At least two of the repairs shall require soldering and desoldering and at lea</w:t>
            </w:r>
            <w:r w:rsidRPr="00094A48">
              <w:t>st two of the repairs shall require a cable to be correctly terminated using a solderless termination technique.</w:t>
            </w:r>
          </w:p>
          <w:p w:rsidR="00000000" w:rsidRPr="00094A48" w:rsidP="00094A48">
            <w:pPr>
              <w:pStyle w:val="BodyText"/>
            </w:pPr>
            <w:r w:rsidRPr="00094A48">
              <w:t>Generic terms used throughout this Vocational Standard shall be regarded as part of the Range Statement in which competency is demonstrated. Th</w:t>
            </w:r>
            <w:r w:rsidRPr="00094A48">
              <w:t>e definition of these and other terms that apply are given in Volume 2, Part 2.1.</w:t>
            </w:r>
          </w:p>
        </w:tc>
      </w:tr>
    </w:tbl>
    <w:p w:rsidR="00000000" w:rsidRPr="00094A48" w:rsidP="00094A48">
      <w:pPr>
        <w:pStyle w:val="BodyText"/>
      </w:pPr>
    </w:p>
    <w:p w:rsidR="00000000" w:rsidRPr="00094A48" w:rsidP="00094A48">
      <w:pPr>
        <w:pStyle w:val="AllowPageBreak"/>
      </w:pPr>
    </w:p>
    <w:p w:rsidR="00000000" w:rsidRPr="00094A48" w:rsidP="00094A48">
      <w:pPr>
        <w:pStyle w:val="Heading1"/>
      </w:pPr>
      <w:bookmarkStart w:id="12" w:name="O_586740"/>
      <w:bookmarkEnd w:id="12"/>
      <w:r w:rsidRPr="00094A48">
        <w:t>Unit Sector(s)</w:t>
      </w:r>
    </w:p>
    <w:p w:rsidR="00000000" w:rsidRPr="00094A48" w:rsidP="00094A48">
      <w:pPr>
        <w:pStyle w:val="BodyText"/>
      </w:pPr>
      <w:r w:rsidRPr="00094A48">
        <w:t>Not applicable.</w:t>
      </w:r>
    </w:p>
    <w:p w:rsidR="00000000" w:rsidRPr="00094A48" w:rsidP="00094A48">
      <w:pPr>
        <w:pStyle w:val="AllowPageBreak"/>
      </w:pPr>
    </w:p>
    <w:p w:rsidR="00000000" w:rsidRPr="00094A48" w:rsidP="00094A48">
      <w:pPr>
        <w:pStyle w:val="Heading1"/>
      </w:pPr>
      <w:bookmarkStart w:id="13" w:name="O_586739"/>
      <w:bookmarkEnd w:id="13"/>
      <w:r w:rsidRPr="00094A48">
        <w:t>Competency Field</w:t>
      </w:r>
    </w:p>
    <w:tbl>
      <w:tblPr>
        <w:tblW w:w="0" w:type="auto"/>
        <w:tblLayout w:type="fixed"/>
        <w:tblCellMar>
          <w:left w:w="62" w:type="dxa"/>
          <w:right w:w="62" w:type="dxa"/>
        </w:tblCellMar>
        <w:tblLook w:val="0000"/>
      </w:tblPr>
      <w:tblGrid>
        <w:gridCol w:w="2700"/>
        <w:gridCol w:w="5760"/>
      </w:tblGrid>
      <w:tr w:rsidTr="00B94A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94A48">
            <w:pPr>
              <w:pStyle w:val="BodyText"/>
              <w:rPr>
                <w:lang w:val="en-NZ"/>
              </w:rPr>
            </w:pPr>
            <w:r w:rsidRPr="00094A48">
              <w:rPr>
                <w:rStyle w:val="SpecialBold"/>
              </w:rPr>
              <w:t xml:space="preserve">11) </w:t>
            </w:r>
          </w:p>
        </w:tc>
      </w:tr>
      <w:tr w:rsidTr="00B94A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4A48" w:rsidP="00094A48">
            <w:pPr>
              <w:pStyle w:val="BodyText"/>
            </w:pPr>
            <w:r w:rsidRPr="00094A48">
              <w:t>Electronics</w:t>
            </w:r>
          </w:p>
        </w:tc>
      </w:tr>
    </w:tbl>
    <w:p w:rsidR="00000000" w:rsidRPr="00094A48" w:rsidP="00094A48">
      <w:pPr>
        <w:pStyle w:val="BodyText"/>
      </w:pPr>
    </w:p>
    <w:p w:rsidR="00000000" w:rsidRPr="00094A48" w:rsidP="00094A48"/>
    <w:sectPr w:rsidSect="00094A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A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A48" w:rsidRPr="00B94AAB" w:rsidP="00B94A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A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AAB" w:rsidP="00094A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94AAB" w:rsidP="00094A4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B94AAB" w:rsidP="00094A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A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A48" w:rsidRPr="00B94AAB" w:rsidP="00B94A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A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AAB" w:rsidRPr="002D2AF8" w:rsidP="00094A48">
    <w:pPr>
      <w:pStyle w:val="Header"/>
      <w:framePr w:wrap="around"/>
    </w:pPr>
    <w:r>
      <w:fldChar w:fldCharType="begin"/>
    </w:r>
    <w:r>
      <w:instrText xml:space="preserve"> TITLE   \* MERGEFORMAT </w:instrText>
    </w:r>
    <w:r>
      <w:fldChar w:fldCharType="separate"/>
    </w:r>
    <w:r>
      <w:t>UEENEEH102A Repairs basic electronic apparatus faults by replacement of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B94AAB" w:rsidP="00094A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AE79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8E2D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88F3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A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4A48"/>
    <w:pPr>
      <w:spacing w:before="360" w:after="60"/>
      <w:outlineLvl w:val="0"/>
    </w:pPr>
    <w:rPr>
      <w:sz w:val="32"/>
    </w:rPr>
  </w:style>
  <w:style w:type="paragraph" w:styleId="Heading2">
    <w:name w:val="heading 2"/>
    <w:basedOn w:val="HeadingBase"/>
    <w:next w:val="BodyText"/>
    <w:link w:val="Heading2Char"/>
    <w:qFormat/>
    <w:rsid w:val="00094A48"/>
    <w:pPr>
      <w:keepLines/>
      <w:spacing w:before="240" w:after="120"/>
      <w:outlineLvl w:val="1"/>
    </w:pPr>
    <w:rPr>
      <w:sz w:val="28"/>
      <w:szCs w:val="40"/>
    </w:rPr>
  </w:style>
  <w:style w:type="paragraph" w:styleId="Heading3">
    <w:name w:val="heading 3"/>
    <w:basedOn w:val="HeadingBase"/>
    <w:next w:val="BodyText"/>
    <w:link w:val="Heading3Char"/>
    <w:qFormat/>
    <w:rsid w:val="00094A48"/>
    <w:pPr>
      <w:spacing w:before="180" w:after="120"/>
      <w:outlineLvl w:val="2"/>
    </w:pPr>
    <w:rPr>
      <w:spacing w:val="-10"/>
      <w:kern w:val="32"/>
    </w:rPr>
  </w:style>
  <w:style w:type="paragraph" w:styleId="Heading4">
    <w:name w:val="heading 4"/>
    <w:basedOn w:val="HeadingBase"/>
    <w:next w:val="BodyText"/>
    <w:link w:val="Heading4Char"/>
    <w:qFormat/>
    <w:rsid w:val="00094A48"/>
    <w:pPr>
      <w:spacing w:before="160" w:after="120"/>
      <w:outlineLvl w:val="3"/>
    </w:pPr>
    <w:rPr>
      <w:sz w:val="22"/>
    </w:rPr>
  </w:style>
  <w:style w:type="paragraph" w:styleId="Heading5">
    <w:name w:val="heading 5"/>
    <w:basedOn w:val="HeadingBase"/>
    <w:next w:val="Normal"/>
    <w:link w:val="Heading5Char"/>
    <w:qFormat/>
    <w:rsid w:val="00094A48"/>
    <w:pPr>
      <w:spacing w:before="80"/>
      <w:outlineLvl w:val="4"/>
    </w:pPr>
    <w:rPr>
      <w:color w:val="918585"/>
      <w:sz w:val="20"/>
    </w:rPr>
  </w:style>
  <w:style w:type="paragraph" w:styleId="Heading6">
    <w:name w:val="heading 6"/>
    <w:basedOn w:val="HeadingBase"/>
    <w:next w:val="Normal"/>
    <w:link w:val="Heading6Char"/>
    <w:qFormat/>
    <w:rsid w:val="00094A48"/>
    <w:pPr>
      <w:spacing w:before="60"/>
      <w:outlineLvl w:val="5"/>
    </w:pPr>
    <w:rPr>
      <w:color w:val="918585"/>
      <w:sz w:val="20"/>
    </w:rPr>
  </w:style>
  <w:style w:type="paragraph" w:styleId="Heading7">
    <w:name w:val="heading 7"/>
    <w:basedOn w:val="Normal"/>
    <w:next w:val="Normal"/>
    <w:link w:val="Heading7Char"/>
    <w:qFormat/>
    <w:rsid w:val="00094A48"/>
    <w:pPr>
      <w:ind w:left="720"/>
      <w:outlineLvl w:val="6"/>
    </w:pPr>
    <w:rPr>
      <w:i/>
    </w:rPr>
  </w:style>
  <w:style w:type="paragraph" w:styleId="Heading8">
    <w:name w:val="heading 8"/>
    <w:basedOn w:val="Normal"/>
    <w:next w:val="Normal"/>
    <w:link w:val="Heading8Char"/>
    <w:qFormat/>
    <w:rsid w:val="00094A48"/>
    <w:pPr>
      <w:ind w:left="720"/>
      <w:outlineLvl w:val="7"/>
    </w:pPr>
    <w:rPr>
      <w:i/>
    </w:rPr>
  </w:style>
  <w:style w:type="paragraph" w:styleId="Heading9">
    <w:name w:val="heading 9"/>
    <w:basedOn w:val="Normal"/>
    <w:next w:val="Normal"/>
    <w:link w:val="Heading9Char"/>
    <w:qFormat/>
    <w:rsid w:val="00094A48"/>
    <w:pPr>
      <w:ind w:left="720"/>
      <w:outlineLvl w:val="8"/>
    </w:pPr>
    <w:rPr>
      <w:i/>
    </w:rPr>
  </w:style>
  <w:style w:type="character" w:default="1" w:styleId="DefaultParagraphFont">
    <w:name w:val="Default Paragraph Font"/>
    <w:uiPriority w:val="1"/>
    <w:unhideWhenUsed/>
    <w:rsid w:val="00094A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A48"/>
  </w:style>
  <w:style w:type="character" w:customStyle="1" w:styleId="Heading1Char">
    <w:name w:val="Heading 1 Char"/>
    <w:basedOn w:val="DefaultParagraphFont"/>
    <w:link w:val="Heading1"/>
    <w:rsid w:val="00094A48"/>
    <w:rPr>
      <w:rFonts w:ascii="Times New Roman" w:eastAsia="Times New Roman" w:hAnsi="Times New Roman" w:cs="Times New Roman"/>
      <w:b/>
      <w:sz w:val="32"/>
      <w:szCs w:val="20"/>
      <w:lang w:eastAsia="en-US"/>
    </w:rPr>
  </w:style>
  <w:style w:type="paragraph" w:styleId="BodyText">
    <w:name w:val="Body Text"/>
    <w:basedOn w:val="Normal"/>
    <w:link w:val="BodyTextChar"/>
    <w:rsid w:val="00094A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4A48"/>
    <w:rPr>
      <w:rFonts w:ascii="Times New Roman" w:eastAsia="Times New Roman" w:hAnsi="Times New Roman" w:cs="Times New Roman"/>
      <w:sz w:val="24"/>
      <w:lang w:eastAsia="en-US"/>
    </w:rPr>
  </w:style>
  <w:style w:type="paragraph" w:styleId="ListBullet">
    <w:name w:val="List Bullet"/>
    <w:basedOn w:val="List"/>
    <w:rsid w:val="00094A48"/>
    <w:pPr>
      <w:numPr>
        <w:numId w:val="13"/>
      </w:numPr>
      <w:tabs>
        <w:tab w:val="clear" w:pos="340"/>
      </w:tabs>
      <w:spacing w:before="40" w:after="40"/>
    </w:pPr>
  </w:style>
  <w:style w:type="character" w:customStyle="1" w:styleId="SpecialBold">
    <w:name w:val="Special Bold"/>
    <w:basedOn w:val="DefaultParagraphFont"/>
    <w:rsid w:val="00094A48"/>
    <w:rPr>
      <w:b/>
      <w:spacing w:val="0"/>
    </w:rPr>
  </w:style>
  <w:style w:type="paragraph" w:styleId="ListBullet2">
    <w:name w:val="List Bullet 2"/>
    <w:basedOn w:val="List2"/>
    <w:rsid w:val="00094A48"/>
    <w:pPr>
      <w:numPr>
        <w:numId w:val="14"/>
      </w:numPr>
      <w:tabs>
        <w:tab w:val="clear" w:pos="680"/>
      </w:tabs>
    </w:pPr>
  </w:style>
  <w:style w:type="paragraph" w:customStyle="1" w:styleId="SuperHeading">
    <w:name w:val="SuperHeading"/>
    <w:basedOn w:val="Normal"/>
    <w:rsid w:val="00094A48"/>
    <w:pPr>
      <w:spacing w:before="240" w:after="120"/>
      <w:outlineLvl w:val="0"/>
    </w:pPr>
    <w:rPr>
      <w:rFonts w:ascii="Times New Roman" w:hAnsi="Times New Roman"/>
      <w:b/>
      <w:sz w:val="32"/>
    </w:rPr>
  </w:style>
  <w:style w:type="paragraph" w:customStyle="1" w:styleId="AllowPageBreak">
    <w:name w:val="AllowPageBreak"/>
    <w:rsid w:val="00094A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4A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A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A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A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A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A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4A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4A48"/>
    <w:rPr>
      <w:rFonts w:ascii="Courier New" w:eastAsia="Times New Roman" w:hAnsi="Courier New" w:cs="Times New Roman"/>
      <w:i/>
      <w:szCs w:val="20"/>
      <w:lang w:eastAsia="en-US"/>
    </w:rPr>
  </w:style>
  <w:style w:type="paragraph" w:customStyle="1" w:styleId="HeadingBase">
    <w:name w:val="Heading Base"/>
    <w:rsid w:val="00094A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A48"/>
    <w:pPr>
      <w:tabs>
        <w:tab w:val="right" w:leader="dot" w:pos="9072"/>
      </w:tabs>
      <w:ind w:left="567"/>
    </w:pPr>
    <w:rPr>
      <w:szCs w:val="22"/>
    </w:rPr>
  </w:style>
  <w:style w:type="paragraph" w:customStyle="1" w:styleId="TOCBase">
    <w:name w:val="TOC Base"/>
    <w:rsid w:val="00094A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A48"/>
    <w:pPr>
      <w:tabs>
        <w:tab w:val="right" w:leader="dot" w:pos="9072"/>
      </w:tabs>
      <w:spacing w:before="40" w:after="40"/>
      <w:ind w:left="284"/>
    </w:pPr>
    <w:rPr>
      <w:rFonts w:ascii="Times New Roman" w:hAnsi="Times New Roman"/>
    </w:rPr>
  </w:style>
  <w:style w:type="paragraph" w:styleId="TOC1">
    <w:name w:val="toc 1"/>
    <w:basedOn w:val="TOCBase"/>
    <w:next w:val="Normal"/>
    <w:rsid w:val="00094A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4A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A48"/>
    <w:rPr>
      <w:rFonts w:ascii="Times New Roman" w:eastAsia="Times New Roman" w:hAnsi="Times New Roman" w:cs="Times New Roman"/>
      <w:sz w:val="16"/>
      <w:lang w:eastAsia="en-US"/>
    </w:rPr>
  </w:style>
  <w:style w:type="paragraph" w:styleId="Title">
    <w:name w:val="Title"/>
    <w:basedOn w:val="HeadingBase"/>
    <w:link w:val="TitleChar"/>
    <w:qFormat/>
    <w:rsid w:val="00094A48"/>
    <w:pPr>
      <w:spacing w:before="5040"/>
      <w:jc w:val="center"/>
    </w:pPr>
    <w:rPr>
      <w:sz w:val="48"/>
      <w:szCs w:val="72"/>
      <w:lang w:val="en-US"/>
    </w:rPr>
  </w:style>
  <w:style w:type="character" w:customStyle="1" w:styleId="TitleChar">
    <w:name w:val="Title Char"/>
    <w:basedOn w:val="DefaultParagraphFont"/>
    <w:link w:val="Title"/>
    <w:rsid w:val="00094A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A48"/>
    <w:pPr>
      <w:tabs>
        <w:tab w:val="left" w:pos="3600"/>
        <w:tab w:val="left" w:pos="3958"/>
      </w:tabs>
    </w:pPr>
  </w:style>
  <w:style w:type="paragraph" w:styleId="List">
    <w:name w:val="List"/>
    <w:basedOn w:val="BodyText"/>
    <w:next w:val="BodyText"/>
    <w:rsid w:val="00094A48"/>
    <w:pPr>
      <w:tabs>
        <w:tab w:val="left" w:pos="340"/>
      </w:tabs>
      <w:spacing w:before="60" w:after="60"/>
      <w:ind w:left="340" w:hanging="340"/>
    </w:pPr>
  </w:style>
  <w:style w:type="paragraph" w:customStyle="1" w:styleId="Note">
    <w:name w:val="Note"/>
    <w:basedOn w:val="BodyText"/>
    <w:rsid w:val="00094A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4A48"/>
    <w:pPr>
      <w:framePr w:wrap="auto" w:hAnchor="text" w:y="6049"/>
    </w:pPr>
    <w:rPr>
      <w:color w:val="000000"/>
      <w:sz w:val="40"/>
    </w:rPr>
  </w:style>
  <w:style w:type="paragraph" w:customStyle="1" w:styleId="TOCTitle">
    <w:name w:val="TOCTitle"/>
    <w:basedOn w:val="Heading1"/>
    <w:rsid w:val="00094A48"/>
    <w:pPr>
      <w:spacing w:after="240"/>
      <w:jc w:val="center"/>
      <w:outlineLvl w:val="9"/>
    </w:pPr>
    <w:rPr>
      <w:caps/>
    </w:rPr>
  </w:style>
  <w:style w:type="paragraph" w:customStyle="1" w:styleId="Version">
    <w:name w:val="Version"/>
    <w:rsid w:val="00094A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4A48"/>
    <w:pPr>
      <w:keepNext w:val="0"/>
      <w:tabs>
        <w:tab w:val="right" w:pos="4176"/>
      </w:tabs>
      <w:ind w:left="198" w:hanging="198"/>
    </w:pPr>
    <w:rPr>
      <w:rFonts w:ascii="Garamond" w:hAnsi="Garamond"/>
    </w:rPr>
  </w:style>
  <w:style w:type="paragraph" w:styleId="IndexHeading">
    <w:name w:val="index heading"/>
    <w:basedOn w:val="Normal"/>
    <w:next w:val="Index1"/>
    <w:semiHidden/>
    <w:rsid w:val="00094A48"/>
    <w:pPr>
      <w:spacing w:before="120" w:after="120"/>
    </w:pPr>
    <w:rPr>
      <w:rFonts w:ascii="Arial" w:hAnsi="Arial"/>
      <w:b/>
      <w:color w:val="918585"/>
      <w:sz w:val="24"/>
    </w:rPr>
  </w:style>
  <w:style w:type="paragraph" w:styleId="Header">
    <w:name w:val="header"/>
    <w:basedOn w:val="Normal"/>
    <w:link w:val="HeaderChar"/>
    <w:rsid w:val="00094A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A48"/>
    <w:rPr>
      <w:rFonts w:ascii="Times New Roman" w:eastAsia="Times New Roman" w:hAnsi="Times New Roman" w:cs="Times New Roman"/>
      <w:sz w:val="16"/>
      <w:szCs w:val="20"/>
      <w:lang w:val="en-GB" w:eastAsia="en-US"/>
    </w:rPr>
  </w:style>
  <w:style w:type="paragraph" w:customStyle="1" w:styleId="Chapter">
    <w:name w:val="Chapter"/>
    <w:basedOn w:val="Normal"/>
    <w:rsid w:val="00094A48"/>
    <w:pPr>
      <w:spacing w:before="240"/>
    </w:pPr>
    <w:rPr>
      <w:rFonts w:ascii="Times New Roman" w:hAnsi="Times New Roman"/>
      <w:smallCaps/>
      <w:spacing w:val="80"/>
      <w:sz w:val="28"/>
    </w:rPr>
  </w:style>
  <w:style w:type="paragraph" w:customStyle="1" w:styleId="InChapter">
    <w:name w:val="InChapter"/>
    <w:basedOn w:val="Heading3"/>
    <w:rsid w:val="00094A48"/>
    <w:pPr>
      <w:spacing w:after="240"/>
      <w:outlineLvl w:val="9"/>
    </w:pPr>
    <w:rPr>
      <w:noProof/>
    </w:rPr>
  </w:style>
  <w:style w:type="paragraph" w:styleId="Index2">
    <w:name w:val="index 2"/>
    <w:basedOn w:val="Normal"/>
    <w:next w:val="Normal"/>
    <w:semiHidden/>
    <w:rsid w:val="00094A48"/>
    <w:pPr>
      <w:tabs>
        <w:tab w:val="right" w:pos="4176"/>
      </w:tabs>
      <w:ind w:left="568" w:hanging="284"/>
    </w:pPr>
    <w:rPr>
      <w:rFonts w:ascii="Garamond" w:hAnsi="Garamond"/>
    </w:rPr>
  </w:style>
  <w:style w:type="paragraph" w:customStyle="1" w:styleId="Byline">
    <w:name w:val="Byline"/>
    <w:rsid w:val="00094A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A48"/>
    <w:pPr>
      <w:tabs>
        <w:tab w:val="clear" w:pos="3600"/>
        <w:tab w:val="clear" w:pos="3958"/>
      </w:tabs>
      <w:jc w:val="right"/>
    </w:pPr>
  </w:style>
  <w:style w:type="character" w:styleId="Emphasis">
    <w:name w:val="Emphasis"/>
    <w:basedOn w:val="DefaultParagraphFont"/>
    <w:qFormat/>
    <w:rsid w:val="00094A48"/>
    <w:rPr>
      <w:i/>
    </w:rPr>
  </w:style>
  <w:style w:type="paragraph" w:styleId="Caption">
    <w:name w:val="caption"/>
    <w:basedOn w:val="BodyText"/>
    <w:next w:val="Normal"/>
    <w:qFormat/>
    <w:rsid w:val="00094A48"/>
    <w:pPr>
      <w:framePr w:w="2268" w:hSpace="181" w:vSpace="181" w:wrap="around" w:vAnchor="text" w:hAnchor="page" w:x="1135" w:y="285" w:anchorLock="1"/>
    </w:pPr>
    <w:rPr>
      <w:i/>
    </w:rPr>
  </w:style>
  <w:style w:type="paragraph" w:customStyle="1" w:styleId="MiniTOCTitle">
    <w:name w:val="MiniTOCTitle"/>
    <w:basedOn w:val="Heading4"/>
    <w:rsid w:val="00094A48"/>
    <w:pPr>
      <w:spacing w:before="240"/>
      <w:outlineLvl w:val="9"/>
    </w:pPr>
    <w:rPr>
      <w:noProof/>
      <w:sz w:val="24"/>
    </w:rPr>
  </w:style>
  <w:style w:type="paragraph" w:customStyle="1" w:styleId="MiniTOCItem">
    <w:name w:val="MiniTOCItem"/>
    <w:basedOn w:val="ListBullet"/>
    <w:rsid w:val="00094A48"/>
    <w:pPr>
      <w:numPr>
        <w:numId w:val="0"/>
      </w:numPr>
      <w:tabs>
        <w:tab w:val="right" w:leader="dot" w:pos="6521"/>
      </w:tabs>
      <w:spacing w:before="0" w:after="0"/>
    </w:pPr>
  </w:style>
  <w:style w:type="paragraph" w:customStyle="1" w:styleId="TOFTitle">
    <w:name w:val="TOFTitle"/>
    <w:basedOn w:val="TOCTitle"/>
    <w:rsid w:val="00094A48"/>
  </w:style>
  <w:style w:type="paragraph" w:styleId="TableofFigures">
    <w:name w:val="table of figures"/>
    <w:basedOn w:val="Normal"/>
    <w:next w:val="Normal"/>
    <w:semiHidden/>
    <w:rsid w:val="00094A48"/>
    <w:pPr>
      <w:tabs>
        <w:tab w:val="right" w:leader="dot" w:pos="9072"/>
      </w:tabs>
      <w:ind w:left="970" w:hanging="403"/>
    </w:pPr>
    <w:rPr>
      <w:rFonts w:ascii="Times New Roman" w:hAnsi="Times New Roman"/>
      <w:b/>
    </w:rPr>
  </w:style>
  <w:style w:type="paragraph" w:styleId="ListNumber">
    <w:name w:val="List Number"/>
    <w:basedOn w:val="List"/>
    <w:rsid w:val="00094A48"/>
    <w:pPr>
      <w:numPr>
        <w:numId w:val="11"/>
      </w:numPr>
    </w:pPr>
  </w:style>
  <w:style w:type="character" w:customStyle="1" w:styleId="WingdingSymbols">
    <w:name w:val="Wingding Symbols"/>
    <w:rsid w:val="00094A48"/>
    <w:rPr>
      <w:rFonts w:ascii="Wingdings" w:hAnsi="Wingdings"/>
    </w:rPr>
  </w:style>
  <w:style w:type="paragraph" w:customStyle="1" w:styleId="TableHeading">
    <w:name w:val="Table Heading"/>
    <w:basedOn w:val="HeadingBase"/>
    <w:rsid w:val="00094A48"/>
    <w:pPr>
      <w:keepLines/>
      <w:pBdr>
        <w:bottom w:val="single" w:sz="6" w:space="1" w:color="918585"/>
      </w:pBdr>
      <w:spacing w:before="240"/>
    </w:pPr>
  </w:style>
  <w:style w:type="character" w:customStyle="1" w:styleId="HotSpot">
    <w:name w:val="HotSpot"/>
    <w:rsid w:val="00094A48"/>
    <w:rPr>
      <w:color w:val="0033CC"/>
      <w:u w:val="none"/>
    </w:rPr>
  </w:style>
  <w:style w:type="paragraph" w:customStyle="1" w:styleId="BodyTextRight">
    <w:name w:val="Body Text Right"/>
    <w:basedOn w:val="BodyText"/>
    <w:rsid w:val="00094A48"/>
    <w:pPr>
      <w:spacing w:before="0" w:after="0"/>
      <w:jc w:val="right"/>
    </w:pPr>
  </w:style>
  <w:style w:type="paragraph" w:styleId="Index3">
    <w:name w:val="index 3"/>
    <w:basedOn w:val="ListNumber2"/>
    <w:next w:val="Normal"/>
    <w:semiHidden/>
    <w:rsid w:val="00094A48"/>
    <w:pPr>
      <w:numPr>
        <w:numId w:val="0"/>
      </w:numPr>
      <w:tabs>
        <w:tab w:val="right" w:leader="dot" w:pos="4176"/>
      </w:tabs>
    </w:pPr>
  </w:style>
  <w:style w:type="paragraph" w:styleId="ListNumber2">
    <w:name w:val="List Number 2"/>
    <w:basedOn w:val="List2"/>
    <w:rsid w:val="00094A48"/>
    <w:pPr>
      <w:numPr>
        <w:numId w:val="10"/>
      </w:numPr>
      <w:tabs>
        <w:tab w:val="clear" w:pos="1060"/>
      </w:tabs>
    </w:pPr>
  </w:style>
  <w:style w:type="paragraph" w:customStyle="1" w:styleId="MarginNote">
    <w:name w:val="Margin Note"/>
    <w:basedOn w:val="BodyText"/>
    <w:rsid w:val="00094A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A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A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4A48"/>
    <w:rPr>
      <w:sz w:val="32"/>
    </w:rPr>
  </w:style>
  <w:style w:type="paragraph" w:customStyle="1" w:styleId="HeadingProcedure">
    <w:name w:val="Heading Procedure"/>
    <w:basedOn w:val="HeadingBase"/>
    <w:next w:val="Normal"/>
    <w:rsid w:val="00094A48"/>
    <w:pPr>
      <w:tabs>
        <w:tab w:val="left" w:pos="0"/>
      </w:tabs>
      <w:spacing w:before="120" w:after="60"/>
    </w:pPr>
    <w:rPr>
      <w:i/>
      <w:color w:val="918585"/>
      <w:sz w:val="22"/>
    </w:rPr>
  </w:style>
  <w:style w:type="paragraph" w:customStyle="1" w:styleId="TableBodyText">
    <w:name w:val="Table Body Text"/>
    <w:basedOn w:val="BodyText"/>
    <w:rsid w:val="00094A48"/>
    <w:pPr>
      <w:spacing w:before="60" w:after="60"/>
    </w:pPr>
  </w:style>
  <w:style w:type="paragraph" w:styleId="ListContinue">
    <w:name w:val="List Continue"/>
    <w:basedOn w:val="List"/>
    <w:rsid w:val="00094A48"/>
    <w:pPr>
      <w:ind w:firstLine="0"/>
    </w:pPr>
  </w:style>
  <w:style w:type="paragraph" w:customStyle="1" w:styleId="ListNote">
    <w:name w:val="List Note"/>
    <w:basedOn w:val="List"/>
    <w:rsid w:val="00094A48"/>
    <w:pPr>
      <w:pBdr>
        <w:top w:val="single" w:sz="6" w:space="2" w:color="918585"/>
        <w:bottom w:val="single" w:sz="6" w:space="2" w:color="918585"/>
      </w:pBdr>
      <w:tabs>
        <w:tab w:val="left" w:pos="1021"/>
      </w:tabs>
      <w:ind w:firstLine="0"/>
    </w:pPr>
  </w:style>
  <w:style w:type="paragraph" w:customStyle="1" w:styleId="Warning">
    <w:name w:val="Warning"/>
    <w:basedOn w:val="BodyText"/>
    <w:rsid w:val="00094A48"/>
    <w:pPr>
      <w:shd w:val="clear" w:color="auto" w:fill="D9D9D9"/>
      <w:tabs>
        <w:tab w:val="left" w:pos="992"/>
      </w:tabs>
      <w:ind w:left="119" w:right="119"/>
    </w:pPr>
    <w:rPr>
      <w:sz w:val="20"/>
    </w:rPr>
  </w:style>
  <w:style w:type="paragraph" w:customStyle="1" w:styleId="MarginIcons">
    <w:name w:val="Margin Icons"/>
    <w:basedOn w:val="BodyText"/>
    <w:rsid w:val="00094A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A48"/>
    <w:rPr>
      <w:rFonts w:ascii="Courier New" w:hAnsi="Courier New"/>
    </w:rPr>
  </w:style>
  <w:style w:type="paragraph" w:customStyle="1" w:styleId="NoteBullet">
    <w:name w:val="Note Bullet"/>
    <w:basedOn w:val="Note"/>
    <w:rsid w:val="00094A48"/>
    <w:pPr>
      <w:tabs>
        <w:tab w:val="clear" w:pos="680"/>
      </w:tabs>
      <w:spacing w:before="60" w:after="60"/>
    </w:pPr>
  </w:style>
  <w:style w:type="paragraph" w:customStyle="1" w:styleId="SubHeading2">
    <w:name w:val="SubHeading2"/>
    <w:basedOn w:val="HeadingBase"/>
    <w:rsid w:val="00094A48"/>
    <w:pPr>
      <w:spacing w:before="240" w:after="60"/>
    </w:pPr>
    <w:rPr>
      <w:sz w:val="20"/>
    </w:rPr>
  </w:style>
  <w:style w:type="paragraph" w:customStyle="1" w:styleId="SubHeading1">
    <w:name w:val="SubHeading1"/>
    <w:basedOn w:val="HeadingBase"/>
    <w:rsid w:val="00094A48"/>
    <w:pPr>
      <w:spacing w:before="240" w:after="60"/>
    </w:pPr>
    <w:rPr>
      <w:color w:val="918585"/>
      <w:sz w:val="22"/>
    </w:rPr>
  </w:style>
  <w:style w:type="paragraph" w:customStyle="1" w:styleId="SideHeading">
    <w:name w:val="Side Heading"/>
    <w:basedOn w:val="HeadingBase"/>
    <w:rsid w:val="00094A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A48"/>
    <w:pPr>
      <w:numPr>
        <w:numId w:val="12"/>
      </w:numPr>
    </w:pPr>
  </w:style>
  <w:style w:type="paragraph" w:styleId="PlainText">
    <w:name w:val="Plain Text"/>
    <w:basedOn w:val="Normal"/>
    <w:link w:val="PlainTextChar"/>
    <w:rsid w:val="00094A48"/>
    <w:rPr>
      <w:sz w:val="20"/>
    </w:rPr>
  </w:style>
  <w:style w:type="character" w:customStyle="1" w:styleId="PlainTextChar">
    <w:name w:val="Plain Text Char"/>
    <w:basedOn w:val="DefaultParagraphFont"/>
    <w:link w:val="PlainText"/>
    <w:rsid w:val="00094A48"/>
    <w:rPr>
      <w:rFonts w:ascii="Courier New" w:eastAsia="Times New Roman" w:hAnsi="Courier New" w:cs="Times New Roman"/>
      <w:sz w:val="20"/>
      <w:szCs w:val="20"/>
      <w:lang w:eastAsia="en-US"/>
    </w:rPr>
  </w:style>
  <w:style w:type="character" w:customStyle="1" w:styleId="MenuOption">
    <w:name w:val="Menu Option"/>
    <w:basedOn w:val="DefaultParagraphFont"/>
    <w:rsid w:val="00094A48"/>
    <w:rPr>
      <w:b/>
      <w:smallCaps/>
    </w:rPr>
  </w:style>
  <w:style w:type="paragraph" w:customStyle="1" w:styleId="TableListNumber">
    <w:name w:val="Table List Number"/>
    <w:basedOn w:val="ListNumber"/>
    <w:rsid w:val="00094A48"/>
    <w:pPr>
      <w:numPr>
        <w:numId w:val="0"/>
      </w:numPr>
    </w:pPr>
  </w:style>
  <w:style w:type="paragraph" w:styleId="TOC4">
    <w:name w:val="toc 4"/>
    <w:basedOn w:val="TOCBase"/>
    <w:next w:val="Normal"/>
    <w:semiHidden/>
    <w:rsid w:val="00094A48"/>
    <w:pPr>
      <w:tabs>
        <w:tab w:val="right" w:leader="dot" w:pos="9071"/>
      </w:tabs>
      <w:ind w:left="1701"/>
    </w:pPr>
  </w:style>
  <w:style w:type="paragraph" w:customStyle="1" w:styleId="ListAlpha">
    <w:name w:val="List Alpha"/>
    <w:basedOn w:val="List"/>
    <w:rsid w:val="00094A48"/>
    <w:pPr>
      <w:numPr>
        <w:numId w:val="9"/>
      </w:numPr>
    </w:pPr>
  </w:style>
  <w:style w:type="paragraph" w:customStyle="1" w:styleId="ListAlpha2">
    <w:name w:val="List Alpha 2"/>
    <w:basedOn w:val="List2"/>
    <w:rsid w:val="00094A48"/>
    <w:pPr>
      <w:numPr>
        <w:numId w:val="8"/>
      </w:numPr>
    </w:pPr>
  </w:style>
  <w:style w:type="paragraph" w:styleId="List2">
    <w:name w:val="List 2"/>
    <w:basedOn w:val="BodyText"/>
    <w:rsid w:val="00094A48"/>
    <w:pPr>
      <w:tabs>
        <w:tab w:val="left" w:pos="680"/>
      </w:tabs>
      <w:spacing w:before="60" w:after="60"/>
      <w:ind w:left="680" w:hanging="340"/>
    </w:pPr>
  </w:style>
  <w:style w:type="paragraph" w:styleId="List3">
    <w:name w:val="List 3"/>
    <w:basedOn w:val="BodyText"/>
    <w:rsid w:val="00094A48"/>
    <w:pPr>
      <w:tabs>
        <w:tab w:val="left" w:pos="1021"/>
      </w:tabs>
      <w:spacing w:before="60" w:after="60"/>
      <w:ind w:left="1020" w:hanging="340"/>
    </w:pPr>
  </w:style>
  <w:style w:type="paragraph" w:styleId="List4">
    <w:name w:val="List 4"/>
    <w:basedOn w:val="BodyText"/>
    <w:rsid w:val="00094A48"/>
    <w:pPr>
      <w:tabs>
        <w:tab w:val="left" w:pos="1361"/>
      </w:tabs>
      <w:spacing w:before="60" w:after="60"/>
      <w:ind w:left="1361" w:hanging="340"/>
    </w:pPr>
  </w:style>
  <w:style w:type="paragraph" w:styleId="List5">
    <w:name w:val="List 5"/>
    <w:basedOn w:val="BodyText"/>
    <w:rsid w:val="00094A48"/>
    <w:pPr>
      <w:tabs>
        <w:tab w:val="left" w:pos="1701"/>
      </w:tabs>
      <w:spacing w:before="60" w:after="60"/>
      <w:ind w:left="1701" w:hanging="340"/>
    </w:pPr>
  </w:style>
  <w:style w:type="paragraph" w:styleId="ListBullet3">
    <w:name w:val="List Bullet 3"/>
    <w:basedOn w:val="List3"/>
    <w:rsid w:val="00094A48"/>
    <w:pPr>
      <w:numPr>
        <w:numId w:val="15"/>
      </w:numPr>
      <w:tabs>
        <w:tab w:val="clear" w:pos="1021"/>
      </w:tabs>
      <w:ind w:left="1037" w:hanging="357"/>
    </w:pPr>
  </w:style>
  <w:style w:type="paragraph" w:styleId="ListBullet4">
    <w:name w:val="List Bullet 4"/>
    <w:basedOn w:val="List4"/>
    <w:rsid w:val="00094A48"/>
    <w:pPr>
      <w:numPr>
        <w:numId w:val="3"/>
      </w:numPr>
    </w:pPr>
  </w:style>
  <w:style w:type="paragraph" w:styleId="ListBullet5">
    <w:name w:val="List Bullet 5"/>
    <w:basedOn w:val="List5"/>
    <w:rsid w:val="00094A48"/>
    <w:pPr>
      <w:numPr>
        <w:numId w:val="4"/>
      </w:numPr>
    </w:pPr>
  </w:style>
  <w:style w:type="paragraph" w:styleId="ListContinue2">
    <w:name w:val="List Continue 2"/>
    <w:basedOn w:val="List2"/>
    <w:rsid w:val="00094A48"/>
    <w:pPr>
      <w:ind w:firstLine="0"/>
    </w:pPr>
  </w:style>
  <w:style w:type="paragraph" w:styleId="ListContinue3">
    <w:name w:val="List Continue 3"/>
    <w:basedOn w:val="List3"/>
    <w:rsid w:val="00094A48"/>
    <w:pPr>
      <w:ind w:left="1021" w:firstLine="0"/>
    </w:pPr>
  </w:style>
  <w:style w:type="paragraph" w:styleId="ListContinue4">
    <w:name w:val="List Continue 4"/>
    <w:basedOn w:val="List4"/>
    <w:rsid w:val="00094A48"/>
    <w:pPr>
      <w:ind w:firstLine="0"/>
    </w:pPr>
  </w:style>
  <w:style w:type="paragraph" w:styleId="ListContinue5">
    <w:name w:val="List Continue 5"/>
    <w:basedOn w:val="List5"/>
    <w:rsid w:val="00094A48"/>
    <w:pPr>
      <w:ind w:firstLine="0"/>
    </w:pPr>
  </w:style>
  <w:style w:type="paragraph" w:styleId="ListNumber3">
    <w:name w:val="List Number 3"/>
    <w:basedOn w:val="List3"/>
    <w:rsid w:val="00094A48"/>
    <w:pPr>
      <w:numPr>
        <w:numId w:val="5"/>
      </w:numPr>
    </w:pPr>
  </w:style>
  <w:style w:type="paragraph" w:styleId="ListNumber4">
    <w:name w:val="List Number 4"/>
    <w:basedOn w:val="List4"/>
    <w:rsid w:val="00094A48"/>
    <w:pPr>
      <w:numPr>
        <w:numId w:val="6"/>
      </w:numPr>
    </w:pPr>
  </w:style>
  <w:style w:type="paragraph" w:styleId="ListNumber5">
    <w:name w:val="List Number 5"/>
    <w:basedOn w:val="List5"/>
    <w:rsid w:val="00094A48"/>
    <w:pPr>
      <w:numPr>
        <w:numId w:val="7"/>
      </w:numPr>
    </w:pPr>
  </w:style>
  <w:style w:type="paragraph" w:styleId="BlockText">
    <w:name w:val="Block Text"/>
    <w:basedOn w:val="Normal"/>
    <w:rsid w:val="00094A48"/>
    <w:pPr>
      <w:spacing w:after="120"/>
      <w:ind w:left="1440" w:right="1440"/>
    </w:pPr>
  </w:style>
  <w:style w:type="character" w:customStyle="1" w:styleId="Subscript">
    <w:name w:val="Subscript"/>
    <w:basedOn w:val="DefaultParagraphFont"/>
    <w:rsid w:val="00094A48"/>
    <w:rPr>
      <w:sz w:val="16"/>
      <w:vertAlign w:val="subscript"/>
    </w:rPr>
  </w:style>
  <w:style w:type="character" w:customStyle="1" w:styleId="Superscript">
    <w:name w:val="Superscript"/>
    <w:basedOn w:val="DefaultParagraphFont"/>
    <w:rsid w:val="00094A48"/>
    <w:rPr>
      <w:sz w:val="16"/>
      <w:vertAlign w:val="superscript"/>
    </w:rPr>
  </w:style>
  <w:style w:type="character" w:customStyle="1" w:styleId="Symbols">
    <w:name w:val="Symbols"/>
    <w:basedOn w:val="DefaultParagraphFont"/>
    <w:rsid w:val="00094A48"/>
    <w:rPr>
      <w:rFonts w:ascii="Symbol" w:hAnsi="Symbol"/>
    </w:rPr>
  </w:style>
  <w:style w:type="character" w:customStyle="1" w:styleId="MenuOptions">
    <w:name w:val="Menu Options"/>
    <w:basedOn w:val="DefaultParagraphFont"/>
    <w:rsid w:val="00094A48"/>
    <w:rPr>
      <w:rFonts w:ascii="Arial Narrow" w:hAnsi="Arial Narrow"/>
      <w:smallCaps/>
    </w:rPr>
  </w:style>
  <w:style w:type="character" w:customStyle="1" w:styleId="Buttons">
    <w:name w:val="Buttons"/>
    <w:basedOn w:val="DefaultParagraphFont"/>
    <w:rsid w:val="00094A48"/>
    <w:rPr>
      <w:b/>
    </w:rPr>
  </w:style>
  <w:style w:type="character" w:customStyle="1" w:styleId="Underlined">
    <w:name w:val="Underlined"/>
    <w:basedOn w:val="DefaultParagraphFont"/>
    <w:rsid w:val="00094A48"/>
    <w:rPr>
      <w:u w:val="single"/>
    </w:rPr>
  </w:style>
  <w:style w:type="paragraph" w:customStyle="1" w:styleId="TableBodyTextRight">
    <w:name w:val="Table Body Text Right"/>
    <w:basedOn w:val="TableBodyText"/>
    <w:rsid w:val="00094A48"/>
    <w:pPr>
      <w:widowControl w:val="0"/>
      <w:autoSpaceDE w:val="0"/>
      <w:autoSpaceDN w:val="0"/>
      <w:adjustRightInd w:val="0"/>
      <w:jc w:val="right"/>
    </w:pPr>
    <w:rPr>
      <w:rFonts w:cs="Arial"/>
      <w:szCs w:val="18"/>
    </w:rPr>
  </w:style>
  <w:style w:type="paragraph" w:customStyle="1" w:styleId="CopyrightText">
    <w:name w:val="Copyright Text"/>
    <w:basedOn w:val="BodyText"/>
    <w:rsid w:val="00094A48"/>
    <w:rPr>
      <w:sz w:val="18"/>
    </w:rPr>
  </w:style>
  <w:style w:type="paragraph" w:customStyle="1" w:styleId="BodySmallRight">
    <w:name w:val="Body Small Right"/>
    <w:basedOn w:val="BodyTextRight"/>
    <w:rsid w:val="00094A48"/>
    <w:rPr>
      <w:sz w:val="18"/>
      <w:szCs w:val="18"/>
    </w:rPr>
  </w:style>
  <w:style w:type="paragraph" w:customStyle="1" w:styleId="MarginEdition">
    <w:name w:val="Margin Edition"/>
    <w:basedOn w:val="MarginNote"/>
    <w:rsid w:val="00094A48"/>
    <w:pPr>
      <w:spacing w:before="0" w:after="0"/>
    </w:pPr>
    <w:rPr>
      <w:rFonts w:ascii="Times New Roman" w:hAnsi="Times New Roman"/>
      <w:color w:val="999999"/>
    </w:rPr>
  </w:style>
  <w:style w:type="paragraph" w:customStyle="1" w:styleId="Spacer">
    <w:name w:val="Spacer"/>
    <w:basedOn w:val="Normal"/>
    <w:rsid w:val="00094A48"/>
    <w:rPr>
      <w:sz w:val="2"/>
      <w:szCs w:val="2"/>
    </w:rPr>
  </w:style>
  <w:style w:type="character" w:customStyle="1" w:styleId="Small">
    <w:name w:val="Small"/>
    <w:basedOn w:val="DefaultParagraphFont"/>
    <w:rsid w:val="00094A48"/>
    <w:rPr>
      <w:sz w:val="16"/>
    </w:rPr>
  </w:style>
  <w:style w:type="paragraph" w:customStyle="1" w:styleId="WideTable">
    <w:name w:val="Wide Table"/>
    <w:basedOn w:val="Normal"/>
    <w:rsid w:val="00094A48"/>
    <w:pPr>
      <w:ind w:left="-1418"/>
    </w:pPr>
    <w:rPr>
      <w:sz w:val="2"/>
      <w:szCs w:val="2"/>
    </w:rPr>
  </w:style>
  <w:style w:type="character" w:styleId="PageNumber">
    <w:name w:val="page number"/>
    <w:basedOn w:val="DefaultParagraphFont"/>
    <w:rsid w:val="00094A48"/>
  </w:style>
  <w:style w:type="paragraph" w:styleId="Quote">
    <w:name w:val="Quote"/>
    <w:basedOn w:val="Heading1"/>
    <w:link w:val="QuoteChar"/>
    <w:qFormat/>
    <w:rsid w:val="00094A48"/>
    <w:rPr>
      <w:b w:val="0"/>
      <w:sz w:val="72"/>
      <w:szCs w:val="72"/>
      <w:lang w:val="en-NZ"/>
    </w:rPr>
  </w:style>
  <w:style w:type="character" w:customStyle="1" w:styleId="QuoteChar">
    <w:name w:val="Quote Char"/>
    <w:basedOn w:val="DefaultParagraphFont"/>
    <w:link w:val="Quote"/>
    <w:rsid w:val="00094A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A48"/>
    <w:pPr>
      <w:pageBreakBefore/>
    </w:pPr>
  </w:style>
  <w:style w:type="paragraph" w:customStyle="1" w:styleId="Border">
    <w:name w:val="Border"/>
    <w:basedOn w:val="Normal"/>
    <w:qFormat/>
    <w:rsid w:val="00094A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A48"/>
    <w:rPr>
      <w:b/>
      <w:bCs/>
      <w:i/>
      <w:iCs/>
      <w:color w:val="auto"/>
    </w:rPr>
  </w:style>
  <w:style w:type="paragraph" w:styleId="IntenseQuote">
    <w:name w:val="Intense Quote"/>
    <w:basedOn w:val="Normal"/>
    <w:next w:val="Normal"/>
    <w:link w:val="IntenseQuoteChar"/>
    <w:uiPriority w:val="30"/>
    <w:qFormat/>
    <w:rsid w:val="00094A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A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4A48"/>
    <w:rPr>
      <w:smallCaps/>
      <w:color w:val="auto"/>
      <w:u w:val="single"/>
    </w:rPr>
  </w:style>
  <w:style w:type="character" w:styleId="IntenseReference">
    <w:name w:val="Intense Reference"/>
    <w:basedOn w:val="DefaultParagraphFont"/>
    <w:uiPriority w:val="32"/>
    <w:qFormat/>
    <w:rsid w:val="00094A48"/>
    <w:rPr>
      <w:b/>
      <w:bCs/>
      <w:smallCaps/>
      <w:color w:val="auto"/>
      <w:spacing w:val="5"/>
      <w:u w:val="single"/>
    </w:rPr>
  </w:style>
  <w:style w:type="paragraph" w:customStyle="1" w:styleId="2ColumnHeading">
    <w:name w:val="2Column Heading"/>
    <w:basedOn w:val="BodyText"/>
    <w:qFormat/>
    <w:rsid w:val="00094A48"/>
    <w:pPr>
      <w:spacing w:after="60"/>
      <w:ind w:left="-2268"/>
    </w:pPr>
    <w:rPr>
      <w:b/>
    </w:rPr>
  </w:style>
  <w:style w:type="paragraph" w:customStyle="1" w:styleId="Heading1TOC">
    <w:name w:val="Heading1 TOC"/>
    <w:basedOn w:val="Normal"/>
    <w:qFormat/>
    <w:rsid w:val="00094A48"/>
    <w:pPr>
      <w:spacing w:before="240" w:after="120"/>
    </w:pPr>
    <w:rPr>
      <w:rFonts w:ascii="Times New Roman" w:hAnsi="Times New Roman"/>
      <w:b/>
      <w:sz w:val="32"/>
    </w:rPr>
  </w:style>
  <w:style w:type="paragraph" w:customStyle="1" w:styleId="Heading2TOC">
    <w:name w:val="Heading2 TOC"/>
    <w:basedOn w:val="Normal"/>
    <w:qFormat/>
    <w:rsid w:val="00094A48"/>
    <w:pPr>
      <w:spacing w:before="240" w:after="60"/>
    </w:pPr>
    <w:rPr>
      <w:rFonts w:ascii="Times New Roman" w:hAnsi="Times New Roman"/>
      <w:b/>
      <w:sz w:val="28"/>
    </w:rPr>
  </w:style>
  <w:style w:type="character" w:customStyle="1" w:styleId="Underline">
    <w:name w:val="Underline"/>
    <w:basedOn w:val="DefaultParagraphFont"/>
    <w:qFormat/>
    <w:rsid w:val="00094A48"/>
    <w:rPr>
      <w:u w:val="single"/>
    </w:rPr>
  </w:style>
  <w:style w:type="character" w:customStyle="1" w:styleId="BoldandItalics">
    <w:name w:val="Bold and Italics"/>
    <w:qFormat/>
    <w:rsid w:val="00094A48"/>
    <w:rPr>
      <w:b/>
      <w:i/>
      <w:u w:val="none"/>
    </w:rPr>
  </w:style>
  <w:style w:type="paragraph" w:styleId="BalloonText">
    <w:name w:val="Balloon Text"/>
    <w:basedOn w:val="Normal"/>
    <w:link w:val="BalloonTextChar"/>
    <w:rsid w:val="00094A48"/>
    <w:rPr>
      <w:rFonts w:ascii="Tahoma" w:hAnsi="Tahoma" w:cs="Tahoma"/>
      <w:sz w:val="16"/>
      <w:szCs w:val="16"/>
    </w:rPr>
  </w:style>
  <w:style w:type="character" w:customStyle="1" w:styleId="BalloonTextChar">
    <w:name w:val="Balloon Text Char"/>
    <w:basedOn w:val="DefaultParagraphFont"/>
    <w:link w:val="BalloonText"/>
    <w:rsid w:val="00094A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4A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4A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4A48"/>
    <w:rPr>
      <w:b/>
      <w:color w:val="660033"/>
      <w:spacing w:val="0"/>
    </w:rPr>
  </w:style>
  <w:style w:type="paragraph" w:customStyle="1" w:styleId="Nameditemlist">
    <w:name w:val="Named item list"/>
    <w:basedOn w:val="BodyText"/>
    <w:qFormat/>
    <w:rsid w:val="00094A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2105</Words>
  <Characters>12677</Characters>
  <Application>Microsoft Office Word</Application>
  <DocSecurity>0</DocSecurity>
  <Lines>473</Lines>
  <Paragraphs>194</Paragraphs>
  <ScaleCrop>false</ScaleCrop>
  <Company>Author-it Software Corporation Ltd.</Company>
  <LinksUpToDate>false</LinksUpToDate>
  <CharactersWithSpaces>14655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UEENEEH102A Repairs basic electronic apparatus faults by replacement of components</dc:title>
  <dc:subject>Approved</dc:subject>
  <dc:creator>E-OZ Training Standards</dc:creator>
  <cp:keywords>Release: 2</cp:keywords>
  <dc:description>Review Date: 12 April 2008</dc:description>
  <cp:lastModifiedBy>TPCMS</cp:lastModifiedBy>
  <cp:revision>3</cp:revision>
  <dcterms:created xsi:type="dcterms:W3CDTF">2013-08-14T07:30:00Z</dcterms:created>
  <dcterms:modified xsi:type="dcterms:W3CDTF">2013-08-14T07:30:00Z</dcterms:modified>
</cp:coreProperties>
</file>