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C86" w:rsidP="00DC5C86">
      <w:pPr>
        <w:pStyle w:val="Title"/>
      </w:pPr>
      <w:r>
        <w:fldChar w:fldCharType="begin"/>
      </w:r>
      <w:r>
        <w:instrText xml:space="preserve"> TITLE   \* MERGEFORMAT </w:instrText>
      </w:r>
      <w:r>
        <w:fldChar w:fldCharType="separate"/>
      </w:r>
      <w:r>
        <w:t>UEENEEH101A Repair basic computer equipment faults by replacement of modules/sub-assemblies</w:t>
      </w:r>
      <w:r>
        <w:fldChar w:fldCharType="end"/>
      </w:r>
    </w:p>
    <w:p w:rsidR="00DC5C86" w:rsidP="00DC5C86">
      <w:pPr>
        <w:pStyle w:val="Version"/>
        <w:sectPr w:rsidSect="00520D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0DEA" w:rsidP="00520DEA">
      <w:pPr>
        <w:pStyle w:val="SuperHeading"/>
      </w:pPr>
      <w:r w:rsidRPr="00520DEA">
        <w:t>UEENEEH101A Repair basic computer equipment faults by replacement of modules/sub-assemblies</w:t>
      </w:r>
    </w:p>
    <w:p w:rsidR="00000000" w:rsidRPr="00520DEA" w:rsidP="00520DEA">
      <w:pPr>
        <w:pStyle w:val="Heading1"/>
      </w:pPr>
      <w:bookmarkStart w:id="1" w:name="O_586737"/>
      <w:bookmarkEnd w:id="1"/>
      <w:r w:rsidRPr="00520DEA">
        <w:t>Modification History</w:t>
      </w:r>
    </w:p>
    <w:p w:rsidR="00000000" w:rsidRPr="00520DEA" w:rsidP="00520DEA">
      <w:pPr>
        <w:pStyle w:val="BodyText"/>
      </w:pPr>
      <w:r w:rsidRPr="00520DEA">
        <w:t>Not applicable.</w:t>
      </w:r>
    </w:p>
    <w:p w:rsidR="00000000" w:rsidRPr="00520DEA" w:rsidP="00520DEA">
      <w:pPr>
        <w:pStyle w:val="AllowPageBreak"/>
      </w:pPr>
    </w:p>
    <w:p w:rsidR="00000000" w:rsidRPr="00520DEA" w:rsidP="00520DEA">
      <w:pPr>
        <w:pStyle w:val="Heading1"/>
      </w:pPr>
      <w:bookmarkStart w:id="2" w:name="O_586736"/>
      <w:bookmarkEnd w:id="2"/>
      <w:r w:rsidRPr="00520DEA">
        <w:t>Unit Descriptor</w:t>
      </w:r>
    </w:p>
    <w:tbl>
      <w:tblPr>
        <w:tblW w:w="0" w:type="auto"/>
        <w:tblLayout w:type="fixed"/>
        <w:tblCellMar>
          <w:left w:w="62" w:type="dxa"/>
          <w:right w:w="62" w:type="dxa"/>
        </w:tblCellMar>
        <w:tblLook w:val="0000"/>
      </w:tblPr>
      <w:tblGrid>
        <w:gridCol w:w="2700"/>
        <w:gridCol w:w="5760"/>
      </w:tblGrid>
      <w:tr w:rsidTr="00DC5C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1)</w:t>
            </w:r>
            <w:r w:rsidRPr="00520DEA">
              <w:t xml:space="preserve"> </w:t>
            </w:r>
            <w:r w:rsidRPr="00520DEA">
              <w:rPr>
                <w:rStyle w:val="SpecialBold"/>
              </w:rPr>
              <w:t>Scope:</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0DE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1.1) Descriptor</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This unit deals with the repair of computer equipment by replacement of slot/plug connected modules/sub-assemblies. It encompasses safe working practices, following written and oral instruction and procedures, basic testing techniques, dismantling and asse</w:t>
            </w:r>
            <w:r w:rsidRPr="00520DEA">
              <w:t>mbling apparatus and disconnecting and reconnecting components.</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3" w:name="O_586735"/>
      <w:bookmarkEnd w:id="3"/>
      <w:r w:rsidRPr="00520DEA">
        <w:t>Application of the Unit</w:t>
      </w:r>
    </w:p>
    <w:tbl>
      <w:tblPr>
        <w:tblW w:w="0" w:type="auto"/>
        <w:tblLayout w:type="fixed"/>
        <w:tblCellMar>
          <w:left w:w="62" w:type="dxa"/>
          <w:right w:w="62" w:type="dxa"/>
        </w:tblCellMar>
        <w:tblLook w:val="0000"/>
      </w:tblPr>
      <w:tblGrid>
        <w:gridCol w:w="2672"/>
        <w:gridCol w:w="5699"/>
      </w:tblGrid>
      <w:tr w:rsidTr="00DC5C8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2)</w:t>
            </w:r>
          </w:p>
        </w:tc>
      </w:tr>
      <w:tr w:rsidTr="00DC5C8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This unit may apply to persons entering work in electro technology and may be used in school-based vocational programs.</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4" w:name="O_586734"/>
      <w:bookmarkEnd w:id="4"/>
      <w:r w:rsidRPr="00520DEA">
        <w:t>Licensing/Regulatory Information</w:t>
      </w:r>
    </w:p>
    <w:tbl>
      <w:tblPr>
        <w:tblW w:w="0" w:type="auto"/>
        <w:tblLayout w:type="fixed"/>
        <w:tblCellMar>
          <w:left w:w="62" w:type="dxa"/>
          <w:right w:w="62" w:type="dxa"/>
        </w:tblCellMar>
        <w:tblLook w:val="0000"/>
      </w:tblPr>
      <w:tblGrid>
        <w:gridCol w:w="2700"/>
        <w:gridCol w:w="5760"/>
      </w:tblGrid>
      <w:tr w:rsidTr="00DC5C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 xml:space="preserve">3)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 xml:space="preserve">The skills and knowledge described in this unit do not require a license to practice in the workplace provided equipment is not connected to installation wiring at voltage above </w:t>
            </w:r>
            <w:r w:rsidRPr="00520DEA">
              <w:t>50 V a.c. or 120 V d.c. However, practice in this unit is subject to regulations directly related to occupational health and safety and where applicable contracts of training such as apprenticeships.</w:t>
            </w:r>
          </w:p>
          <w:p w:rsidR="00000000" w:rsidRPr="00520DEA" w:rsidP="00520DEA">
            <w:pPr>
              <w:pStyle w:val="BodyText"/>
            </w:pPr>
            <w:r w:rsidRPr="00520DEA">
              <w:t xml:space="preserve">Note: </w:t>
            </w:r>
          </w:p>
          <w:p w:rsidR="00000000" w:rsidRPr="00520DEA" w:rsidP="00520DEA">
            <w:pPr>
              <w:pStyle w:val="BodyText"/>
            </w:pPr>
            <w:r w:rsidRPr="00520DEA">
              <w:t>1. Compliance with permits may be required in various jurisdictions and typically relates to the operation of plant, machinery and equipment such as elevating work platforms, powder operated fixing tools, power operated tools, vehicles, road signage and tr</w:t>
            </w:r>
            <w:r w:rsidRPr="00520DEA">
              <w:t>affic control, lifting equipment and the like. Permits may also be required for some work environments such as confined spaces, working aloft, near live electrical apparatus and site rehabilitation.</w:t>
            </w:r>
          </w:p>
          <w:p w:rsidR="00000000" w:rsidRPr="00520DEA" w:rsidP="00520DEA">
            <w:pPr>
              <w:pStyle w:val="BodyText"/>
            </w:pPr>
            <w:r w:rsidRPr="00520DEA">
              <w:t>2. Compliance may be required in various jurisdictions re</w:t>
            </w:r>
            <w:r w:rsidRPr="00520DEA">
              <w:t>lating to currency in First Aid, confined space, lifting and risk safety measures</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5" w:name="O_586733"/>
      <w:bookmarkEnd w:id="5"/>
      <w:r w:rsidRPr="00520DEA">
        <w:t>Pre-Requisites</w:t>
      </w:r>
    </w:p>
    <w:tbl>
      <w:tblPr>
        <w:tblW w:w="0" w:type="auto"/>
        <w:tblLayout w:type="fixed"/>
        <w:tblCellMar>
          <w:left w:w="62" w:type="dxa"/>
          <w:right w:w="62" w:type="dxa"/>
        </w:tblCellMar>
        <w:tblLook w:val="0000"/>
      </w:tblPr>
      <w:tblGrid>
        <w:gridCol w:w="2700"/>
        <w:gridCol w:w="1710"/>
        <w:gridCol w:w="4050"/>
      </w:tblGrid>
      <w:tr w:rsidTr="00DC5C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 xml:space="preserve">4)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4.1)</w:t>
            </w:r>
          </w:p>
        </w:tc>
      </w:tr>
      <w:tr w:rsidTr="00DC5C86">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Granting competency in this unit shall</w:t>
            </w:r>
            <w:r w:rsidRPr="00520DEA">
              <w:t xml:space="preserve"> be made only after competency in the following unit(s) has/have been confirmed.</w:t>
            </w:r>
          </w:p>
        </w:tc>
      </w:tr>
      <w:tr w:rsidTr="00DC5C8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Apply Occupational Health and Safety regulations, codes and practices in the workplace</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UEENEEE102A</w:t>
            </w:r>
          </w:p>
        </w:tc>
        <w:tc>
          <w:tcPr>
            <w:tcW w:w="405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Fabricate, dismantle, assemble of utilities industry components</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 xml:space="preserve">Use drawings, diagrams, schedules, standards, codes and specifications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AND</w:t>
            </w:r>
          </w:p>
        </w:tc>
        <w:tc>
          <w:tcPr>
            <w:tcW w:w="405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UEENEEE104A</w:t>
            </w:r>
          </w:p>
        </w:tc>
        <w:tc>
          <w:tcPr>
            <w:tcW w:w="405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 xml:space="preserve">Solve problems in d.c. circuits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OR</w:t>
            </w:r>
          </w:p>
        </w:tc>
        <w:tc>
          <w:tcPr>
            <w:tcW w:w="405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 xml:space="preserve">UEENEEE123A </w:t>
            </w:r>
          </w:p>
        </w:tc>
        <w:tc>
          <w:tcPr>
            <w:tcW w:w="405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Solve basic problems in electr</w:t>
            </w:r>
            <w:r w:rsidRPr="00520DEA">
              <w:t xml:space="preserve">onic and digital equipment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UEENEEE104A</w:t>
            </w:r>
          </w:p>
        </w:tc>
        <w:tc>
          <w:tcPr>
            <w:tcW w:w="405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 xml:space="preserve">Solve problems in d.c. circuits </w:t>
            </w:r>
          </w:p>
        </w:tc>
      </w:tr>
    </w:tbl>
    <w:p w:rsidR="00000000" w:rsidRPr="00520DEA" w:rsidP="00520DE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C5C8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 xml:space="preserve">4.2)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Participants are best equipped to achieve competency in this unit if they have reading, writing and numeracy skills indicated by the following scales. Description of each scale is given in Volume 2, Part 3 ‘Literacy and Numeracy’</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Reading</w:t>
            </w:r>
          </w:p>
        </w:tc>
        <w:tc>
          <w:tcPr>
            <w:tcW w:w="81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3</w:t>
            </w:r>
          </w:p>
        </w:tc>
        <w:tc>
          <w:tcPr>
            <w:tcW w:w="99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Writing</w:t>
            </w:r>
          </w:p>
        </w:tc>
        <w:tc>
          <w:tcPr>
            <w:tcW w:w="90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3</w:t>
            </w:r>
          </w:p>
        </w:tc>
        <w:tc>
          <w:tcPr>
            <w:tcW w:w="12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Numeracy</w:t>
            </w:r>
          </w:p>
        </w:tc>
        <w:tc>
          <w:tcPr>
            <w:tcW w:w="72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3</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6" w:name="O_586732"/>
      <w:bookmarkEnd w:id="6"/>
      <w:r w:rsidRPr="00520DEA">
        <w:t>Employability Skills Information</w:t>
      </w:r>
    </w:p>
    <w:tbl>
      <w:tblPr>
        <w:tblW w:w="0" w:type="auto"/>
        <w:tblLayout w:type="fixed"/>
        <w:tblCellMar>
          <w:left w:w="62" w:type="dxa"/>
          <w:right w:w="62" w:type="dxa"/>
        </w:tblCellMar>
        <w:tblLook w:val="0000"/>
      </w:tblPr>
      <w:tblGrid>
        <w:gridCol w:w="2700"/>
        <w:gridCol w:w="5760"/>
      </w:tblGrid>
      <w:tr w:rsidTr="00DC5C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 xml:space="preserve">5)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This unit contains Employability Skills</w:t>
            </w:r>
          </w:p>
          <w:p w:rsidR="00000000" w:rsidRPr="00520DEA" w:rsidP="00520DEA">
            <w:pPr>
              <w:pStyle w:val="BodyText"/>
            </w:pPr>
            <w:r w:rsidRPr="00520DE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20DEA">
              <w:t>requirements.</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7" w:name="O_586731"/>
      <w:bookmarkEnd w:id="7"/>
      <w:r w:rsidRPr="00520DEA">
        <w:t>Elements and Performance Criteria Pre-Content</w:t>
      </w:r>
    </w:p>
    <w:tbl>
      <w:tblPr>
        <w:tblW w:w="0" w:type="auto"/>
        <w:tblLayout w:type="fixed"/>
        <w:tblCellMar>
          <w:left w:w="62" w:type="dxa"/>
          <w:right w:w="62" w:type="dxa"/>
        </w:tblCellMar>
        <w:tblLook w:val="0000"/>
      </w:tblPr>
      <w:tblGrid>
        <w:gridCol w:w="2700"/>
        <w:gridCol w:w="5760"/>
      </w:tblGrid>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6)</w:t>
            </w:r>
            <w:r w:rsidRPr="00520DE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Performance Criteria describe the re</w:t>
            </w:r>
            <w:r w:rsidRPr="00520DEA">
              <w:t>quired performance needed to demonstrate achievement of the element. Assessment of performance is to be consistent with the Evidence Guide.</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8" w:name="O_586730"/>
      <w:bookmarkEnd w:id="8"/>
      <w:r w:rsidRPr="00520DEA">
        <w:t>Elements and Performance Criteria</w:t>
      </w:r>
    </w:p>
    <w:tbl>
      <w:tblPr>
        <w:tblW w:w="0" w:type="auto"/>
        <w:tblLayout w:type="fixed"/>
        <w:tblCellMar>
          <w:left w:w="62" w:type="dxa"/>
          <w:right w:w="62" w:type="dxa"/>
        </w:tblCellMar>
        <w:tblLook w:val="0000"/>
      </w:tblPr>
      <w:tblGrid>
        <w:gridCol w:w="405"/>
        <w:gridCol w:w="2254"/>
        <w:gridCol w:w="41"/>
        <w:gridCol w:w="845"/>
        <w:gridCol w:w="4782"/>
        <w:gridCol w:w="133"/>
      </w:tblGrid>
      <w:tr w:rsidTr="00DC5C8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PERFORMANCE CRITERIA</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1</w:t>
            </w:r>
          </w:p>
        </w:tc>
        <w:tc>
          <w:tcPr>
            <w:tcW w:w="2254" w:type="dxa"/>
            <w:vMerge w:val="restart"/>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Prepare to repair computer equipment.</w:t>
            </w: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1.1</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OHS procedures for a given work area are identified, obtained and understood through established routines and procedures.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1.2</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 xml:space="preserve">Established OHS risk control measures and procedures are followed in preparation for </w:t>
            </w:r>
            <w:r w:rsidRPr="00520DEA">
              <w:t xml:space="preserve">the work </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1.3</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The nature of the repair is obtained from documentation or from work supervisor to establish the scope of work to be undertaken.</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1.4</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Advice is sought from the work supervisor to ensure the work is co-ordinated effectively with others.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1.5</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Sources of materials that may be required for the work are established in accordance with established routines and procedures.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1.6</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Tools, apparatus and testing devices needed to carry out the work are obtained and checked for correct operation and safety.</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w:t>
            </w:r>
          </w:p>
        </w:tc>
        <w:tc>
          <w:tcPr>
            <w:tcW w:w="2254" w:type="dxa"/>
            <w:vMerge w:val="restart"/>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Repair computer equipment</w:t>
            </w: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2.1</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Established OHS risk control measures and procedures for carrying out the work are followed.</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w:t>
            </w:r>
            <w:r w:rsidRPr="00520DEA">
              <w:t>2</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The need to test or measure live is determined in strict accordance with OHS requirements and when necessary conducted within established safety procedures.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2.3</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Circuits/apparatus are checked as being isolated where necessary in strict accordance OHS requirements and procedures.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2.4</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Apparatus is dismantled in accordance with manufacturer’s guide and supervisor’s instructions.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2.5</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Modules/sub-assemblies are t</w:t>
            </w:r>
            <w:r w:rsidRPr="00520DEA">
              <w:t>agged during the dismantling to help ensure correct and efficient reassembly and stored to protect them against loss or damage.</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2.6</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Repairs are affected efficiently without damage to other components, apparatus or circuits.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2.7</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Apparatus is assembled in an appropriate sequence with all modules/sub-assemblies and parts correctly placed, secured and connected in accordance with manufacturer’s guide or industry practice.</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2.8</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Procedures for referring non-routine events to immediat</w:t>
            </w:r>
            <w:r w:rsidRPr="00520DEA">
              <w:t>e supervisor for directions are followed.</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2.9</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Repairs are carried out efficiently without waste of materials or damage to apparatus and the surrounding environment or services and using sustainable energy practices.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3</w:t>
            </w:r>
          </w:p>
        </w:tc>
        <w:tc>
          <w:tcPr>
            <w:tcW w:w="2254" w:type="dxa"/>
            <w:vMerge w:val="restart"/>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Complete and report repair work ac</w:t>
            </w:r>
            <w:r w:rsidRPr="00520DEA">
              <w:t>tivities.</w:t>
            </w: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3.1</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OHS work completion risk control measures and procedures are followed.</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3.2</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Repaired computer equipment is prepared and forwarded to appropriate person(s) for testing.</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3.3</w:t>
            </w:r>
          </w:p>
        </w:tc>
        <w:tc>
          <w:tcPr>
            <w:tcW w:w="4782"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Work area is cleaned and made safe in accordance with established procedures.</w:t>
            </w:r>
          </w:p>
        </w:tc>
      </w:tr>
      <w:tr w:rsidTr="00DC5C86">
        <w:tblPrEx>
          <w:tblW w:w="0" w:type="auto"/>
          <w:tblLayout w:type="fixed"/>
          <w:tblCellMar>
            <w:left w:w="62" w:type="dxa"/>
            <w:right w:w="62" w:type="dxa"/>
          </w:tblCellMar>
          <w:tblLook w:val="0000"/>
        </w:tblPrEx>
        <w:trPr>
          <w:gridAfter w:val="1"/>
          <w:wAfter w:w="133"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3.4</w:t>
            </w:r>
          </w:p>
        </w:tc>
        <w:tc>
          <w:tcPr>
            <w:tcW w:w="4782"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Work supervisor is notified of the completion of the repair work in accordance with established procedures.</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9" w:name="O_586729"/>
      <w:bookmarkEnd w:id="9"/>
      <w:r w:rsidRPr="00520DEA">
        <w:t>Required Skills and Knowledge</w:t>
      </w:r>
    </w:p>
    <w:tbl>
      <w:tblPr>
        <w:tblW w:w="0" w:type="auto"/>
        <w:tblLayout w:type="fixed"/>
        <w:tblCellMar>
          <w:left w:w="62" w:type="dxa"/>
          <w:right w:w="62" w:type="dxa"/>
        </w:tblCellMar>
        <w:tblLook w:val="0000"/>
      </w:tblPr>
      <w:tblGrid>
        <w:gridCol w:w="8460"/>
      </w:tblGrid>
      <w:tr w:rsidTr="00DC5C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REQUIRED SKILLS AND KNOWLEDGE</w:t>
            </w:r>
          </w:p>
        </w:tc>
      </w:tr>
      <w:tr w:rsidTr="00DC5C8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8)</w:t>
            </w:r>
            <w:r w:rsidRPr="00520DEA">
              <w:t xml:space="preserve"> This describes the essential skills and knowledge and their level, required for this unit.</w:t>
            </w:r>
          </w:p>
          <w:p w:rsidR="00000000" w:rsidRPr="00520DEA" w:rsidP="00520DEA">
            <w:pPr>
              <w:pStyle w:val="BodyText"/>
            </w:pPr>
            <w:r w:rsidRPr="00520DEA">
              <w:t>Evidence shall show that knowledge has been acquired of safe working practices and carrying out basic repairs to electronic apparat</w:t>
            </w:r>
            <w:r w:rsidRPr="00520DEA">
              <w:t xml:space="preserve">us by replacement of modules/sub-assemblies. </w:t>
            </w:r>
          </w:p>
          <w:p w:rsidR="00000000" w:rsidRPr="00520DEA" w:rsidP="00520DEA">
            <w:pPr>
              <w:pStyle w:val="BodyText"/>
            </w:pPr>
            <w:r w:rsidRPr="00520DEA">
              <w:t>All knowledge and skills detailed in this unit should be contextualised to current industry practices and technologies..</w:t>
            </w:r>
          </w:p>
          <w:p w:rsidR="00000000" w:rsidRPr="00520DEA" w:rsidP="00520DEA">
            <w:pPr>
              <w:pStyle w:val="BodyText"/>
            </w:pPr>
            <w:r w:rsidRPr="00520DEA">
              <w:rPr>
                <w:rStyle w:val="SpecialBold"/>
              </w:rPr>
              <w:t>KS01-EH101A</w:t>
            </w:r>
            <w:r w:rsidRPr="00520DEA">
              <w:rPr>
                <w:rStyle w:val="SpecialBold"/>
              </w:rPr>
              <w:tab/>
              <w:t xml:space="preserve">               Basic computer equipment repairs</w:t>
            </w:r>
          </w:p>
          <w:p w:rsidR="00000000" w:rsidRPr="00520DEA" w:rsidP="00520DEA">
            <w:pPr>
              <w:pStyle w:val="BodyText"/>
            </w:pPr>
            <w:r w:rsidRPr="00520DEA">
              <w:t>Evidence shall show an unders</w:t>
            </w:r>
            <w:r w:rsidRPr="00520DEA">
              <w:t>tanding of modules/sub-assemblies replacement for basic computer equipment repairs, applying safe working practices and relevant Standards, Codes and Regulations to an extent indicated by the following aspects:</w:t>
            </w:r>
          </w:p>
          <w:p w:rsidR="00000000" w:rsidRPr="00520DEA" w:rsidP="00520DEA">
            <w:pPr>
              <w:pStyle w:val="BodyText"/>
            </w:pPr>
            <w:r w:rsidRPr="00520DEA">
              <w:t>T1.</w:t>
            </w:r>
            <w:r w:rsidRPr="00520DEA">
              <w:tab/>
              <w:t>Personal computers structure and componen</w:t>
            </w:r>
            <w:r w:rsidRPr="00520DEA">
              <w:t>ts and their function, including motherboards, memory modules, video modules, connecting buses, storage devices and the like.</w:t>
            </w:r>
          </w:p>
          <w:p w:rsidR="00000000" w:rsidRPr="00520DEA" w:rsidP="00520DEA">
            <w:pPr>
              <w:pStyle w:val="BodyText"/>
            </w:pPr>
            <w:r w:rsidRPr="00520DEA">
              <w:t>T2.</w:t>
            </w:r>
            <w:r w:rsidRPr="00520DEA">
              <w:tab/>
              <w:t>Personal computers assembling and dismantling techniques</w:t>
            </w:r>
          </w:p>
          <w:p w:rsidR="00000000" w:rsidRPr="00520DEA" w:rsidP="00520DEA">
            <w:pPr>
              <w:pStyle w:val="BodyText"/>
            </w:pPr>
            <w:r w:rsidRPr="00520DEA">
              <w:t>T3.</w:t>
            </w:r>
            <w:r w:rsidRPr="00520DEA">
              <w:tab/>
            </w:r>
            <w:r w:rsidRPr="00520DEA">
              <w:t>Personal computers hardware faults and troubleshooting techniques, confined to subsystem level</w:t>
            </w:r>
          </w:p>
          <w:p w:rsidR="00000000" w:rsidRPr="00520DEA" w:rsidP="00520DEA">
            <w:pPr>
              <w:pStyle w:val="BodyText"/>
            </w:pPr>
            <w:r w:rsidRPr="00520DEA">
              <w:t>T4.</w:t>
            </w:r>
            <w:r w:rsidRPr="00520DEA">
              <w:tab/>
              <w:t>Basic network hardware and components</w:t>
            </w:r>
          </w:p>
          <w:p w:rsidR="00000000" w:rsidRPr="00520DEA" w:rsidP="00520DEA">
            <w:pPr>
              <w:pStyle w:val="BodyText"/>
            </w:pPr>
            <w:r w:rsidRPr="00520DEA">
              <w:t>T5.</w:t>
            </w:r>
            <w:r w:rsidRPr="00520DEA">
              <w:tab/>
              <w:t>Connection of network media</w:t>
            </w:r>
          </w:p>
          <w:p w:rsidR="00000000" w:rsidRPr="00520DEA" w:rsidP="00520DEA">
            <w:pPr>
              <w:pStyle w:val="BodyText"/>
            </w:pPr>
            <w:r w:rsidRPr="00520DEA">
              <w:t>T6.</w:t>
            </w:r>
            <w:r w:rsidRPr="00520DEA">
              <w:tab/>
              <w:t>Set up of standard network configuration</w:t>
            </w:r>
          </w:p>
          <w:p w:rsidR="00000000" w:rsidRPr="00520DEA" w:rsidP="00520DEA">
            <w:pPr>
              <w:pStyle w:val="BodyText"/>
            </w:pPr>
            <w:r w:rsidRPr="00520DEA">
              <w:t>T7.</w:t>
            </w:r>
            <w:r w:rsidRPr="00520DEA">
              <w:tab/>
              <w:t xml:space="preserve">Cable and conductor terminations used </w:t>
            </w:r>
            <w:r w:rsidRPr="00520DEA">
              <w:t>in electronic equipment:</w:t>
            </w:r>
          </w:p>
          <w:p w:rsidR="00000000" w:rsidRPr="00520DEA" w:rsidP="00520DEA">
            <w:pPr>
              <w:pStyle w:val="ListBullet"/>
            </w:pPr>
            <w:r w:rsidRPr="00520DEA">
              <w:t>Cable and conductor types and characteristics:</w:t>
            </w:r>
          </w:p>
          <w:p w:rsidR="00000000" w:rsidRPr="00520DEA" w:rsidP="00520DEA">
            <w:pPr>
              <w:pStyle w:val="ListBullet2"/>
            </w:pPr>
            <w:r w:rsidRPr="00520DEA">
              <w:t>Insulated wire</w:t>
            </w:r>
          </w:p>
          <w:p w:rsidR="00000000" w:rsidRPr="00520DEA" w:rsidP="00520DEA">
            <w:pPr>
              <w:pStyle w:val="ListBullet2"/>
            </w:pPr>
            <w:r w:rsidRPr="00520DEA">
              <w:t xml:space="preserve">Harness wiring, </w:t>
            </w:r>
          </w:p>
          <w:p w:rsidR="00000000" w:rsidRPr="00520DEA" w:rsidP="00520DEA">
            <w:pPr>
              <w:pStyle w:val="ListBullet2"/>
            </w:pPr>
            <w:r w:rsidRPr="00520DEA">
              <w:t>High performance cables - characteristics are transmission performance parameters and electrical characteristics</w:t>
            </w:r>
          </w:p>
          <w:p w:rsidR="00000000" w:rsidRPr="00520DEA" w:rsidP="00520DEA">
            <w:pPr>
              <w:pStyle w:val="ListBullet2"/>
            </w:pPr>
            <w:r w:rsidRPr="00520DEA">
              <w:t>Types include UTP, FTP, and STP</w:t>
            </w:r>
          </w:p>
          <w:p w:rsidR="00000000" w:rsidRPr="00520DEA" w:rsidP="00520DEA">
            <w:pPr>
              <w:pStyle w:val="ListBullet"/>
            </w:pPr>
            <w:r w:rsidRPr="00520DEA">
              <w:t>Coax</w:t>
            </w:r>
            <w:r w:rsidRPr="00520DEA">
              <w:t>ial cables types and characteristics - qualshield, trishield coaxial are armour plated coaxial cables</w:t>
            </w:r>
          </w:p>
          <w:p w:rsidR="00000000" w:rsidRPr="00520DEA" w:rsidP="00520DEA">
            <w:pPr>
              <w:pStyle w:val="ListBullet"/>
            </w:pPr>
            <w:r w:rsidRPr="00520DEA">
              <w:t xml:space="preserve">Cable anchoring and support methods </w:t>
            </w:r>
          </w:p>
          <w:p w:rsidR="00000000" w:rsidRPr="00520DEA" w:rsidP="00520DEA">
            <w:pPr>
              <w:pStyle w:val="ListBullet"/>
            </w:pPr>
            <w:r w:rsidRPr="00520DEA">
              <w:t>Termination methods</w:t>
            </w:r>
          </w:p>
          <w:p w:rsidR="00000000" w:rsidRPr="00520DEA" w:rsidP="00520DEA">
            <w:pPr>
              <w:pStyle w:val="BodyText"/>
            </w:pPr>
            <w:r w:rsidRPr="00520DEA">
              <w:t>T8.</w:t>
            </w:r>
            <w:r w:rsidRPr="00520DEA">
              <w:tab/>
              <w:t xml:space="preserve">Basic repairs to computer equipment by replacing modules/sub-assemblies </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10" w:name="O_586728"/>
      <w:bookmarkEnd w:id="10"/>
      <w:r w:rsidRPr="00520DEA">
        <w:t>Evidence Guide</w:t>
      </w:r>
    </w:p>
    <w:tbl>
      <w:tblPr>
        <w:tblW w:w="0" w:type="auto"/>
        <w:tblLayout w:type="fixed"/>
        <w:tblCellMar>
          <w:left w:w="62" w:type="dxa"/>
          <w:right w:w="62" w:type="dxa"/>
        </w:tblCellMar>
        <w:tblLook w:val="0000"/>
      </w:tblPr>
      <w:tblGrid>
        <w:gridCol w:w="8460"/>
      </w:tblGrid>
      <w:tr w:rsidTr="00DC5C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EVIDENCE GUIDE</w:t>
            </w:r>
          </w:p>
        </w:tc>
      </w:tr>
      <w:tr w:rsidTr="00DC5C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9)</w:t>
            </w:r>
            <w:r w:rsidRPr="00520DEA">
              <w:t xml:space="preserve"> The evidence guide provides advice on assessment and must be read in conjunction with the Performance Criteria, Required Skills and Knowledge, the Range Statement and the Assessment Guidelines for this Training Package. .</w:t>
            </w:r>
          </w:p>
          <w:p w:rsidR="00000000" w:rsidRPr="00520DEA" w:rsidP="00520DEA">
            <w:pPr>
              <w:pStyle w:val="BodyText"/>
            </w:pPr>
            <w:r w:rsidRPr="00520DEA">
              <w:t>The Evidence Guide forms an integral part of this unit. It must be used in conjunction with all parts of the unit and performed in accordance with the Assessment Guidelines of this Training Package.</w:t>
            </w:r>
          </w:p>
        </w:tc>
      </w:tr>
    </w:tbl>
    <w:p w:rsidR="00000000" w:rsidRPr="00520DEA" w:rsidP="00520DEA">
      <w:pPr>
        <w:pStyle w:val="BodyText"/>
      </w:pPr>
    </w:p>
    <w:tbl>
      <w:tblPr>
        <w:tblW w:w="0" w:type="auto"/>
        <w:tblLayout w:type="fixed"/>
        <w:tblCellMar>
          <w:left w:w="62" w:type="dxa"/>
          <w:right w:w="62" w:type="dxa"/>
        </w:tblCellMar>
        <w:tblLook w:val="0000"/>
      </w:tblPr>
      <w:tblGrid>
        <w:gridCol w:w="1890"/>
        <w:gridCol w:w="6570"/>
      </w:tblGrid>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9.1)</w:t>
            </w:r>
          </w:p>
        </w:tc>
      </w:tr>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Longitudinal competency d</w:t>
            </w:r>
            <w:r w:rsidRPr="00520DEA">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520DEA">
              <w:t>Industry-preferred model for apprenticeships. However, where summative (or final) assessment is used it must include the application of the competency in the normal work environment or, at a minimum, the application of the competency in a realistically sim</w:t>
            </w:r>
            <w:r w:rsidRPr="00520DEA">
              <w:t>ulated work environment. It is recognised that, in some circumstances, assessment in part or full can occur outside the workplace. However, it must be in accord with industry and regulatory policy.</w:t>
            </w:r>
          </w:p>
          <w:p w:rsidR="00000000" w:rsidRPr="00520DEA" w:rsidP="00520DEA">
            <w:pPr>
              <w:pStyle w:val="BodyText"/>
            </w:pPr>
            <w:r w:rsidRPr="00520DEA">
              <w:t>Methods chosen for a particular assessment will be influen</w:t>
            </w:r>
            <w:r w:rsidRPr="00520DEA">
              <w:t>ced by various factors. These include the extent of the assessment, the most effective locations for the assessment activities to take place, access to physical resources, additional safety measures that may be required and the critical nature of the compe</w:t>
            </w:r>
            <w:r w:rsidRPr="00520DEA">
              <w:t>tencies being assessed.</w:t>
            </w:r>
          </w:p>
          <w:p w:rsidR="00000000" w:rsidRPr="00520DEA" w:rsidP="00520DEA">
            <w:pPr>
              <w:pStyle w:val="BodyText"/>
            </w:pPr>
            <w:r w:rsidRPr="00520DEA">
              <w:t>The critical safety nature of working with electricity, electrical equipment, gas or any other hazardous substance/material carries risk in deeming a person competent. Sources of evidence need to be ‘rich’ in nature to minimise erro</w:t>
            </w:r>
            <w:r w:rsidRPr="00520DEA">
              <w:t>r in judgment.</w:t>
            </w:r>
          </w:p>
          <w:p w:rsidR="00000000" w:rsidRPr="00520DEA" w:rsidP="00520DEA">
            <w:pPr>
              <w:pStyle w:val="BodyText"/>
            </w:pPr>
            <w:r w:rsidRPr="00520DEA">
              <w:t xml:space="preserve">Activities associated with normal everyday work influence decisions about how/how much the data gathered will contribute to its ‘richness’. Some skills are more critical to safety and operational requirements while the same skills may be </w:t>
            </w:r>
            <w:r w:rsidRPr="00520DEA">
              <w:t>more or less frequently practised. These points are raised for the assessors to consider when choosing an assessment method and developing assessment instruments. Sample assessment instruments are included for Assessors in the Assessment Guidelines of this</w:t>
            </w:r>
            <w:r w:rsidRPr="00520DEA">
              <w:t xml:space="preserve"> Training Package.</w:t>
            </w:r>
          </w:p>
        </w:tc>
      </w:tr>
    </w:tbl>
    <w:p w:rsidR="00000000" w:rsidRPr="00520DEA" w:rsidP="00520DEA">
      <w:pPr>
        <w:pStyle w:val="BodyText"/>
      </w:pPr>
    </w:p>
    <w:tbl>
      <w:tblPr>
        <w:tblW w:w="0" w:type="auto"/>
        <w:tblLayout w:type="fixed"/>
        <w:tblCellMar>
          <w:left w:w="62" w:type="dxa"/>
          <w:right w:w="62" w:type="dxa"/>
        </w:tblCellMar>
        <w:tblLook w:val="0000"/>
      </w:tblPr>
      <w:tblGrid>
        <w:gridCol w:w="1890"/>
        <w:gridCol w:w="6570"/>
      </w:tblGrid>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9.2)</w:t>
            </w:r>
          </w:p>
        </w:tc>
      </w:tr>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Before the critical aspects of evidence are considered all prerequisites shall be met.</w:t>
            </w:r>
          </w:p>
          <w:p w:rsidR="00000000" w:rsidRPr="00520DEA" w:rsidP="00520DEA">
            <w:pPr>
              <w:pStyle w:val="BodyText"/>
            </w:pPr>
            <w:r w:rsidRPr="00520DEA">
              <w:t>Evidence for competence in this unit shall be considered holisti</w:t>
            </w:r>
            <w:r w:rsidRPr="00520DEA">
              <w:t>cally.  Each Element and associated performance criteria shall be demonstrated on at least two occasions in accordance with the ‘Assessment Guidelines – UEE11’.  Evidence shall also comprise:</w:t>
            </w:r>
          </w:p>
          <w:p w:rsidR="00000000" w:rsidRPr="00520DEA" w:rsidP="00520DEA">
            <w:pPr>
              <w:pStyle w:val="ListBullet"/>
            </w:pPr>
            <w:r w:rsidRPr="00520DEA">
              <w:t>A representative body of work performance demonstrated within t</w:t>
            </w:r>
            <w:r w:rsidRPr="00520DEA">
              <w:t>he timeframes typically expected of the discipline, work function and industrial environment. In particular this shall incorporate evidence that shows a candidate is able to:</w:t>
            </w:r>
          </w:p>
          <w:p w:rsidR="00000000" w:rsidRPr="00520DEA" w:rsidP="00520DEA">
            <w:pPr>
              <w:pStyle w:val="ListBullet2"/>
            </w:pPr>
            <w:r w:rsidRPr="00520DEA">
              <w:t>Implement Occupational Health and Safety workplace procedures and practices, inc</w:t>
            </w:r>
            <w:r w:rsidRPr="00520DEA">
              <w:t>luding the use of risk control measures as specified in the performance criteria and range statement</w:t>
            </w:r>
          </w:p>
          <w:p w:rsidR="00000000" w:rsidRPr="00520DEA" w:rsidP="00520DEA">
            <w:pPr>
              <w:pStyle w:val="ListBullet2"/>
            </w:pPr>
            <w:r w:rsidRPr="00520DEA">
              <w:t>Apply sustainable energy principles and practices as specified in the performance criteria and range statement</w:t>
            </w:r>
          </w:p>
          <w:p w:rsidR="00000000" w:rsidRPr="00520DEA" w:rsidP="00520DEA">
            <w:pPr>
              <w:pStyle w:val="ListBullet2"/>
            </w:pPr>
            <w:r w:rsidRPr="00520DEA">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520DEA" w:rsidP="00520DEA">
            <w:pPr>
              <w:pStyle w:val="ListBullet2"/>
            </w:pPr>
            <w:r w:rsidRPr="00520DEA">
              <w:t>Demonst</w:t>
            </w:r>
            <w:r w:rsidRPr="00520DEA">
              <w:t>rate an appropriate level of skills enabling employment</w:t>
            </w:r>
          </w:p>
          <w:p w:rsidR="00000000" w:rsidRPr="00520DEA" w:rsidP="00520DEA">
            <w:pPr>
              <w:pStyle w:val="ListBullet2"/>
            </w:pPr>
            <w:r w:rsidRPr="00520DEA">
              <w:t>Conduct work observing the relevant Anti Discrimination legislation, regulations, polices and workplace procedures</w:t>
            </w:r>
          </w:p>
          <w:p w:rsidR="00000000" w:rsidRPr="00520DEA" w:rsidP="00520DEA">
            <w:pPr>
              <w:pStyle w:val="ListBullet"/>
            </w:pPr>
            <w:r w:rsidRPr="00520DEA">
              <w:t>Demonstrated consistent performance across a representative range of contexts from t</w:t>
            </w:r>
            <w:r w:rsidRPr="00520DEA">
              <w:t>he prescribed items below:</w:t>
            </w:r>
          </w:p>
          <w:p w:rsidR="00000000" w:rsidRPr="00520DEA" w:rsidP="00520DEA">
            <w:pPr>
              <w:pStyle w:val="ListBullet2"/>
            </w:pPr>
            <w:r w:rsidRPr="00520DEA">
              <w:t>Carry out basic repairs to computer equipment by replacement of modules/sub-assemblies as described in 8) and including:</w:t>
            </w:r>
          </w:p>
          <w:p w:rsidR="00000000" w:rsidRPr="00520DEA" w:rsidP="00520DEA">
            <w:pPr>
              <w:pStyle w:val="BodyText"/>
            </w:pPr>
            <w:r w:rsidRPr="00520DEA">
              <w:t>A</w:t>
            </w:r>
            <w:r w:rsidRPr="00520DEA">
              <w:tab/>
              <w:t>Following manufacturer service instructions for access to components.</w:t>
            </w:r>
          </w:p>
          <w:p w:rsidR="00000000" w:rsidRPr="00520DEA" w:rsidP="00520DEA">
            <w:pPr>
              <w:pStyle w:val="BodyText"/>
            </w:pPr>
            <w:r w:rsidRPr="00520DEA">
              <w:t>B</w:t>
            </w:r>
            <w:r w:rsidRPr="00520DEA">
              <w:tab/>
              <w:t>Removing at least three different</w:t>
            </w:r>
            <w:r w:rsidRPr="00520DEA">
              <w:t xml:space="preserve"> functional types of modules/sub-assemblies in the work instructions.</w:t>
            </w:r>
          </w:p>
          <w:p w:rsidR="00000000" w:rsidRPr="00520DEA" w:rsidP="00520DEA">
            <w:pPr>
              <w:pStyle w:val="BodyText"/>
            </w:pPr>
            <w:r w:rsidRPr="00520DEA">
              <w:t>C</w:t>
            </w:r>
            <w:r w:rsidRPr="00520DEA">
              <w:tab/>
              <w:t>Replacing modules/sub-assemblies to manufacturer requirements.</w:t>
            </w:r>
          </w:p>
          <w:p w:rsidR="00000000" w:rsidRPr="00520DEA" w:rsidP="00520DEA">
            <w:pPr>
              <w:pStyle w:val="BodyText"/>
            </w:pPr>
            <w:r w:rsidRPr="00520DEA">
              <w:t>D</w:t>
            </w:r>
            <w:r w:rsidRPr="00520DEA">
              <w:tab/>
              <w:t>Repairing damaged wires/ribbon cable to an industry standard and without damage to other equipments; includes minor sol</w:t>
            </w:r>
            <w:r w:rsidRPr="00520DEA">
              <w:t>dering.</w:t>
            </w:r>
          </w:p>
          <w:p w:rsidR="00000000" w:rsidRPr="00520DEA" w:rsidP="00520DEA">
            <w:pPr>
              <w:pStyle w:val="BodyText"/>
            </w:pPr>
            <w:r w:rsidRPr="00520DEA">
              <w:t>E</w:t>
            </w:r>
            <w:r w:rsidRPr="00520DEA">
              <w:tab/>
              <w:t>Reassembling the computer equipment correctly.</w:t>
            </w:r>
          </w:p>
          <w:p w:rsidR="00000000" w:rsidRPr="00520DEA" w:rsidP="00520DEA">
            <w:pPr>
              <w:pStyle w:val="BodyText"/>
            </w:pPr>
            <w:r w:rsidRPr="00520DEA">
              <w:t>F</w:t>
            </w:r>
            <w:r w:rsidRPr="00520DEA">
              <w:tab/>
              <w:t>Testing computer equipment operation.</w:t>
            </w:r>
          </w:p>
          <w:p w:rsidR="00000000" w:rsidRPr="00520DEA" w:rsidP="00520DEA">
            <w:pPr>
              <w:pStyle w:val="BodyText"/>
            </w:pPr>
            <w:r w:rsidRPr="00520DEA">
              <w:t>G</w:t>
            </w:r>
            <w:r w:rsidRPr="00520DEA">
              <w:tab/>
            </w:r>
            <w:r w:rsidRPr="00520DEA">
              <w:t>Dealing with unplanned events by drawing on essential knowledge and skills to provide appropriate solutions incorporated in a holistic assessment with the above listed items.</w:t>
            </w:r>
          </w:p>
          <w:p w:rsidR="00000000" w:rsidRPr="00520DEA" w:rsidP="00520DEA">
            <w:pPr>
              <w:pStyle w:val="BodyText"/>
            </w:pPr>
            <w:r w:rsidRPr="00520DEA">
              <w:t xml:space="preserve">Note: </w:t>
            </w:r>
          </w:p>
          <w:p w:rsidR="00000000" w:rsidRPr="00520DEA" w:rsidP="00520DEA">
            <w:pPr>
              <w:pStyle w:val="BodyText"/>
            </w:pPr>
            <w:r w:rsidRPr="00520DEA">
              <w:t>Successful completion of relevant vendor training may be used to contribut</w:t>
            </w:r>
            <w:r w:rsidRPr="00520DEA">
              <w:t>e to evidence on which competency is deemed. In these cases the alignment of outcomes of vendor training with performance criteria and critical aspects of evidence shall be clearly identified.</w:t>
            </w:r>
          </w:p>
        </w:tc>
      </w:tr>
    </w:tbl>
    <w:p w:rsidR="00000000" w:rsidRPr="00520DEA" w:rsidP="00520DEA">
      <w:pPr>
        <w:pStyle w:val="BodyText"/>
      </w:pPr>
    </w:p>
    <w:tbl>
      <w:tblPr>
        <w:tblW w:w="0" w:type="auto"/>
        <w:tblLayout w:type="fixed"/>
        <w:tblCellMar>
          <w:left w:w="62" w:type="dxa"/>
          <w:right w:w="62" w:type="dxa"/>
        </w:tblCellMar>
        <w:tblLook w:val="0000"/>
      </w:tblPr>
      <w:tblGrid>
        <w:gridCol w:w="1890"/>
        <w:gridCol w:w="6570"/>
      </w:tblGrid>
      <w:tr w:rsidTr="00DC5C8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9.3)</w:t>
            </w:r>
          </w:p>
        </w:tc>
      </w:tr>
      <w:tr w:rsidTr="00DC5C8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 xml:space="preserve">This </w:t>
            </w:r>
            <w:r w:rsidRPr="00520DEA">
              <w:t>unit should be assessed as it relates to normal work practice using procedures, information and resources typical of a workplace.  This should include:</w:t>
            </w:r>
          </w:p>
          <w:p w:rsidR="00000000" w:rsidRPr="00520DEA" w:rsidP="00520DEA">
            <w:pPr>
              <w:pStyle w:val="ListBullet"/>
            </w:pPr>
            <w:r w:rsidRPr="00520DEA">
              <w:t>OHS policy and work procedures and instructions.</w:t>
            </w:r>
          </w:p>
          <w:p w:rsidR="00000000" w:rsidRPr="00520DEA" w:rsidP="00520DEA">
            <w:pPr>
              <w:pStyle w:val="ListBullet"/>
            </w:pPr>
            <w:r w:rsidRPr="00520DEA">
              <w:t>Relevant Australian and Inter</w:t>
            </w:r>
            <w:r w:rsidRPr="00520DEA">
              <w:t>national industry standards for the repair of electronic assemblies and sub-assemblies</w:t>
            </w:r>
          </w:p>
          <w:p w:rsidR="00000000" w:rsidRPr="00520DEA" w:rsidP="00520DEA">
            <w:pPr>
              <w:pStyle w:val="ListBullet"/>
            </w:pPr>
            <w:r w:rsidRPr="00520DEA">
              <w:t>Suitable work environment, facilities, equipment and materials to undertake actual work as prescribed by this unit.</w:t>
            </w:r>
          </w:p>
          <w:p w:rsidR="00000000" w:rsidRPr="00520DEA" w:rsidP="00520DEA">
            <w:pPr>
              <w:pStyle w:val="BodyText"/>
            </w:pPr>
            <w:r w:rsidRPr="00520DEA">
              <w:t>These should be part of the formal learning/assessmen</w:t>
            </w:r>
            <w:r w:rsidRPr="00520DEA">
              <w:t>t environment.</w:t>
            </w:r>
          </w:p>
          <w:p w:rsidR="00000000" w:rsidRPr="00520DEA" w:rsidP="00520DEA">
            <w:pPr>
              <w:pStyle w:val="BodyText"/>
            </w:pPr>
            <w:r w:rsidRPr="00520DEA">
              <w:t>Note:</w:t>
            </w:r>
          </w:p>
          <w:p w:rsidR="00000000" w:rsidRPr="00520DEA" w:rsidP="00520DEA">
            <w:pPr>
              <w:pStyle w:val="BodyText"/>
            </w:pPr>
            <w:r w:rsidRPr="00520DEA">
              <w:t>Where simulation is considered a suitable strategy for assessment, conditions must be authentic and as far as possible reproduce and replicate the workplace and be consistent with the approved industry simulation policy.</w:t>
            </w:r>
          </w:p>
          <w:p w:rsidR="00000000" w:rsidRPr="00520DEA" w:rsidP="00520DEA">
            <w:pPr>
              <w:pStyle w:val="BodyText"/>
            </w:pPr>
            <w:r w:rsidRPr="00520DEA">
              <w:t xml:space="preserve">The resources </w:t>
            </w:r>
            <w:r w:rsidRPr="00520DEA">
              <w:t>used for assessment should reflect current industry practices in relation to carrying out basic repairs to electronic apparatus by replacement of modules/sub-assemblies.</w:t>
            </w:r>
          </w:p>
        </w:tc>
      </w:tr>
    </w:tbl>
    <w:p w:rsidR="00000000" w:rsidRPr="00520DEA" w:rsidP="00520DEA">
      <w:pPr>
        <w:pStyle w:val="BodyText"/>
      </w:pPr>
    </w:p>
    <w:tbl>
      <w:tblPr>
        <w:tblW w:w="0" w:type="auto"/>
        <w:tblLayout w:type="fixed"/>
        <w:tblCellMar>
          <w:left w:w="62" w:type="dxa"/>
          <w:right w:w="62" w:type="dxa"/>
        </w:tblCellMar>
        <w:tblLook w:val="0000"/>
      </w:tblPr>
      <w:tblGrid>
        <w:gridCol w:w="1890"/>
        <w:gridCol w:w="6570"/>
      </w:tblGrid>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9.4)</w:t>
            </w:r>
          </w:p>
        </w:tc>
      </w:tr>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This unit shall be assessed by methods given in Volume 1, Part 3 ‘Assessment Guidelines’.</w:t>
            </w:r>
          </w:p>
          <w:p w:rsidR="00000000" w:rsidRPr="00520DEA" w:rsidP="00520DEA">
            <w:pPr>
              <w:pStyle w:val="BodyText"/>
            </w:pPr>
            <w:r w:rsidRPr="00520DEA">
              <w:t xml:space="preserve">Note: </w:t>
            </w:r>
          </w:p>
          <w:p w:rsidR="00000000" w:rsidRPr="00520DEA" w:rsidP="00520DEA">
            <w:pPr>
              <w:pStyle w:val="BodyText"/>
            </w:pPr>
            <w:r w:rsidRPr="00520DEA">
              <w:t>Competent performance with inherent safe working practices is expected in the industry to which this unit applies. This requires that the specified essential k</w:t>
            </w:r>
            <w:r w:rsidRPr="00520DEA">
              <w:t>nowledge and associated skills are assessed in a structured environment which is primarily intended for learning/assessment and incorporates all necessary equipment and facilities for learners to develop and demonstrate the essential knowledge and skills d</w:t>
            </w:r>
            <w:r w:rsidRPr="00520DEA">
              <w:t>escribed in this unit.</w:t>
            </w:r>
          </w:p>
        </w:tc>
      </w:tr>
    </w:tbl>
    <w:p w:rsidR="00000000" w:rsidRPr="00520DEA" w:rsidP="00520DEA">
      <w:pPr>
        <w:pStyle w:val="BodyText"/>
      </w:pPr>
    </w:p>
    <w:tbl>
      <w:tblPr>
        <w:tblW w:w="0" w:type="auto"/>
        <w:tblLayout w:type="fixed"/>
        <w:tblCellMar>
          <w:left w:w="62" w:type="dxa"/>
          <w:right w:w="62" w:type="dxa"/>
        </w:tblCellMar>
        <w:tblLook w:val="0000"/>
      </w:tblPr>
      <w:tblGrid>
        <w:gridCol w:w="1890"/>
        <w:gridCol w:w="1530"/>
        <w:gridCol w:w="5040"/>
      </w:tblGrid>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9.5)</w:t>
            </w:r>
          </w:p>
        </w:tc>
      </w:tr>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For optimisation of training and assessment effort, competency development in this unit may be arranged concurrently with unit:</w:t>
            </w:r>
          </w:p>
        </w:tc>
      </w:tr>
      <w:tr w:rsidTr="00DC5C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t>UEENEEE102A</w:t>
            </w:r>
          </w:p>
        </w:tc>
        <w:tc>
          <w:tcPr>
            <w:tcW w:w="504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Fabricate, dismantle, assemble of utilities industry components</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11" w:name="O_586727"/>
      <w:bookmarkEnd w:id="11"/>
      <w:r w:rsidRPr="00520DEA">
        <w:t>Range Statement</w:t>
      </w:r>
    </w:p>
    <w:tbl>
      <w:tblPr>
        <w:tblW w:w="0" w:type="auto"/>
        <w:tblLayout w:type="fixed"/>
        <w:tblCellMar>
          <w:left w:w="62" w:type="dxa"/>
          <w:right w:w="62" w:type="dxa"/>
        </w:tblCellMar>
        <w:tblLook w:val="0000"/>
      </w:tblPr>
      <w:tblGrid>
        <w:gridCol w:w="8460"/>
      </w:tblGrid>
      <w:tr w:rsidTr="00DC5C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RANGE STATEMENT</w:t>
            </w:r>
          </w:p>
        </w:tc>
      </w:tr>
      <w:tr w:rsidTr="00DC5C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10)</w:t>
            </w:r>
            <w:r w:rsidRPr="00520DEA">
              <w:t xml:space="preserve"> This relates to the unit as a whole providing the range of contexts and conditions to which the performance criteria apply. It allows fo</w:t>
            </w:r>
            <w:r w:rsidRPr="00520DEA">
              <w:t>r different work environments and situations that will affect performance.</w:t>
            </w:r>
          </w:p>
          <w:p w:rsidR="00000000" w:rsidRPr="00520DEA" w:rsidP="00520DEA">
            <w:pPr>
              <w:pStyle w:val="BodyText"/>
            </w:pPr>
            <w:r w:rsidRPr="00520DEA">
              <w:t>This unit shall be demonstrated in relation to carrying out repairs to personal computers and servers.  The repairs shall be limited to:</w:t>
            </w:r>
          </w:p>
          <w:p w:rsidR="00000000" w:rsidRPr="00520DEA" w:rsidP="00520DEA">
            <w:pPr>
              <w:pStyle w:val="ListBullet3"/>
            </w:pPr>
            <w:r w:rsidRPr="00520DEA">
              <w:t>Replacement of at least three slot/plug con</w:t>
            </w:r>
            <w:r w:rsidRPr="00520DEA">
              <w:t xml:space="preserve">nected modules/sub-assemblies having different functions and in which the fault has been previously established, and </w:t>
            </w:r>
          </w:p>
          <w:p w:rsidR="00000000" w:rsidRPr="00520DEA" w:rsidP="00520DEA">
            <w:pPr>
              <w:pStyle w:val="ListBullet3"/>
            </w:pPr>
            <w:r w:rsidRPr="00520DEA">
              <w:t>Repair to broken wires/ribbon cable to industry standards, that may include, minor soldering</w:t>
            </w:r>
          </w:p>
          <w:p w:rsidR="00000000" w:rsidRPr="00520DEA" w:rsidP="00520DEA">
            <w:pPr>
              <w:pStyle w:val="BodyText"/>
            </w:pPr>
            <w:r w:rsidRPr="00520DEA">
              <w:t xml:space="preserve">Note: </w:t>
            </w:r>
          </w:p>
          <w:p w:rsidR="00000000" w:rsidRPr="00520DEA" w:rsidP="00520DEA">
            <w:pPr>
              <w:pStyle w:val="BodyText"/>
            </w:pPr>
            <w:r w:rsidRPr="00520DEA">
              <w:t>1. Examples of Modules include self contained hardware components such as motherboards, memory cards, storage devices.</w:t>
            </w:r>
          </w:p>
          <w:p w:rsidR="00000000" w:rsidRPr="00520DEA" w:rsidP="00520DEA">
            <w:pPr>
              <w:pStyle w:val="BodyText"/>
            </w:pPr>
            <w:r w:rsidRPr="00520DEA">
              <w:t>2.  Examples of Sub-assemblies include collections of integrated components that may form part of a module that are designed to be replac</w:t>
            </w:r>
            <w:r w:rsidRPr="00520DEA">
              <w:t>eable for servicing, such as the component part of a hard drive module or motherboard.</w:t>
            </w:r>
          </w:p>
          <w:p w:rsidR="00000000" w:rsidRPr="00520DEA" w:rsidP="00520DEA">
            <w:pPr>
              <w:pStyle w:val="BodyText"/>
            </w:pPr>
            <w:r w:rsidRPr="00520DEA">
              <w:t xml:space="preserve">Generic terms used throughout this Vocational Standard shall be regarded as part of the Range Statement in which competency is demonstrated. The definition of these and </w:t>
            </w:r>
            <w:r w:rsidRPr="00520DEA">
              <w:t>other terms that apply are given in Volume 2, Part 2.1.</w:t>
            </w:r>
          </w:p>
        </w:tc>
      </w:tr>
    </w:tbl>
    <w:p w:rsidR="00000000" w:rsidRPr="00520DEA" w:rsidP="00520DEA">
      <w:pPr>
        <w:pStyle w:val="BodyText"/>
      </w:pPr>
    </w:p>
    <w:p w:rsidR="00000000" w:rsidRPr="00520DEA" w:rsidP="00520DEA">
      <w:pPr>
        <w:pStyle w:val="AllowPageBreak"/>
      </w:pPr>
    </w:p>
    <w:p w:rsidR="00000000" w:rsidRPr="00520DEA" w:rsidP="00520DEA">
      <w:pPr>
        <w:pStyle w:val="Heading1"/>
      </w:pPr>
      <w:bookmarkStart w:id="12" w:name="O_586726"/>
      <w:bookmarkEnd w:id="12"/>
      <w:r w:rsidRPr="00520DEA">
        <w:t>Unit Sector(s)</w:t>
      </w:r>
    </w:p>
    <w:p w:rsidR="00000000" w:rsidRPr="00520DEA" w:rsidP="00520DEA">
      <w:pPr>
        <w:pStyle w:val="BodyText"/>
      </w:pPr>
      <w:r w:rsidRPr="00520DEA">
        <w:t>Not applicable.</w:t>
      </w:r>
    </w:p>
    <w:p w:rsidR="00000000" w:rsidRPr="00520DEA" w:rsidP="00520DEA">
      <w:pPr>
        <w:pStyle w:val="AllowPageBreak"/>
      </w:pPr>
    </w:p>
    <w:p w:rsidR="00000000" w:rsidRPr="00520DEA" w:rsidP="00520DEA">
      <w:pPr>
        <w:pStyle w:val="Heading1"/>
      </w:pPr>
      <w:bookmarkStart w:id="13" w:name="O_586725"/>
      <w:bookmarkEnd w:id="13"/>
      <w:r w:rsidRPr="00520DEA">
        <w:t>Competency Field</w:t>
      </w:r>
    </w:p>
    <w:tbl>
      <w:tblPr>
        <w:tblW w:w="0" w:type="auto"/>
        <w:tblLayout w:type="fixed"/>
        <w:tblCellMar>
          <w:left w:w="62" w:type="dxa"/>
          <w:right w:w="62" w:type="dxa"/>
        </w:tblCellMar>
        <w:tblLook w:val="0000"/>
      </w:tblPr>
      <w:tblGrid>
        <w:gridCol w:w="2700"/>
        <w:gridCol w:w="5760"/>
      </w:tblGrid>
      <w:tr w:rsidTr="00DC5C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20DEA">
            <w:pPr>
              <w:pStyle w:val="BodyText"/>
              <w:rPr>
                <w:lang w:val="en-NZ"/>
              </w:rPr>
            </w:pPr>
            <w:r w:rsidRPr="00520DEA">
              <w:rPr>
                <w:rStyle w:val="SpecialBold"/>
              </w:rPr>
              <w:t xml:space="preserve">11) </w:t>
            </w:r>
          </w:p>
        </w:tc>
      </w:tr>
      <w:tr w:rsidTr="00DC5C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0DEA" w:rsidP="00520DEA">
            <w:pPr>
              <w:pStyle w:val="BodyText"/>
            </w:pPr>
            <w:r w:rsidRPr="00520DEA">
              <w:t>Electronics</w:t>
            </w:r>
          </w:p>
        </w:tc>
      </w:tr>
    </w:tbl>
    <w:p w:rsidR="00000000" w:rsidRPr="00520DEA" w:rsidP="00520DEA">
      <w:pPr>
        <w:pStyle w:val="BodyText"/>
      </w:pPr>
    </w:p>
    <w:p w:rsidR="00000000" w:rsidRPr="00520DEA" w:rsidP="00520DEA"/>
    <w:sectPr w:rsidSect="00520D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EA" w:rsidRPr="00DC5C86" w:rsidP="00DC5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86" w:rsidP="00520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5C86" w:rsidP="00520D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C5C86" w:rsidP="00520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EA" w:rsidRPr="00DC5C86" w:rsidP="00DC5C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86" w:rsidRPr="002D2AF8" w:rsidP="00520DEA">
    <w:pPr>
      <w:pStyle w:val="Header"/>
      <w:framePr w:wrap="around"/>
    </w:pPr>
    <w:r>
      <w:fldChar w:fldCharType="begin"/>
    </w:r>
    <w:r>
      <w:instrText xml:space="preserve"> TITLE   \* MERGEFORMAT </w:instrText>
    </w:r>
    <w:r>
      <w:fldChar w:fldCharType="separate"/>
    </w:r>
    <w:r>
      <w:t>UEENEEH101A Repair basic computer equipment faults by replacement of modules/sub-assemblies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C5C86" w:rsidP="00520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CE5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0F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62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DEA"/>
    <w:pPr>
      <w:spacing w:before="360" w:after="60"/>
      <w:outlineLvl w:val="0"/>
    </w:pPr>
    <w:rPr>
      <w:sz w:val="32"/>
    </w:rPr>
  </w:style>
  <w:style w:type="paragraph" w:styleId="Heading2">
    <w:name w:val="heading 2"/>
    <w:basedOn w:val="HeadingBase"/>
    <w:next w:val="BodyText"/>
    <w:link w:val="Heading2Char"/>
    <w:qFormat/>
    <w:rsid w:val="00520DEA"/>
    <w:pPr>
      <w:keepLines/>
      <w:spacing w:before="240" w:after="120"/>
      <w:outlineLvl w:val="1"/>
    </w:pPr>
    <w:rPr>
      <w:sz w:val="28"/>
      <w:szCs w:val="40"/>
    </w:rPr>
  </w:style>
  <w:style w:type="paragraph" w:styleId="Heading3">
    <w:name w:val="heading 3"/>
    <w:basedOn w:val="HeadingBase"/>
    <w:next w:val="BodyText"/>
    <w:link w:val="Heading3Char"/>
    <w:qFormat/>
    <w:rsid w:val="00520DEA"/>
    <w:pPr>
      <w:spacing w:before="180" w:after="120"/>
      <w:outlineLvl w:val="2"/>
    </w:pPr>
    <w:rPr>
      <w:spacing w:val="-10"/>
      <w:kern w:val="32"/>
    </w:rPr>
  </w:style>
  <w:style w:type="paragraph" w:styleId="Heading4">
    <w:name w:val="heading 4"/>
    <w:basedOn w:val="HeadingBase"/>
    <w:next w:val="BodyText"/>
    <w:link w:val="Heading4Char"/>
    <w:qFormat/>
    <w:rsid w:val="00520DEA"/>
    <w:pPr>
      <w:spacing w:before="160" w:after="120"/>
      <w:outlineLvl w:val="3"/>
    </w:pPr>
    <w:rPr>
      <w:sz w:val="22"/>
    </w:rPr>
  </w:style>
  <w:style w:type="paragraph" w:styleId="Heading5">
    <w:name w:val="heading 5"/>
    <w:basedOn w:val="HeadingBase"/>
    <w:next w:val="Normal"/>
    <w:link w:val="Heading5Char"/>
    <w:qFormat/>
    <w:rsid w:val="00520DEA"/>
    <w:pPr>
      <w:spacing w:before="80"/>
      <w:outlineLvl w:val="4"/>
    </w:pPr>
    <w:rPr>
      <w:color w:val="918585"/>
      <w:sz w:val="20"/>
    </w:rPr>
  </w:style>
  <w:style w:type="paragraph" w:styleId="Heading6">
    <w:name w:val="heading 6"/>
    <w:basedOn w:val="HeadingBase"/>
    <w:next w:val="Normal"/>
    <w:link w:val="Heading6Char"/>
    <w:qFormat/>
    <w:rsid w:val="00520DEA"/>
    <w:pPr>
      <w:spacing w:before="60"/>
      <w:outlineLvl w:val="5"/>
    </w:pPr>
    <w:rPr>
      <w:color w:val="918585"/>
      <w:sz w:val="20"/>
    </w:rPr>
  </w:style>
  <w:style w:type="paragraph" w:styleId="Heading7">
    <w:name w:val="heading 7"/>
    <w:basedOn w:val="Normal"/>
    <w:next w:val="Normal"/>
    <w:link w:val="Heading7Char"/>
    <w:qFormat/>
    <w:rsid w:val="00520DEA"/>
    <w:pPr>
      <w:ind w:left="720"/>
      <w:outlineLvl w:val="6"/>
    </w:pPr>
    <w:rPr>
      <w:i/>
    </w:rPr>
  </w:style>
  <w:style w:type="paragraph" w:styleId="Heading8">
    <w:name w:val="heading 8"/>
    <w:basedOn w:val="Normal"/>
    <w:next w:val="Normal"/>
    <w:link w:val="Heading8Char"/>
    <w:qFormat/>
    <w:rsid w:val="00520DEA"/>
    <w:pPr>
      <w:ind w:left="720"/>
      <w:outlineLvl w:val="7"/>
    </w:pPr>
    <w:rPr>
      <w:i/>
    </w:rPr>
  </w:style>
  <w:style w:type="paragraph" w:styleId="Heading9">
    <w:name w:val="heading 9"/>
    <w:basedOn w:val="Normal"/>
    <w:next w:val="Normal"/>
    <w:link w:val="Heading9Char"/>
    <w:qFormat/>
    <w:rsid w:val="00520DEA"/>
    <w:pPr>
      <w:ind w:left="720"/>
      <w:outlineLvl w:val="8"/>
    </w:pPr>
    <w:rPr>
      <w:i/>
    </w:rPr>
  </w:style>
  <w:style w:type="character" w:default="1" w:styleId="DefaultParagraphFont">
    <w:name w:val="Default Paragraph Font"/>
    <w:uiPriority w:val="1"/>
    <w:unhideWhenUsed/>
    <w:rsid w:val="00520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DEA"/>
  </w:style>
  <w:style w:type="character" w:customStyle="1" w:styleId="Heading1Char">
    <w:name w:val="Heading 1 Char"/>
    <w:basedOn w:val="DefaultParagraphFont"/>
    <w:link w:val="Heading1"/>
    <w:rsid w:val="00520DEA"/>
    <w:rPr>
      <w:rFonts w:ascii="Times New Roman" w:eastAsia="Times New Roman" w:hAnsi="Times New Roman" w:cs="Times New Roman"/>
      <w:b/>
      <w:sz w:val="32"/>
      <w:szCs w:val="20"/>
      <w:lang w:eastAsia="en-US"/>
    </w:rPr>
  </w:style>
  <w:style w:type="paragraph" w:styleId="BodyText">
    <w:name w:val="Body Text"/>
    <w:basedOn w:val="Normal"/>
    <w:link w:val="BodyTextChar"/>
    <w:rsid w:val="00520D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DEA"/>
    <w:rPr>
      <w:rFonts w:ascii="Times New Roman" w:eastAsia="Times New Roman" w:hAnsi="Times New Roman" w:cs="Times New Roman"/>
      <w:sz w:val="24"/>
      <w:lang w:eastAsia="en-US"/>
    </w:rPr>
  </w:style>
  <w:style w:type="paragraph" w:styleId="ListBullet">
    <w:name w:val="List Bullet"/>
    <w:basedOn w:val="List"/>
    <w:rsid w:val="00520DEA"/>
    <w:pPr>
      <w:numPr>
        <w:numId w:val="14"/>
      </w:numPr>
      <w:tabs>
        <w:tab w:val="clear" w:pos="340"/>
      </w:tabs>
      <w:spacing w:before="40" w:after="40"/>
    </w:pPr>
  </w:style>
  <w:style w:type="character" w:customStyle="1" w:styleId="SpecialBold">
    <w:name w:val="Special Bold"/>
    <w:basedOn w:val="DefaultParagraphFont"/>
    <w:rsid w:val="00520DEA"/>
    <w:rPr>
      <w:b/>
      <w:spacing w:val="0"/>
    </w:rPr>
  </w:style>
  <w:style w:type="paragraph" w:styleId="ListBullet2">
    <w:name w:val="List Bullet 2"/>
    <w:basedOn w:val="List2"/>
    <w:rsid w:val="00520DEA"/>
    <w:pPr>
      <w:numPr>
        <w:numId w:val="15"/>
      </w:numPr>
      <w:tabs>
        <w:tab w:val="clear" w:pos="680"/>
      </w:tabs>
    </w:pPr>
  </w:style>
  <w:style w:type="paragraph" w:customStyle="1" w:styleId="SuperHeading">
    <w:name w:val="SuperHeading"/>
    <w:basedOn w:val="Normal"/>
    <w:rsid w:val="00520DEA"/>
    <w:pPr>
      <w:spacing w:before="240" w:after="120"/>
      <w:outlineLvl w:val="0"/>
    </w:pPr>
    <w:rPr>
      <w:rFonts w:ascii="Times New Roman" w:hAnsi="Times New Roman"/>
      <w:b/>
      <w:sz w:val="32"/>
    </w:rPr>
  </w:style>
  <w:style w:type="paragraph" w:customStyle="1" w:styleId="AllowPageBreak">
    <w:name w:val="AllowPageBreak"/>
    <w:rsid w:val="00520D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0DEA"/>
    <w:pPr>
      <w:numPr>
        <w:numId w:val="3"/>
      </w:numPr>
      <w:tabs>
        <w:tab w:val="clear" w:pos="1021"/>
      </w:tabs>
      <w:ind w:left="1037" w:hanging="357"/>
    </w:pPr>
  </w:style>
  <w:style w:type="character" w:customStyle="1" w:styleId="Heading2Char">
    <w:name w:val="Heading 2 Char"/>
    <w:basedOn w:val="DefaultParagraphFont"/>
    <w:link w:val="Heading2"/>
    <w:rsid w:val="00520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DEA"/>
    <w:rPr>
      <w:rFonts w:ascii="Courier New" w:eastAsia="Times New Roman" w:hAnsi="Courier New" w:cs="Times New Roman"/>
      <w:i/>
      <w:szCs w:val="20"/>
      <w:lang w:eastAsia="en-US"/>
    </w:rPr>
  </w:style>
  <w:style w:type="paragraph" w:customStyle="1" w:styleId="HeadingBase">
    <w:name w:val="Heading Base"/>
    <w:rsid w:val="00520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DEA"/>
    <w:pPr>
      <w:tabs>
        <w:tab w:val="right" w:leader="dot" w:pos="9072"/>
      </w:tabs>
      <w:ind w:left="567"/>
    </w:pPr>
    <w:rPr>
      <w:szCs w:val="22"/>
    </w:rPr>
  </w:style>
  <w:style w:type="paragraph" w:customStyle="1" w:styleId="TOCBase">
    <w:name w:val="TOC Base"/>
    <w:rsid w:val="00520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DEA"/>
    <w:pPr>
      <w:tabs>
        <w:tab w:val="right" w:leader="dot" w:pos="9072"/>
      </w:tabs>
      <w:spacing w:before="40" w:after="40"/>
      <w:ind w:left="284"/>
    </w:pPr>
    <w:rPr>
      <w:rFonts w:ascii="Times New Roman" w:hAnsi="Times New Roman"/>
    </w:rPr>
  </w:style>
  <w:style w:type="paragraph" w:styleId="TOC1">
    <w:name w:val="toc 1"/>
    <w:basedOn w:val="TOCBase"/>
    <w:next w:val="Normal"/>
    <w:rsid w:val="00520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DEA"/>
    <w:rPr>
      <w:rFonts w:ascii="Times New Roman" w:eastAsia="Times New Roman" w:hAnsi="Times New Roman" w:cs="Times New Roman"/>
      <w:sz w:val="16"/>
      <w:lang w:eastAsia="en-US"/>
    </w:rPr>
  </w:style>
  <w:style w:type="paragraph" w:styleId="Title">
    <w:name w:val="Title"/>
    <w:basedOn w:val="HeadingBase"/>
    <w:link w:val="TitleChar"/>
    <w:qFormat/>
    <w:rsid w:val="00520DEA"/>
    <w:pPr>
      <w:spacing w:before="5040"/>
      <w:jc w:val="center"/>
    </w:pPr>
    <w:rPr>
      <w:sz w:val="48"/>
      <w:szCs w:val="72"/>
      <w:lang w:val="en-US"/>
    </w:rPr>
  </w:style>
  <w:style w:type="character" w:customStyle="1" w:styleId="TitleChar">
    <w:name w:val="Title Char"/>
    <w:basedOn w:val="DefaultParagraphFont"/>
    <w:link w:val="Title"/>
    <w:rsid w:val="00520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DEA"/>
    <w:pPr>
      <w:tabs>
        <w:tab w:val="left" w:pos="3600"/>
        <w:tab w:val="left" w:pos="3958"/>
      </w:tabs>
    </w:pPr>
  </w:style>
  <w:style w:type="paragraph" w:styleId="List">
    <w:name w:val="List"/>
    <w:basedOn w:val="BodyText"/>
    <w:next w:val="BodyText"/>
    <w:rsid w:val="00520DEA"/>
    <w:pPr>
      <w:tabs>
        <w:tab w:val="left" w:pos="340"/>
      </w:tabs>
      <w:spacing w:before="60" w:after="60"/>
      <w:ind w:left="340" w:hanging="340"/>
    </w:pPr>
  </w:style>
  <w:style w:type="paragraph" w:customStyle="1" w:styleId="Note">
    <w:name w:val="Note"/>
    <w:basedOn w:val="BodyText"/>
    <w:rsid w:val="00520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DEA"/>
    <w:pPr>
      <w:framePr w:wrap="auto" w:hAnchor="text" w:y="6049"/>
    </w:pPr>
    <w:rPr>
      <w:color w:val="000000"/>
      <w:sz w:val="40"/>
    </w:rPr>
  </w:style>
  <w:style w:type="paragraph" w:customStyle="1" w:styleId="TOCTitle">
    <w:name w:val="TOCTitle"/>
    <w:basedOn w:val="Heading1"/>
    <w:rsid w:val="00520DEA"/>
    <w:pPr>
      <w:spacing w:after="240"/>
      <w:jc w:val="center"/>
      <w:outlineLvl w:val="9"/>
    </w:pPr>
    <w:rPr>
      <w:caps/>
    </w:rPr>
  </w:style>
  <w:style w:type="paragraph" w:customStyle="1" w:styleId="Version">
    <w:name w:val="Version"/>
    <w:rsid w:val="00520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DEA"/>
    <w:pPr>
      <w:keepNext w:val="0"/>
      <w:tabs>
        <w:tab w:val="right" w:pos="4176"/>
      </w:tabs>
      <w:ind w:left="198" w:hanging="198"/>
    </w:pPr>
    <w:rPr>
      <w:rFonts w:ascii="Garamond" w:hAnsi="Garamond"/>
    </w:rPr>
  </w:style>
  <w:style w:type="paragraph" w:styleId="IndexHeading">
    <w:name w:val="index heading"/>
    <w:basedOn w:val="Normal"/>
    <w:next w:val="Index1"/>
    <w:semiHidden/>
    <w:rsid w:val="00520DEA"/>
    <w:pPr>
      <w:spacing w:before="120" w:after="120"/>
    </w:pPr>
    <w:rPr>
      <w:rFonts w:ascii="Arial" w:hAnsi="Arial"/>
      <w:b/>
      <w:color w:val="918585"/>
      <w:sz w:val="24"/>
    </w:rPr>
  </w:style>
  <w:style w:type="paragraph" w:styleId="Header">
    <w:name w:val="header"/>
    <w:basedOn w:val="Normal"/>
    <w:link w:val="HeaderChar"/>
    <w:rsid w:val="00520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DEA"/>
    <w:rPr>
      <w:rFonts w:ascii="Times New Roman" w:eastAsia="Times New Roman" w:hAnsi="Times New Roman" w:cs="Times New Roman"/>
      <w:sz w:val="16"/>
      <w:szCs w:val="20"/>
      <w:lang w:val="en-GB" w:eastAsia="en-US"/>
    </w:rPr>
  </w:style>
  <w:style w:type="paragraph" w:customStyle="1" w:styleId="Chapter">
    <w:name w:val="Chapter"/>
    <w:basedOn w:val="Normal"/>
    <w:rsid w:val="00520DEA"/>
    <w:pPr>
      <w:spacing w:before="240"/>
    </w:pPr>
    <w:rPr>
      <w:rFonts w:ascii="Times New Roman" w:hAnsi="Times New Roman"/>
      <w:smallCaps/>
      <w:spacing w:val="80"/>
      <w:sz w:val="28"/>
    </w:rPr>
  </w:style>
  <w:style w:type="paragraph" w:customStyle="1" w:styleId="InChapter">
    <w:name w:val="InChapter"/>
    <w:basedOn w:val="Heading3"/>
    <w:rsid w:val="00520DEA"/>
    <w:pPr>
      <w:spacing w:after="240"/>
      <w:outlineLvl w:val="9"/>
    </w:pPr>
    <w:rPr>
      <w:noProof/>
    </w:rPr>
  </w:style>
  <w:style w:type="paragraph" w:styleId="Index2">
    <w:name w:val="index 2"/>
    <w:basedOn w:val="Normal"/>
    <w:next w:val="Normal"/>
    <w:semiHidden/>
    <w:rsid w:val="00520DEA"/>
    <w:pPr>
      <w:tabs>
        <w:tab w:val="right" w:pos="4176"/>
      </w:tabs>
      <w:ind w:left="568" w:hanging="284"/>
    </w:pPr>
    <w:rPr>
      <w:rFonts w:ascii="Garamond" w:hAnsi="Garamond"/>
    </w:rPr>
  </w:style>
  <w:style w:type="paragraph" w:customStyle="1" w:styleId="Byline">
    <w:name w:val="Byline"/>
    <w:rsid w:val="00520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DEA"/>
    <w:pPr>
      <w:tabs>
        <w:tab w:val="clear" w:pos="3600"/>
        <w:tab w:val="clear" w:pos="3958"/>
      </w:tabs>
      <w:jc w:val="right"/>
    </w:pPr>
  </w:style>
  <w:style w:type="character" w:styleId="Emphasis">
    <w:name w:val="Emphasis"/>
    <w:basedOn w:val="DefaultParagraphFont"/>
    <w:qFormat/>
    <w:rsid w:val="00520DEA"/>
    <w:rPr>
      <w:i/>
    </w:rPr>
  </w:style>
  <w:style w:type="paragraph" w:styleId="Caption">
    <w:name w:val="caption"/>
    <w:basedOn w:val="BodyText"/>
    <w:next w:val="Normal"/>
    <w:qFormat/>
    <w:rsid w:val="00520DEA"/>
    <w:pPr>
      <w:framePr w:w="2268" w:hSpace="181" w:vSpace="181" w:wrap="around" w:vAnchor="text" w:hAnchor="page" w:x="1135" w:y="285" w:anchorLock="1"/>
    </w:pPr>
    <w:rPr>
      <w:i/>
    </w:rPr>
  </w:style>
  <w:style w:type="paragraph" w:customStyle="1" w:styleId="MiniTOCTitle">
    <w:name w:val="MiniTOCTitle"/>
    <w:basedOn w:val="Heading4"/>
    <w:rsid w:val="00520DEA"/>
    <w:pPr>
      <w:spacing w:before="240"/>
      <w:outlineLvl w:val="9"/>
    </w:pPr>
    <w:rPr>
      <w:noProof/>
      <w:sz w:val="24"/>
    </w:rPr>
  </w:style>
  <w:style w:type="paragraph" w:customStyle="1" w:styleId="MiniTOCItem">
    <w:name w:val="MiniTOCItem"/>
    <w:basedOn w:val="ListBullet"/>
    <w:rsid w:val="00520DEA"/>
    <w:pPr>
      <w:numPr>
        <w:numId w:val="0"/>
      </w:numPr>
      <w:tabs>
        <w:tab w:val="right" w:leader="dot" w:pos="6521"/>
      </w:tabs>
      <w:spacing w:before="0" w:after="0"/>
    </w:pPr>
  </w:style>
  <w:style w:type="paragraph" w:customStyle="1" w:styleId="TOFTitle">
    <w:name w:val="TOFTitle"/>
    <w:basedOn w:val="TOCTitle"/>
    <w:rsid w:val="00520DEA"/>
  </w:style>
  <w:style w:type="paragraph" w:styleId="TableofFigures">
    <w:name w:val="table of figures"/>
    <w:basedOn w:val="Normal"/>
    <w:next w:val="Normal"/>
    <w:semiHidden/>
    <w:rsid w:val="00520DEA"/>
    <w:pPr>
      <w:tabs>
        <w:tab w:val="right" w:leader="dot" w:pos="9072"/>
      </w:tabs>
      <w:ind w:left="970" w:hanging="403"/>
    </w:pPr>
    <w:rPr>
      <w:rFonts w:ascii="Times New Roman" w:hAnsi="Times New Roman"/>
      <w:b/>
    </w:rPr>
  </w:style>
  <w:style w:type="paragraph" w:styleId="ListNumber">
    <w:name w:val="List Number"/>
    <w:basedOn w:val="List"/>
    <w:rsid w:val="00520DEA"/>
    <w:pPr>
      <w:numPr>
        <w:numId w:val="12"/>
      </w:numPr>
    </w:pPr>
  </w:style>
  <w:style w:type="character" w:customStyle="1" w:styleId="WingdingSymbols">
    <w:name w:val="Wingding Symbols"/>
    <w:rsid w:val="00520DEA"/>
    <w:rPr>
      <w:rFonts w:ascii="Wingdings" w:hAnsi="Wingdings"/>
    </w:rPr>
  </w:style>
  <w:style w:type="paragraph" w:customStyle="1" w:styleId="TableHeading">
    <w:name w:val="Table Heading"/>
    <w:basedOn w:val="HeadingBase"/>
    <w:rsid w:val="00520DEA"/>
    <w:pPr>
      <w:keepLines/>
      <w:pBdr>
        <w:bottom w:val="single" w:sz="6" w:space="1" w:color="918585"/>
      </w:pBdr>
      <w:spacing w:before="240"/>
    </w:pPr>
  </w:style>
  <w:style w:type="character" w:customStyle="1" w:styleId="HotSpot">
    <w:name w:val="HotSpot"/>
    <w:rsid w:val="00520DEA"/>
    <w:rPr>
      <w:color w:val="0033CC"/>
      <w:u w:val="none"/>
    </w:rPr>
  </w:style>
  <w:style w:type="paragraph" w:customStyle="1" w:styleId="BodyTextRight">
    <w:name w:val="Body Text Right"/>
    <w:basedOn w:val="BodyText"/>
    <w:rsid w:val="00520DEA"/>
    <w:pPr>
      <w:spacing w:before="0" w:after="0"/>
      <w:jc w:val="right"/>
    </w:pPr>
  </w:style>
  <w:style w:type="paragraph" w:styleId="Index3">
    <w:name w:val="index 3"/>
    <w:basedOn w:val="ListNumber2"/>
    <w:next w:val="Normal"/>
    <w:semiHidden/>
    <w:rsid w:val="00520DEA"/>
    <w:pPr>
      <w:numPr>
        <w:numId w:val="0"/>
      </w:numPr>
      <w:tabs>
        <w:tab w:val="right" w:leader="dot" w:pos="4176"/>
      </w:tabs>
    </w:pPr>
  </w:style>
  <w:style w:type="paragraph" w:styleId="ListNumber2">
    <w:name w:val="List Number 2"/>
    <w:basedOn w:val="List2"/>
    <w:rsid w:val="00520DEA"/>
    <w:pPr>
      <w:numPr>
        <w:numId w:val="11"/>
      </w:numPr>
      <w:tabs>
        <w:tab w:val="clear" w:pos="1060"/>
      </w:tabs>
    </w:pPr>
  </w:style>
  <w:style w:type="paragraph" w:customStyle="1" w:styleId="MarginNote">
    <w:name w:val="Margin Note"/>
    <w:basedOn w:val="BodyText"/>
    <w:rsid w:val="00520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DEA"/>
    <w:rPr>
      <w:sz w:val="32"/>
    </w:rPr>
  </w:style>
  <w:style w:type="paragraph" w:customStyle="1" w:styleId="HeadingProcedure">
    <w:name w:val="Heading Procedure"/>
    <w:basedOn w:val="HeadingBase"/>
    <w:next w:val="Normal"/>
    <w:rsid w:val="00520DEA"/>
    <w:pPr>
      <w:tabs>
        <w:tab w:val="left" w:pos="0"/>
      </w:tabs>
      <w:spacing w:before="120" w:after="60"/>
    </w:pPr>
    <w:rPr>
      <w:i/>
      <w:color w:val="918585"/>
      <w:sz w:val="22"/>
    </w:rPr>
  </w:style>
  <w:style w:type="paragraph" w:customStyle="1" w:styleId="TableBodyText">
    <w:name w:val="Table Body Text"/>
    <w:basedOn w:val="BodyText"/>
    <w:rsid w:val="00520DEA"/>
    <w:pPr>
      <w:spacing w:before="60" w:after="60"/>
    </w:pPr>
  </w:style>
  <w:style w:type="paragraph" w:styleId="ListContinue">
    <w:name w:val="List Continue"/>
    <w:basedOn w:val="List"/>
    <w:rsid w:val="00520DEA"/>
    <w:pPr>
      <w:ind w:firstLine="0"/>
    </w:pPr>
  </w:style>
  <w:style w:type="paragraph" w:customStyle="1" w:styleId="ListNote">
    <w:name w:val="List Note"/>
    <w:basedOn w:val="List"/>
    <w:rsid w:val="00520DEA"/>
    <w:pPr>
      <w:pBdr>
        <w:top w:val="single" w:sz="6" w:space="2" w:color="918585"/>
        <w:bottom w:val="single" w:sz="6" w:space="2" w:color="918585"/>
      </w:pBdr>
      <w:tabs>
        <w:tab w:val="left" w:pos="1021"/>
      </w:tabs>
      <w:ind w:firstLine="0"/>
    </w:pPr>
  </w:style>
  <w:style w:type="paragraph" w:customStyle="1" w:styleId="Warning">
    <w:name w:val="Warning"/>
    <w:basedOn w:val="BodyText"/>
    <w:rsid w:val="00520DEA"/>
    <w:pPr>
      <w:shd w:val="clear" w:color="auto" w:fill="D9D9D9"/>
      <w:tabs>
        <w:tab w:val="left" w:pos="992"/>
      </w:tabs>
      <w:ind w:left="119" w:right="119"/>
    </w:pPr>
    <w:rPr>
      <w:sz w:val="20"/>
    </w:rPr>
  </w:style>
  <w:style w:type="paragraph" w:customStyle="1" w:styleId="MarginIcons">
    <w:name w:val="Margin Icons"/>
    <w:basedOn w:val="BodyText"/>
    <w:rsid w:val="00520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DEA"/>
    <w:rPr>
      <w:rFonts w:ascii="Courier New" w:hAnsi="Courier New"/>
    </w:rPr>
  </w:style>
  <w:style w:type="paragraph" w:customStyle="1" w:styleId="NoteBullet">
    <w:name w:val="Note Bullet"/>
    <w:basedOn w:val="Note"/>
    <w:rsid w:val="00520DEA"/>
    <w:pPr>
      <w:tabs>
        <w:tab w:val="clear" w:pos="680"/>
      </w:tabs>
      <w:spacing w:before="60" w:after="60"/>
    </w:pPr>
  </w:style>
  <w:style w:type="paragraph" w:customStyle="1" w:styleId="SubHeading2">
    <w:name w:val="SubHeading2"/>
    <w:basedOn w:val="HeadingBase"/>
    <w:rsid w:val="00520DEA"/>
    <w:pPr>
      <w:spacing w:before="240" w:after="60"/>
    </w:pPr>
    <w:rPr>
      <w:sz w:val="20"/>
    </w:rPr>
  </w:style>
  <w:style w:type="paragraph" w:customStyle="1" w:styleId="SubHeading1">
    <w:name w:val="SubHeading1"/>
    <w:basedOn w:val="HeadingBase"/>
    <w:rsid w:val="00520DEA"/>
    <w:pPr>
      <w:spacing w:before="240" w:after="60"/>
    </w:pPr>
    <w:rPr>
      <w:color w:val="918585"/>
      <w:sz w:val="22"/>
    </w:rPr>
  </w:style>
  <w:style w:type="paragraph" w:customStyle="1" w:styleId="SideHeading">
    <w:name w:val="Side Heading"/>
    <w:basedOn w:val="HeadingBase"/>
    <w:rsid w:val="00520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DEA"/>
    <w:pPr>
      <w:numPr>
        <w:numId w:val="13"/>
      </w:numPr>
    </w:pPr>
  </w:style>
  <w:style w:type="paragraph" w:styleId="PlainText">
    <w:name w:val="Plain Text"/>
    <w:basedOn w:val="Normal"/>
    <w:link w:val="PlainTextChar"/>
    <w:rsid w:val="00520DEA"/>
    <w:rPr>
      <w:sz w:val="20"/>
    </w:rPr>
  </w:style>
  <w:style w:type="character" w:customStyle="1" w:styleId="PlainTextChar">
    <w:name w:val="Plain Text Char"/>
    <w:basedOn w:val="DefaultParagraphFont"/>
    <w:link w:val="PlainText"/>
    <w:rsid w:val="00520DEA"/>
    <w:rPr>
      <w:rFonts w:ascii="Courier New" w:eastAsia="Times New Roman" w:hAnsi="Courier New" w:cs="Times New Roman"/>
      <w:sz w:val="20"/>
      <w:szCs w:val="20"/>
      <w:lang w:eastAsia="en-US"/>
    </w:rPr>
  </w:style>
  <w:style w:type="character" w:customStyle="1" w:styleId="MenuOption">
    <w:name w:val="Menu Option"/>
    <w:basedOn w:val="DefaultParagraphFont"/>
    <w:rsid w:val="00520DEA"/>
    <w:rPr>
      <w:b/>
      <w:smallCaps/>
    </w:rPr>
  </w:style>
  <w:style w:type="paragraph" w:customStyle="1" w:styleId="TableListNumber">
    <w:name w:val="Table List Number"/>
    <w:basedOn w:val="ListNumber"/>
    <w:rsid w:val="00520DEA"/>
    <w:pPr>
      <w:numPr>
        <w:numId w:val="0"/>
      </w:numPr>
    </w:pPr>
  </w:style>
  <w:style w:type="paragraph" w:styleId="TOC4">
    <w:name w:val="toc 4"/>
    <w:basedOn w:val="TOCBase"/>
    <w:next w:val="Normal"/>
    <w:semiHidden/>
    <w:rsid w:val="00520DEA"/>
    <w:pPr>
      <w:tabs>
        <w:tab w:val="right" w:leader="dot" w:pos="9071"/>
      </w:tabs>
      <w:ind w:left="1701"/>
    </w:pPr>
  </w:style>
  <w:style w:type="paragraph" w:customStyle="1" w:styleId="ListAlpha">
    <w:name w:val="List Alpha"/>
    <w:basedOn w:val="List"/>
    <w:rsid w:val="00520DEA"/>
    <w:pPr>
      <w:numPr>
        <w:numId w:val="10"/>
      </w:numPr>
    </w:pPr>
  </w:style>
  <w:style w:type="paragraph" w:customStyle="1" w:styleId="ListAlpha2">
    <w:name w:val="List Alpha 2"/>
    <w:basedOn w:val="List2"/>
    <w:rsid w:val="00520DEA"/>
    <w:pPr>
      <w:numPr>
        <w:numId w:val="9"/>
      </w:numPr>
    </w:pPr>
  </w:style>
  <w:style w:type="paragraph" w:styleId="List2">
    <w:name w:val="List 2"/>
    <w:basedOn w:val="BodyText"/>
    <w:rsid w:val="00520DEA"/>
    <w:pPr>
      <w:tabs>
        <w:tab w:val="left" w:pos="680"/>
      </w:tabs>
      <w:spacing w:before="60" w:after="60"/>
      <w:ind w:left="680" w:hanging="340"/>
    </w:pPr>
  </w:style>
  <w:style w:type="paragraph" w:styleId="List3">
    <w:name w:val="List 3"/>
    <w:basedOn w:val="BodyText"/>
    <w:rsid w:val="00520DEA"/>
    <w:pPr>
      <w:tabs>
        <w:tab w:val="left" w:pos="1021"/>
      </w:tabs>
      <w:spacing w:before="60" w:after="60"/>
      <w:ind w:left="1020" w:hanging="340"/>
    </w:pPr>
  </w:style>
  <w:style w:type="paragraph" w:styleId="List4">
    <w:name w:val="List 4"/>
    <w:basedOn w:val="BodyText"/>
    <w:rsid w:val="00520DEA"/>
    <w:pPr>
      <w:tabs>
        <w:tab w:val="left" w:pos="1361"/>
      </w:tabs>
      <w:spacing w:before="60" w:after="60"/>
      <w:ind w:left="1361" w:hanging="340"/>
    </w:pPr>
  </w:style>
  <w:style w:type="paragraph" w:styleId="List5">
    <w:name w:val="List 5"/>
    <w:basedOn w:val="BodyText"/>
    <w:rsid w:val="00520DEA"/>
    <w:pPr>
      <w:tabs>
        <w:tab w:val="left" w:pos="1701"/>
      </w:tabs>
      <w:spacing w:before="60" w:after="60"/>
      <w:ind w:left="1701" w:hanging="340"/>
    </w:pPr>
  </w:style>
  <w:style w:type="paragraph" w:styleId="ListBullet4">
    <w:name w:val="List Bullet 4"/>
    <w:basedOn w:val="List4"/>
    <w:rsid w:val="00520DEA"/>
    <w:pPr>
      <w:numPr>
        <w:numId w:val="4"/>
      </w:numPr>
    </w:pPr>
  </w:style>
  <w:style w:type="paragraph" w:styleId="ListBullet5">
    <w:name w:val="List Bullet 5"/>
    <w:basedOn w:val="List5"/>
    <w:rsid w:val="00520DEA"/>
    <w:pPr>
      <w:numPr>
        <w:numId w:val="5"/>
      </w:numPr>
    </w:pPr>
  </w:style>
  <w:style w:type="paragraph" w:styleId="ListContinue2">
    <w:name w:val="List Continue 2"/>
    <w:basedOn w:val="List2"/>
    <w:rsid w:val="00520DEA"/>
    <w:pPr>
      <w:ind w:firstLine="0"/>
    </w:pPr>
  </w:style>
  <w:style w:type="paragraph" w:styleId="ListContinue3">
    <w:name w:val="List Continue 3"/>
    <w:basedOn w:val="List3"/>
    <w:rsid w:val="00520DEA"/>
    <w:pPr>
      <w:ind w:left="1021" w:firstLine="0"/>
    </w:pPr>
  </w:style>
  <w:style w:type="paragraph" w:styleId="ListContinue4">
    <w:name w:val="List Continue 4"/>
    <w:basedOn w:val="List4"/>
    <w:rsid w:val="00520DEA"/>
    <w:pPr>
      <w:ind w:firstLine="0"/>
    </w:pPr>
  </w:style>
  <w:style w:type="paragraph" w:styleId="ListContinue5">
    <w:name w:val="List Continue 5"/>
    <w:basedOn w:val="List5"/>
    <w:rsid w:val="00520DEA"/>
    <w:pPr>
      <w:ind w:firstLine="0"/>
    </w:pPr>
  </w:style>
  <w:style w:type="paragraph" w:styleId="ListNumber3">
    <w:name w:val="List Number 3"/>
    <w:basedOn w:val="List3"/>
    <w:rsid w:val="00520DEA"/>
    <w:pPr>
      <w:numPr>
        <w:numId w:val="6"/>
      </w:numPr>
    </w:pPr>
  </w:style>
  <w:style w:type="paragraph" w:styleId="ListNumber4">
    <w:name w:val="List Number 4"/>
    <w:basedOn w:val="List4"/>
    <w:rsid w:val="00520DEA"/>
    <w:pPr>
      <w:numPr>
        <w:numId w:val="7"/>
      </w:numPr>
    </w:pPr>
  </w:style>
  <w:style w:type="paragraph" w:styleId="ListNumber5">
    <w:name w:val="List Number 5"/>
    <w:basedOn w:val="List5"/>
    <w:rsid w:val="00520DEA"/>
    <w:pPr>
      <w:numPr>
        <w:numId w:val="8"/>
      </w:numPr>
    </w:pPr>
  </w:style>
  <w:style w:type="paragraph" w:styleId="BlockText">
    <w:name w:val="Block Text"/>
    <w:basedOn w:val="Normal"/>
    <w:rsid w:val="00520DEA"/>
    <w:pPr>
      <w:spacing w:after="120"/>
      <w:ind w:left="1440" w:right="1440"/>
    </w:pPr>
  </w:style>
  <w:style w:type="character" w:customStyle="1" w:styleId="Subscript">
    <w:name w:val="Subscript"/>
    <w:basedOn w:val="DefaultParagraphFont"/>
    <w:rsid w:val="00520DEA"/>
    <w:rPr>
      <w:sz w:val="16"/>
      <w:vertAlign w:val="subscript"/>
    </w:rPr>
  </w:style>
  <w:style w:type="character" w:customStyle="1" w:styleId="Superscript">
    <w:name w:val="Superscript"/>
    <w:basedOn w:val="DefaultParagraphFont"/>
    <w:rsid w:val="00520DEA"/>
    <w:rPr>
      <w:sz w:val="16"/>
      <w:vertAlign w:val="superscript"/>
    </w:rPr>
  </w:style>
  <w:style w:type="character" w:customStyle="1" w:styleId="Symbols">
    <w:name w:val="Symbols"/>
    <w:basedOn w:val="DefaultParagraphFont"/>
    <w:rsid w:val="00520DEA"/>
    <w:rPr>
      <w:rFonts w:ascii="Symbol" w:hAnsi="Symbol"/>
    </w:rPr>
  </w:style>
  <w:style w:type="character" w:customStyle="1" w:styleId="MenuOptions">
    <w:name w:val="Menu Options"/>
    <w:basedOn w:val="DefaultParagraphFont"/>
    <w:rsid w:val="00520DEA"/>
    <w:rPr>
      <w:rFonts w:ascii="Arial Narrow" w:hAnsi="Arial Narrow"/>
      <w:smallCaps/>
    </w:rPr>
  </w:style>
  <w:style w:type="character" w:customStyle="1" w:styleId="Buttons">
    <w:name w:val="Buttons"/>
    <w:basedOn w:val="DefaultParagraphFont"/>
    <w:rsid w:val="00520DEA"/>
    <w:rPr>
      <w:b/>
    </w:rPr>
  </w:style>
  <w:style w:type="character" w:customStyle="1" w:styleId="Underlined">
    <w:name w:val="Underlined"/>
    <w:basedOn w:val="DefaultParagraphFont"/>
    <w:rsid w:val="00520DEA"/>
    <w:rPr>
      <w:u w:val="single"/>
    </w:rPr>
  </w:style>
  <w:style w:type="paragraph" w:customStyle="1" w:styleId="TableBodyTextRight">
    <w:name w:val="Table Body Text Right"/>
    <w:basedOn w:val="TableBodyText"/>
    <w:rsid w:val="00520DEA"/>
    <w:pPr>
      <w:widowControl w:val="0"/>
      <w:autoSpaceDE w:val="0"/>
      <w:autoSpaceDN w:val="0"/>
      <w:adjustRightInd w:val="0"/>
      <w:jc w:val="right"/>
    </w:pPr>
    <w:rPr>
      <w:rFonts w:cs="Arial"/>
      <w:szCs w:val="18"/>
    </w:rPr>
  </w:style>
  <w:style w:type="paragraph" w:customStyle="1" w:styleId="CopyrightText">
    <w:name w:val="Copyright Text"/>
    <w:basedOn w:val="BodyText"/>
    <w:rsid w:val="00520DEA"/>
    <w:rPr>
      <w:sz w:val="18"/>
    </w:rPr>
  </w:style>
  <w:style w:type="paragraph" w:customStyle="1" w:styleId="BodySmallRight">
    <w:name w:val="Body Small Right"/>
    <w:basedOn w:val="BodyTextRight"/>
    <w:rsid w:val="00520DEA"/>
    <w:rPr>
      <w:sz w:val="18"/>
      <w:szCs w:val="18"/>
    </w:rPr>
  </w:style>
  <w:style w:type="paragraph" w:customStyle="1" w:styleId="MarginEdition">
    <w:name w:val="Margin Edition"/>
    <w:basedOn w:val="MarginNote"/>
    <w:rsid w:val="00520DEA"/>
    <w:pPr>
      <w:spacing w:before="0" w:after="0"/>
    </w:pPr>
    <w:rPr>
      <w:rFonts w:ascii="Times New Roman" w:hAnsi="Times New Roman"/>
      <w:color w:val="999999"/>
    </w:rPr>
  </w:style>
  <w:style w:type="paragraph" w:customStyle="1" w:styleId="Spacer">
    <w:name w:val="Spacer"/>
    <w:basedOn w:val="Normal"/>
    <w:rsid w:val="00520DEA"/>
    <w:rPr>
      <w:sz w:val="2"/>
      <w:szCs w:val="2"/>
    </w:rPr>
  </w:style>
  <w:style w:type="character" w:customStyle="1" w:styleId="Small">
    <w:name w:val="Small"/>
    <w:basedOn w:val="DefaultParagraphFont"/>
    <w:rsid w:val="00520DEA"/>
    <w:rPr>
      <w:sz w:val="16"/>
    </w:rPr>
  </w:style>
  <w:style w:type="paragraph" w:customStyle="1" w:styleId="WideTable">
    <w:name w:val="Wide Table"/>
    <w:basedOn w:val="Normal"/>
    <w:rsid w:val="00520DEA"/>
    <w:pPr>
      <w:ind w:left="-1418"/>
    </w:pPr>
    <w:rPr>
      <w:sz w:val="2"/>
      <w:szCs w:val="2"/>
    </w:rPr>
  </w:style>
  <w:style w:type="character" w:styleId="PageNumber">
    <w:name w:val="page number"/>
    <w:basedOn w:val="DefaultParagraphFont"/>
    <w:rsid w:val="00520DEA"/>
  </w:style>
  <w:style w:type="paragraph" w:styleId="Quote">
    <w:name w:val="Quote"/>
    <w:basedOn w:val="Heading1"/>
    <w:link w:val="QuoteChar"/>
    <w:qFormat/>
    <w:rsid w:val="00520DEA"/>
    <w:rPr>
      <w:b w:val="0"/>
      <w:sz w:val="72"/>
      <w:szCs w:val="72"/>
      <w:lang w:val="en-NZ"/>
    </w:rPr>
  </w:style>
  <w:style w:type="character" w:customStyle="1" w:styleId="QuoteChar">
    <w:name w:val="Quote Char"/>
    <w:basedOn w:val="DefaultParagraphFont"/>
    <w:link w:val="Quote"/>
    <w:rsid w:val="00520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DEA"/>
    <w:pPr>
      <w:pageBreakBefore/>
    </w:pPr>
  </w:style>
  <w:style w:type="paragraph" w:customStyle="1" w:styleId="Border">
    <w:name w:val="Border"/>
    <w:basedOn w:val="Normal"/>
    <w:qFormat/>
    <w:rsid w:val="00520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DEA"/>
    <w:rPr>
      <w:b/>
      <w:bCs/>
      <w:i/>
      <w:iCs/>
      <w:color w:val="auto"/>
    </w:rPr>
  </w:style>
  <w:style w:type="paragraph" w:styleId="IntenseQuote">
    <w:name w:val="Intense Quote"/>
    <w:basedOn w:val="Normal"/>
    <w:next w:val="Normal"/>
    <w:link w:val="IntenseQuoteChar"/>
    <w:uiPriority w:val="30"/>
    <w:qFormat/>
    <w:rsid w:val="00520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DEA"/>
    <w:rPr>
      <w:smallCaps/>
      <w:color w:val="auto"/>
      <w:u w:val="single"/>
    </w:rPr>
  </w:style>
  <w:style w:type="character" w:styleId="IntenseReference">
    <w:name w:val="Intense Reference"/>
    <w:basedOn w:val="DefaultParagraphFont"/>
    <w:uiPriority w:val="32"/>
    <w:qFormat/>
    <w:rsid w:val="00520DEA"/>
    <w:rPr>
      <w:b/>
      <w:bCs/>
      <w:smallCaps/>
      <w:color w:val="auto"/>
      <w:spacing w:val="5"/>
      <w:u w:val="single"/>
    </w:rPr>
  </w:style>
  <w:style w:type="paragraph" w:customStyle="1" w:styleId="2ColumnHeading">
    <w:name w:val="2Column Heading"/>
    <w:basedOn w:val="BodyText"/>
    <w:qFormat/>
    <w:rsid w:val="00520DEA"/>
    <w:pPr>
      <w:spacing w:after="60"/>
      <w:ind w:left="-2268"/>
    </w:pPr>
    <w:rPr>
      <w:b/>
    </w:rPr>
  </w:style>
  <w:style w:type="paragraph" w:customStyle="1" w:styleId="Heading1TOC">
    <w:name w:val="Heading1 TOC"/>
    <w:basedOn w:val="Normal"/>
    <w:qFormat/>
    <w:rsid w:val="00520DEA"/>
    <w:pPr>
      <w:spacing w:before="240" w:after="120"/>
    </w:pPr>
    <w:rPr>
      <w:rFonts w:ascii="Times New Roman" w:hAnsi="Times New Roman"/>
      <w:b/>
      <w:sz w:val="32"/>
    </w:rPr>
  </w:style>
  <w:style w:type="paragraph" w:customStyle="1" w:styleId="Heading2TOC">
    <w:name w:val="Heading2 TOC"/>
    <w:basedOn w:val="Normal"/>
    <w:qFormat/>
    <w:rsid w:val="00520DEA"/>
    <w:pPr>
      <w:spacing w:before="240" w:after="60"/>
    </w:pPr>
    <w:rPr>
      <w:rFonts w:ascii="Times New Roman" w:hAnsi="Times New Roman"/>
      <w:b/>
      <w:sz w:val="28"/>
    </w:rPr>
  </w:style>
  <w:style w:type="character" w:customStyle="1" w:styleId="Underline">
    <w:name w:val="Underline"/>
    <w:basedOn w:val="DefaultParagraphFont"/>
    <w:qFormat/>
    <w:rsid w:val="00520DEA"/>
    <w:rPr>
      <w:u w:val="single"/>
    </w:rPr>
  </w:style>
  <w:style w:type="character" w:customStyle="1" w:styleId="BoldandItalics">
    <w:name w:val="Bold and Italics"/>
    <w:qFormat/>
    <w:rsid w:val="00520DEA"/>
    <w:rPr>
      <w:b/>
      <w:i/>
      <w:u w:val="none"/>
    </w:rPr>
  </w:style>
  <w:style w:type="paragraph" w:styleId="BalloonText">
    <w:name w:val="Balloon Text"/>
    <w:basedOn w:val="Normal"/>
    <w:link w:val="BalloonTextChar"/>
    <w:rsid w:val="00520DEA"/>
    <w:rPr>
      <w:rFonts w:ascii="Tahoma" w:hAnsi="Tahoma" w:cs="Tahoma"/>
      <w:sz w:val="16"/>
      <w:szCs w:val="16"/>
    </w:rPr>
  </w:style>
  <w:style w:type="character" w:customStyle="1" w:styleId="BalloonTextChar">
    <w:name w:val="Balloon Text Char"/>
    <w:basedOn w:val="DefaultParagraphFont"/>
    <w:link w:val="BalloonText"/>
    <w:rsid w:val="00520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D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DEA"/>
    <w:rPr>
      <w:b/>
      <w:color w:val="660033"/>
      <w:spacing w:val="0"/>
    </w:rPr>
  </w:style>
  <w:style w:type="paragraph" w:customStyle="1" w:styleId="Nameditemlist">
    <w:name w:val="Named item list"/>
    <w:basedOn w:val="BodyText"/>
    <w:qFormat/>
    <w:rsid w:val="00520D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2189</Words>
  <Characters>13311</Characters>
  <Application>Microsoft Office Word</Application>
  <DocSecurity>0</DocSecurity>
  <Lines>496</Lines>
  <Paragraphs>195</Paragraphs>
  <ScaleCrop>false</ScaleCrop>
  <Company>Author-it Software Corporation Ltd.</Company>
  <LinksUpToDate>false</LinksUpToDate>
  <CharactersWithSpaces>15369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UEENEEH101A Repair basic computer equipment faults by replacement of modules/sub-assemblies</dc:title>
  <dc:subject>Approved</dc:subject>
  <dc:creator>E-OZ Training Standards</dc:creator>
  <cp:keywords>Release: 2</cp:keywords>
  <dc:description>Review Date: 12 April 2008</dc:description>
  <cp:lastModifiedBy>TPCMS</cp:lastModifiedBy>
  <cp:revision>3</cp:revision>
  <dcterms:created xsi:type="dcterms:W3CDTF">2013-10-25T06:02:00Z</dcterms:created>
  <dcterms:modified xsi:type="dcterms:W3CDTF">2013-10-25T06:02:00Z</dcterms:modified>
</cp:coreProperties>
</file>